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40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120" w:after="0" w:lineRule="auto" w:line="312"/>
        <w:ind w:firstLine="0"/>
        <w:jc w:val="left"/>
      </w:pPr>
      <w:r>
        <w:rPr>
          <w:rFonts w:ascii="Times New Roman" w:hAnsi="Times New Roman" w:cs="Times New Roman" w:eastAsia="Times New Roman"/>
          <w:b/>
          <w:i/>
          <w:color w:val="000000"/>
          <w:sz w:val="24"/>
          <w:szCs w:val="24"/>
        </w:rPr>
        <w:t>English Title:</w:t>
      </w:r>
    </w:p>
    <w:p>
      <w:pPr>
        <w:widowControl/>
        <w:spacing w:before="12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120" w:after="0" w:lineRule="auto" w:line="312"/>
        <w:ind w:firstLine="0"/>
        <w:jc w:val="left"/>
      </w:pPr>
      <w:r>
        <w:rPr>
          <w:rFonts w:ascii="Times New Roman" w:hAnsi="Times New Roman" w:cs="Times New Roman" w:eastAsia="Times New Roman"/>
          <w:b/>
          <w:i/>
          <w:color w:val="000000"/>
          <w:sz w:val="24"/>
          <w:szCs w:val="24"/>
        </w:rPr>
        <w:t>Arabic Title:</w:t>
      </w:r>
    </w:p>
    <w:p>
      <w:pPr>
        <w:widowControl/>
        <w:spacing w:before="12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160" w:after="20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pPr>
        <w:sectPr>
          <w:headerReference w:type="default" r:id="rId9"/>
          <w:footerReference w:type="default" r:id="rId10"/>
          <w:pgSz w:w="11906" w:h="16838"/>
          <w:pgMar w:top="1644" w:right="1247" w:bottom="1502" w:left="1701" w:header="198" w:footer="181" w:gutter="0"/>
          <w:cols w:space="720"/>
          <w:docGrid w:linePitch="360"/>
        </w:sectPr>
      </w:pP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240" w:after="160" w:lineRule="auto" w:line="288"/>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240" w:after="160" w:lineRule="auto" w:line="288"/>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0" w:after="120" w:lineRule="auto" w:line="288"/>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21</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26</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32</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38</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40</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22</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26</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28</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28</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27</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29</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30</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LIST OF ABBREVIATIONS</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ANOVA — analysis of variance</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CAD/CAM — computer-aided design / computer-aided manufacture</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ISO — International Organization for Standardization</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LED — light-emitting diode</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Ra — arithmetic mean roughness</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RDA — relative dentine abrasivity</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SD — standard deviation</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S-PRG — surface pre-reacted glass-ionomer</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vol% — percentage by volume</w:t>
      </w:r>
    </w:p>
    <w:p>
      <w:pPr>
        <w:widowControl/>
        <w:spacing w:before="0" w:after="120" w:lineRule="auto" w:line="288"/>
        <w:ind w:firstLine="0"/>
        <w:jc w:val="both"/>
      </w:pPr>
      <w:r>
        <w:rPr>
          <w:rFonts w:ascii="Times New Roman" w:hAnsi="Times New Roman" w:cs="Times New Roman" w:eastAsia="Times New Roman"/>
          <w:b w:val="0"/>
          <w:i w:val="0"/>
          <w:color w:val="000000"/>
          <w:sz w:val="24"/>
          <w:szCs w:val="24"/>
        </w:rPr>
        <w:t>ΔRa — change in Ra (after − before)</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blHeader/>
        </w:trPr>
        <w:tc>
          <w:tcPr>
            <w:tcW w:type="dxa" w:w="164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w:t>
            </w:r>
          </w:p>
        </w:tc>
        <w:tc>
          <w:tcPr>
            <w:tcW w:type="dxa" w:w="130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Type</w:t>
            </w:r>
          </w:p>
        </w:tc>
        <w:tc>
          <w:tcPr>
            <w:tcW w:type="dxa" w:w="1928"/>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Matrix</w:t>
            </w:r>
          </w:p>
        </w:tc>
        <w:tc>
          <w:tcPr>
            <w:tcW w:type="dxa" w:w="198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Filler</w:t>
            </w:r>
          </w:p>
        </w:tc>
        <w:tc>
          <w:tcPr>
            <w:tcW w:type="dxa" w:w="850"/>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Load</w:t>
            </w:r>
          </w:p>
        </w:tc>
        <w:tc>
          <w:tcPr>
            <w:tcW w:type="dxa" w:w="1247"/>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Manufacturer</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 (A2)</w:t>
            </w:r>
          </w:p>
        </w:tc>
        <w:tc>
          <w:tcPr>
            <w:tcW w:type="dxa" w:w="130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Nanohybrid injectable</w:t>
            </w:r>
          </w:p>
        </w:tc>
        <w:tc>
          <w:tcPr>
            <w:tcW w:type="dxa" w:w="1928"/>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Dimethacrylate monomers</w:t>
            </w:r>
          </w:p>
        </w:tc>
        <w:tc>
          <w:tcPr>
            <w:tcW w:type="dxa" w:w="198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Barium glass, silica</w:t>
            </w:r>
          </w:p>
        </w:tc>
        <w:tc>
          <w:tcPr>
            <w:tcW w:type="dxa" w:w="850"/>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50 vol%</w:t>
            </w:r>
          </w:p>
        </w:tc>
        <w:tc>
          <w:tcPr>
            <w:tcW w:type="dxa" w:w="1247"/>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GC, Tokyo</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 (A2)</w:t>
            </w:r>
          </w:p>
        </w:tc>
        <w:tc>
          <w:tcPr>
            <w:tcW w:type="dxa" w:w="130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Nanohybrid injectable giomer</w:t>
            </w:r>
          </w:p>
        </w:tc>
        <w:tc>
          <w:tcPr>
            <w:tcW w:type="dxa" w:w="1928"/>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Bis-GMA, TEGDMA</w:t>
            </w:r>
          </w:p>
        </w:tc>
        <w:tc>
          <w:tcPr>
            <w:tcW w:type="dxa" w:w="198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Multifunctional glass and S-PRG filler</w:t>
            </w:r>
          </w:p>
        </w:tc>
        <w:tc>
          <w:tcPr>
            <w:tcW w:type="dxa" w:w="850"/>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47 vol%</w:t>
            </w:r>
          </w:p>
        </w:tc>
        <w:tc>
          <w:tcPr>
            <w:tcW w:type="dxa" w:w="1247"/>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Shofu, Kyoto</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 (A2)</w:t>
            </w:r>
          </w:p>
        </w:tc>
        <w:tc>
          <w:tcPr>
            <w:tcW w:type="dxa" w:w="130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Nanohybrid conventional giomer</w:t>
            </w:r>
          </w:p>
        </w:tc>
        <w:tc>
          <w:tcPr>
            <w:tcW w:type="dxa" w:w="1928"/>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Bis-GMA, UDMA, Bis-EMA, PEGMA, TEGDMA</w:t>
            </w:r>
          </w:p>
        </w:tc>
        <w:tc>
          <w:tcPr>
            <w:tcW w:type="dxa" w:w="198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Multifunctional glass and S-PRG filler</w:t>
            </w:r>
          </w:p>
        </w:tc>
        <w:tc>
          <w:tcPr>
            <w:tcW w:type="dxa" w:w="850"/>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68 vol%</w:t>
            </w:r>
          </w:p>
        </w:tc>
        <w:tc>
          <w:tcPr>
            <w:tcW w:type="dxa" w:w="1247"/>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 resin</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Weight before (g)</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Weight after (g)</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Weight loss (%)</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47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p-value</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0.1602 ± 0.0074</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0.1576 ± 0.0031</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1.49 ± 3.14</w:t>
            </w:r>
          </w:p>
        </w:tc>
        <w:tc>
          <w:tcPr>
            <w:tcW w:type="dxa" w:w="1474"/>
            <w:vAlign w:val="center"/>
            <w:tcMar>
              <w:top w:w="100" w:type="dxa"/>
              <w:left w:w="100" w:type="dxa"/>
              <w:bottom w:w="100" w:type="dxa"/>
              <w:right w:w="100" w:type="dxa"/>
            </w:tcMar>
            <w:vMerge w:val="restart"/>
            <w:tcBorders>
              <w:top w:val="nil" w:sz="0" w:space="0" w:color="auto"/>
              <w:left w:val="nil" w:sz="0" w:space="0" w:color="auto"/>
              <w:bottom w:val="single" w:sz="18" w:space="0" w:color="000000"/>
              <w:right w:val="nil" w:sz="0" w:space="0" w:color="auto"/>
            </w:tcBorders>
            <w:tcMar>
              <w:top w:w="100" w:type="dxa"/>
              <w:left w:w="100" w:type="dxa"/>
              <w:bottom w:w="100" w:type="dxa"/>
              <w:right w:w="100" w:type="dxa"/>
            </w:tcMar>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0.329†</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0.1630 ± 0.0102</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0.1619 ± 0.0106</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0.65 ± 0.37</w:t>
            </w:r>
          </w:p>
        </w:tc>
        <w:tc>
          <w:tcPr>
            <w:tcW w:type="dxa" w:w="1474"/>
            <w:vAlign w:val="center"/>
            <w:tcMar>
              <w:top w:w="100" w:type="dxa"/>
              <w:left w:w="100" w:type="dxa"/>
              <w:bottom w:w="100" w:type="dxa"/>
              <w:right w:w="100" w:type="dxa"/>
            </w:tcMar>
            <w:vMerge/>
            <w:tcBorders>
              <w:top w:val="nil" w:sz="0" w:space="0" w:color="auto"/>
              <w:left w:val="nil" w:sz="0" w:space="0" w:color="auto"/>
              <w:bottom w:val="nil" w:sz="0" w:space="0" w:color="auto"/>
              <w:right w:val="nil" w:sz="0" w:space="0" w:color="auto"/>
            </w:tcBorders>
          </w:tcP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0.2313 ± 0.0154</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0.2303 ± 0.0156</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0.41 ± 0.25</w:t>
            </w:r>
          </w:p>
        </w:tc>
        <w:tc>
          <w:tcPr>
            <w:tcW w:type="dxa" w:w="1474"/>
            <w:vAlign w:val="center"/>
            <w:tcMar>
              <w:top w:w="100" w:type="dxa"/>
              <w:left w:w="100" w:type="dxa"/>
              <w:bottom w:w="100" w:type="dxa"/>
              <w:right w:w="10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4937760" cy="3437748"/>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blHeader/>
        </w:trPr>
        <w:tc>
          <w:tcPr>
            <w:tcW w:type="dxa" w:w="3515"/>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 resin</w:t>
            </w:r>
          </w:p>
        </w:tc>
        <w:tc>
          <w:tcPr>
            <w:tcW w:type="dxa" w:w="306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Absolute weight loss (mg)</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Range (mg)</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w:t>
            </w:r>
          </w:p>
        </w:tc>
        <w:tc>
          <w:tcPr>
            <w:tcW w:type="dxa" w:w="306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2.58 ± 5.91</w:t>
            </w:r>
          </w:p>
        </w:tc>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 – 20.7</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w:t>
            </w:r>
          </w:p>
        </w:tc>
        <w:tc>
          <w:tcPr>
            <w:tcW w:type="dxa" w:w="306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1.07 ± 0.62</w:t>
            </w:r>
          </w:p>
        </w:tc>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0.2 – 1.9</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w:t>
            </w:r>
          </w:p>
        </w:tc>
        <w:tc>
          <w:tcPr>
            <w:tcW w:type="dxa" w:w="306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0.95 ± 0.58</w:t>
            </w:r>
          </w:p>
        </w:tc>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szCs w:val="20"/>
              </w:rPr>
              <w:t>Composite resin</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Ra before (µm)</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Ra after (µm)</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ΔRa (µm)</w:t>
            </w:r>
          </w:p>
          <w:p>
            <w:pPr>
              <w:widowControl/>
              <w:spacing w:before="60" w:after="60" w:lineRule="auto" w:line="276"/>
              <w:ind w:firstLine="0"/>
              <w:jc w:val="center"/>
            </w:pPr>
            <w:r>
              <w:rPr>
                <w:rFonts w:ascii="Times New Roman" w:hAnsi="Times New Roman" w:cs="Times New Roman" w:eastAsia="Times New Roman"/>
                <w:b/>
                <w:i w:val="0"/>
                <w:color w:val="000000"/>
                <w:sz w:val="20"/>
                <w:szCs w:val="20"/>
              </w:rPr>
              <w:t>Mean ± SD</w:t>
            </w:r>
          </w:p>
        </w:tc>
        <w:tc>
          <w:tcPr>
            <w:tcW w:type="dxa" w:w="147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szCs w:val="20"/>
              </w:rPr>
              <w:t>p-value</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Flow Plus X F00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0.038 ± 0.011</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0.104 ± 0.017</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0.066 ± 0.021</w:t>
            </w:r>
          </w:p>
        </w:tc>
        <w:tc>
          <w:tcPr>
            <w:tcW w:type="dxa" w:w="1474"/>
            <w:vAlign w:val="center"/>
            <w:tcMar>
              <w:top w:w="100" w:type="dxa"/>
              <w:left w:w="100" w:type="dxa"/>
              <w:bottom w:w="100" w:type="dxa"/>
              <w:right w:w="100" w:type="dxa"/>
            </w:tcMar>
            <w:vMerge w:val="restart"/>
            <w:tcBorders>
              <w:top w:val="nil" w:sz="0" w:space="0" w:color="auto"/>
              <w:left w:val="nil" w:sz="0" w:space="0" w:color="auto"/>
              <w:bottom w:val="single" w:sz="18" w:space="0" w:color="000000"/>
              <w:right w:val="nil" w:sz="0" w:space="0" w:color="auto"/>
            </w:tcBorders>
            <w:tcMar>
              <w:top w:w="100" w:type="dxa"/>
              <w:left w:w="100" w:type="dxa"/>
              <w:bottom w:w="100" w:type="dxa"/>
              <w:right w:w="100" w:type="dxa"/>
            </w:tcMar>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&lt; 0.001‡</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G-ænial Universal Injectable</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0.054 ± 0.010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0.100 ± 0.023</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0.046 ± 0.023</w:t>
            </w:r>
          </w:p>
        </w:tc>
        <w:tc>
          <w:tcPr>
            <w:tcW w:type="dxa" w:w="1474"/>
            <w:vAlign w:val="center"/>
            <w:tcMar>
              <w:top w:w="100" w:type="dxa"/>
              <w:left w:w="100" w:type="dxa"/>
              <w:bottom w:w="100" w:type="dxa"/>
              <w:right w:w="100" w:type="dxa"/>
            </w:tcMar>
            <w:vMerge/>
            <w:tcBorders>
              <w:top w:val="nil" w:sz="0" w:space="0" w:color="auto"/>
              <w:left w:val="nil" w:sz="0" w:space="0" w:color="auto"/>
              <w:bottom w:val="nil" w:sz="0" w:space="0" w:color="auto"/>
              <w:right w:val="nil" w:sz="0" w:space="0" w:color="auto"/>
            </w:tcBorders>
          </w:tcP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szCs w:val="20"/>
              </w:rPr>
              <w:t>Beautifil II LS</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0.119 ± 0.054</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0.194 ± 0.050</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szCs w:val="20"/>
              </w:rPr>
              <w:t>0.075 ± 0.066</w:t>
            </w:r>
          </w:p>
        </w:tc>
        <w:tc>
          <w:tcPr>
            <w:tcW w:type="dxa" w:w="1474"/>
            <w:vAlign w:val="center"/>
            <w:tcMar>
              <w:top w:w="100" w:type="dxa"/>
              <w:left w:w="100" w:type="dxa"/>
              <w:bottom w:w="100" w:type="dxa"/>
              <w:right w:w="10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4937760" cy="3109049"/>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4937760" cy="3261737"/>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11"/>
      <w:footerReference w:type="default" r:id="rId12"/>
      <w:pgSz w:w="11906" w:h="16838"/>
      <w:pgMar w:top="1644" w:right="1247" w:bottom="1502" w:left="1701" w:header="198" w:footer="18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Address: P.O. Box 37, Sidi Gaber, Canal El Mahmoudia Street, Smouha, Alexandria, Egypt</w:t>
    </w:r>
  </w:p>
  <w:p>
    <w:pPr>
      <w:spacing w:before="0" w:after="0" w:line="240" w:lineRule="auto"/>
      <w:ind w:firstLine="0"/>
      <w:jc w:val="center"/>
    </w:pPr>
    <w:r>
      <w:rPr>
        <w:rFonts w:ascii="Times New Roman" w:hAnsi="Times New Roman" w:cs="Noto Naskh Arabic" w:eastAsia="Times New Roman"/>
        <w:b w:val="0"/>
        <w:i w:val="0"/>
        <w:color w:val="000000"/>
        <w:sz w:val="16"/>
        <w:szCs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szCs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Address: P.O. Box 37, Sidi Gaber, Canal El Mahmoudia Street, Smouha, Alexandria, Egypt</w:t>
    </w:r>
  </w:p>
  <w:p>
    <w:pPr>
      <w:spacing w:before="0" w:after="0" w:line="240" w:lineRule="auto"/>
      <w:ind w:firstLine="0"/>
      <w:jc w:val="center"/>
    </w:pPr>
    <w:r>
      <w:rPr>
        <w:rFonts w:ascii="Times New Roman" w:hAnsi="Times New Roman" w:cs="Noto Naskh Arabic" w:eastAsia="Times New Roman"/>
        <w:b w:val="0"/>
        <w:i w:val="0"/>
        <w:color w:val="000000"/>
        <w:sz w:val="16"/>
        <w:szCs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szCs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896000" cy="6528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896000" cy="6528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896000" cy="6528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896000" cy="652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16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