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312"/>
        <w:ind w:firstLine="0"/>
        <w:jc w:val="left"/>
      </w:pPr>
      <w:r>
        <w:rPr>
          <w:rFonts w:ascii="Times New Roman" w:hAnsi="Times New Roman" w:cs="Times New Roman" w:eastAsia="Times New Roman"/>
          <w:b/>
          <w:i w:val="0"/>
          <w:color w:val="000000"/>
          <w:sz w:val="24"/>
          <w:szCs w:val="24"/>
        </w:rPr>
        <w:t>Pharos University in Alexandria</w:t>
      </w:r>
    </w:p>
    <w:p>
      <w:pPr>
        <w:widowControl/>
        <w:spacing w:before="0" w:after="0" w:lineRule="auto" w:line="312"/>
        <w:ind w:firstLine="0"/>
        <w:jc w:val="left"/>
      </w:pPr>
      <w:r>
        <w:rPr>
          <w:rFonts w:ascii="Times New Roman" w:hAnsi="Times New Roman" w:cs="Times New Roman" w:eastAsia="Times New Roman"/>
          <w:b/>
          <w:i w:val="0"/>
          <w:color w:val="000000"/>
          <w:sz w:val="24"/>
          <w:szCs w:val="24"/>
        </w:rPr>
        <w:t>Faculty of Dentistry</w:t>
      </w:r>
    </w:p>
    <w:p>
      <w:pPr>
        <w:widowControl/>
        <w:spacing w:before="0" w:after="0" w:lineRule="auto" w:line="312"/>
        <w:ind w:firstLine="0"/>
        <w:jc w:val="left"/>
      </w:pPr>
      <w:r>
        <w:rPr>
          <w:rFonts w:ascii="Times New Roman" w:hAnsi="Times New Roman" w:cs="Times New Roman" w:eastAsia="Times New Roman"/>
          <w:b w:val="0"/>
          <w:i w:val="0"/>
          <w:color w:val="000000"/>
          <w:sz w:val="24"/>
          <w:szCs w:val="24"/>
        </w:rPr>
        <w:t>Department of Restorative Dentistry</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Student Code No. 202203112</w:t>
      </w:r>
    </w:p>
    <w:p>
      <w:pPr>
        <w:widowControl/>
        <w:spacing w:before="200" w:after="0" w:lineRule="auto" w:line="312"/>
        <w:ind w:firstLine="0"/>
        <w:jc w:val="center"/>
      </w:pPr>
      <w:r>
        <w:rPr>
          <w:rFonts w:ascii="Times New Roman" w:hAnsi="Times New Roman" w:cs="Times New Roman" w:eastAsia="Times New Roman"/>
          <w:b/>
          <w:i w:val="0"/>
          <w:color w:val="000000"/>
          <w:sz w:val="24"/>
          <w:szCs w:val="24"/>
        </w:rPr>
        <w:t>A Thesis submitted in partial fulfilment of the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requirements for the degree of Master of Science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in Conservative Dentistry</w:t>
      </w:r>
    </w:p>
    <w:p>
      <w:pPr>
        <w:widowControl/>
        <w:spacing w:before="0" w:after="400" w:lineRule="auto" w:line="312"/>
        <w:ind w:firstLine="0"/>
        <w:jc w:val="center"/>
      </w:pPr>
      <w:r>
        <w:rPr>
          <w:rFonts w:ascii="Times New Roman" w:hAnsi="Times New Roman" w:cs="Times New Roman" w:eastAsia="Times New Roman"/>
          <w:b/>
          <w:i w:val="0"/>
          <w:color w:val="000000"/>
          <w:sz w:val="24"/>
          <w:szCs w:val="24"/>
        </w:rPr>
        <w:t>Academic Year 2024–2025 / 2025–2026</w:t>
      </w:r>
    </w:p>
    <w:p>
      <w:pPr>
        <w:widowControl/>
        <w:spacing w:before="160" w:after="240" w:lineRule="auto" w:line="312"/>
        <w:ind w:firstLine="0"/>
        <w:jc w:val="center"/>
      </w:pPr>
      <w:r>
        <w:rPr>
          <w:rFonts w:ascii="Times New Roman" w:hAnsi="Times New Roman" w:cs="Times New Roman" w:eastAsia="Times New Roman"/>
          <w:b w:val="0"/>
          <w:i w:val="0"/>
          <w:color w:val="000000"/>
          <w:sz w:val="24"/>
          <w:szCs w:val="24"/>
        </w:rPr>
        <w:t>Name of Candidate</w:t>
      </w:r>
    </w:p>
    <w:p>
      <w:pPr>
        <w:widowControl/>
        <w:spacing w:before="0" w:after="720" w:lineRule="auto" w:line="312"/>
        <w:ind w:firstLine="0"/>
        <w:jc w:val="center"/>
      </w:pPr>
      <w:r>
        <w:rPr>
          <w:rFonts w:ascii="Times New Roman" w:hAnsi="Times New Roman" w:cs="Times New Roman" w:eastAsia="Times New Roman"/>
          <w:b/>
          <w:i w:val="0"/>
          <w:color w:val="000000"/>
          <w:sz w:val="28"/>
          <w:szCs w:val="28"/>
        </w:rPr>
        <w:t>Mohamed Talaat Mohamed AbdelMoaty ElAbd</w:t>
      </w:r>
    </w:p>
    <w:p>
      <w:pPr>
        <w:widowControl/>
        <w:spacing w:before="280" w:after="200" w:lineRule="auto" w:line="312"/>
        <w:ind w:firstLine="0"/>
        <w:jc w:val="left"/>
      </w:pPr>
      <w:r>
        <w:rPr>
          <w:rFonts w:ascii="Times New Roman" w:hAnsi="Times New Roman" w:cs="Times New Roman" w:eastAsia="Times New Roman"/>
          <w:b/>
          <w:i/>
          <w:color w:val="000000"/>
          <w:sz w:val="24"/>
          <w:szCs w:val="24"/>
        </w:rPr>
        <w:t>English Title:</w:t>
      </w:r>
    </w:p>
    <w:p>
      <w:pPr>
        <w:widowControl/>
        <w:spacing w:before="240" w:after="0" w:lineRule="auto" w:line="312"/>
        <w:ind w:firstLine="0"/>
        <w:jc w:val="center"/>
      </w:pPr>
      <w:r>
        <w:rPr>
          <w:rFonts w:ascii="Times New Roman" w:hAnsi="Times New Roman" w:cs="Times New Roman" w:eastAsia="Times New Roman"/>
          <w:b/>
          <w:i w:val="0"/>
          <w:color w:val="000000"/>
          <w:sz w:val="24"/>
          <w:szCs w:val="24"/>
        </w:rPr>
        <w:t>COMPARATIVE STUDY OF WEAR RESISTANCE</w:t>
      </w:r>
    </w:p>
    <w:p>
      <w:pPr>
        <w:widowControl/>
        <w:spacing w:before="0" w:after="0" w:lineRule="auto" w:line="312"/>
        <w:ind w:firstLine="0"/>
        <w:jc w:val="center"/>
      </w:pPr>
      <w:r>
        <w:rPr>
          <w:rFonts w:ascii="Times New Roman" w:hAnsi="Times New Roman" w:cs="Times New Roman" w:eastAsia="Times New Roman"/>
          <w:b/>
          <w:i w:val="0"/>
          <w:color w:val="000000"/>
          <w:sz w:val="24"/>
          <w:szCs w:val="24"/>
        </w:rPr>
        <w:t>AND SURFACE ROUGHNESS OF INJECTABLE VERSUS</w:t>
      </w:r>
    </w:p>
    <w:p>
      <w:pPr>
        <w:widowControl/>
        <w:spacing w:before="0" w:after="320" w:lineRule="auto" w:line="312"/>
        <w:ind w:firstLine="0"/>
        <w:jc w:val="center"/>
      </w:pPr>
      <w:r>
        <w:rPr>
          <w:rFonts w:ascii="Times New Roman" w:hAnsi="Times New Roman" w:cs="Times New Roman" w:eastAsia="Times New Roman"/>
          <w:b/>
          <w:i w:val="0"/>
          <w:color w:val="000000"/>
          <w:sz w:val="24"/>
          <w:szCs w:val="24"/>
        </w:rPr>
        <w:t>CONVENTIONAL COMPOSITE RESIN — IN VITRO STUDY</w:t>
      </w:r>
    </w:p>
    <w:p>
      <w:pPr>
        <w:widowControl/>
        <w:spacing w:before="240" w:after="160" w:lineRule="auto" w:line="312"/>
        <w:ind w:firstLine="0"/>
        <w:jc w:val="left"/>
      </w:pPr>
      <w:r>
        <w:rPr>
          <w:rFonts w:ascii="Times New Roman" w:hAnsi="Times New Roman" w:cs="Times New Roman" w:eastAsia="Times New Roman"/>
          <w:b/>
          <w:i/>
          <w:color w:val="000000"/>
          <w:sz w:val="24"/>
          <w:szCs w:val="24"/>
        </w:rPr>
        <w:t>Arabic Title:</w:t>
      </w:r>
    </w:p>
    <w:p>
      <w:pPr>
        <w:widowControl/>
        <w:spacing w:before="200" w:after="320" w:lineRule="auto" w:line="312"/>
        <w:ind w:firstLine="0"/>
        <w:jc w:val="center"/>
      </w:pPr>
      <w:r>
        <w:rPr>
          <w:rFonts w:ascii="Times New Roman" w:hAnsi="Times New Roman" w:cs="Noto Naskh Arabic" w:eastAsia="Times New Roman"/>
          <w:b/>
          <w:i w:val="0"/>
          <w:color w:val="000000"/>
          <w:sz w:val="24"/>
          <w:szCs w:val="24"/>
        </w:rPr>
        <w:t>دراسة مقارنة للتآكل وخشونة سطح الراتينج المركب القابل للحقن والتقليدي – دراسة في المختبر</w:t>
      </w:r>
    </w:p>
    <w:p>
      <w:pPr>
        <w:widowControl/>
        <w:spacing w:before="0" w:after="400" w:lineRule="auto" w:line="312"/>
        <w:ind w:firstLine="0"/>
        <w:jc w:val="left"/>
      </w:pPr>
      <w:r>
        <w:rPr>
          <w:rFonts w:ascii="Times New Roman" w:hAnsi="Times New Roman" w:cs="Times New Roman" w:eastAsia="Times New Roman"/>
          <w:b/>
          <w:i w:val="0"/>
          <w:color w:val="000000"/>
          <w:sz w:val="24"/>
          <w:szCs w:val="24"/>
        </w:rPr>
        <w:t xml:space="preserve">Keywords: </w:t>
      </w:r>
      <w:r>
        <w:rPr>
          <w:rFonts w:ascii="Times New Roman" w:hAnsi="Times New Roman" w:cs="Times New Roman" w:eastAsia="Times New Roman"/>
          <w:b w:val="0"/>
          <w:i w:val="0"/>
          <w:color w:val="000000"/>
          <w:sz w:val="24"/>
          <w:szCs w:val="24"/>
        </w:rPr>
        <w:t>Surface roughness, wear, injectable composite, conventional composite.</w:t>
      </w:r>
    </w:p>
    <w:p>
      <w:pPr>
        <w:widowControl/>
        <w:spacing w:before="200" w:after="320" w:lineRule="auto" w:line="312"/>
        <w:ind w:firstLine="0"/>
        <w:jc w:val="center"/>
      </w:pPr>
      <w:r>
        <w:rPr>
          <w:rFonts w:ascii="Times New Roman" w:hAnsi="Times New Roman" w:cs="Times New Roman" w:eastAsia="Times New Roman"/>
          <w:b/>
          <w:i w:val="0"/>
          <w:color w:val="000000"/>
          <w:sz w:val="24"/>
          <w:szCs w:val="24"/>
        </w:rPr>
        <w:t>Supervision Committee</w:t>
      </w:r>
    </w:p>
    <w:p>
      <w:pPr>
        <w:widowControl/>
        <w:spacing w:before="0" w:after="160" w:lineRule="auto" w:line="312"/>
        <w:ind w:firstLine="0"/>
        <w:jc w:val="center"/>
      </w:pPr>
      <w:r>
        <w:rPr>
          <w:rFonts w:ascii="Times New Roman" w:hAnsi="Times New Roman" w:cs="Times New Roman" w:eastAsia="Times New Roman"/>
          <w:b w:val="0"/>
          <w:i w:val="0"/>
          <w:color w:val="000000"/>
          <w:sz w:val="24"/>
          <w:szCs w:val="24"/>
        </w:rPr>
        <w:t>1. Prof. Wegdan M. Abdel-Fattah</w:t>
      </w:r>
    </w:p>
    <w:p>
      <w:pPr>
        <w:widowControl/>
        <w:spacing w:before="0" w:after="0" w:lineRule="auto" w:line="312"/>
        <w:ind w:firstLine="0"/>
        <w:jc w:val="center"/>
      </w:pPr>
      <w:r>
        <w:rPr>
          <w:rFonts w:ascii="Times New Roman" w:hAnsi="Times New Roman" w:cs="Times New Roman" w:eastAsia="Times New Roman"/>
          <w:b w:val="0"/>
          <w:i w:val="0"/>
          <w:color w:val="000000"/>
          <w:sz w:val="24"/>
          <w:szCs w:val="24"/>
        </w:rPr>
        <w:t>2. Asst. Prof. Emad M. El-Sayed  (Main supervisor)</w:t>
      </w:r>
    </w:p>
    <w:p>
      <w:r>
        <w:br w:type="page"/>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ROLE OF SUPERVISORS</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1. </w:t>
      </w:r>
      <w:r>
        <w:rPr>
          <w:rFonts w:ascii="Times New Roman" w:hAnsi="Times New Roman" w:cs="Times New Roman" w:eastAsia="Times New Roman"/>
          <w:b/>
          <w:i w:val="0"/>
          <w:color w:val="000000"/>
          <w:sz w:val="24"/>
          <w:szCs w:val="24"/>
        </w:rPr>
        <w:t>Prof. Wegdan M. Abdel-Fattah</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Analysis and interpretation of study results.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Guidance of paper/thesis writing.</w:t>
      </w:r>
    </w:p>
    <w:p>
      <w:pPr>
        <w:widowControl/>
        <w:spacing w:before="120" w:after="160" w:lineRule="auto" w:line="312"/>
        <w:ind w:left="720" w:hanging="357"/>
        <w:jc w:val="both"/>
      </w:pPr>
      <w:r>
        <w:rPr>
          <w:rFonts w:ascii="Times New Roman" w:hAnsi="Times New Roman" w:cs="Times New Roman" w:eastAsia="Times New Roman"/>
          <w:b w:val="0"/>
          <w:i w:val="0"/>
          <w:color w:val="000000"/>
          <w:sz w:val="24"/>
          <w:szCs w:val="24"/>
        </w:rPr>
        <w:t xml:space="preserve">2. </w:t>
      </w:r>
      <w:r>
        <w:rPr>
          <w:rFonts w:ascii="Times New Roman" w:hAnsi="Times New Roman" w:cs="Times New Roman" w:eastAsia="Times New Roman"/>
          <w:b/>
          <w:i w:val="0"/>
          <w:color w:val="000000"/>
          <w:sz w:val="24"/>
          <w:szCs w:val="24"/>
        </w:rPr>
        <w:t>Asst. Prof. Emad M. El-Sayed</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the clinical/experimental procedures.</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Conceptualization/formulation of study plan and design of the study.</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Supervision of study execution and writing.</w:t>
      </w:r>
    </w:p>
    <w:p>
      <w:pPr>
        <w:widowControl/>
        <w:spacing w:before="40" w:after="120" w:lineRule="auto" w:line="312"/>
        <w:ind w:firstLine="0" w:left="720"/>
        <w:jc w:val="both"/>
      </w:pPr>
      <w:r>
        <w:rPr>
          <w:rFonts w:ascii="Times New Roman" w:hAnsi="Times New Roman" w:cs="Times New Roman" w:eastAsia="Times New Roman"/>
          <w:b w:val="0"/>
          <w:i w:val="0"/>
          <w:color w:val="000000"/>
          <w:sz w:val="24"/>
          <w:szCs w:val="24"/>
        </w:rPr>
        <w:t>Revising the thesis and/or manuscript.</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CONTENTS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Contents</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ROLE OF SUPERVISORS</w:t>
      </w:r>
      <w:r>
        <w:rPr>
          <w:rFonts w:ascii="Times New Roman" w:hAnsi="Times New Roman" w:cs="Times New Roman" w:eastAsia="Times New Roman"/>
          <w:b w:val="0"/>
          <w:i w:val="0"/>
          <w:color w:val="000000"/>
          <w:sz w:val="24"/>
          <w:szCs w:val="24"/>
        </w:rPr>
        <w:tab/>
        <w:t>2</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ACKNOWLEDGEMENTS</w:t>
      </w:r>
      <w:r>
        <w:rPr>
          <w:rFonts w:ascii="Times New Roman" w:hAnsi="Times New Roman" w:cs="Times New Roman" w:eastAsia="Times New Roman"/>
          <w:b w:val="0"/>
          <w:i w:val="0"/>
          <w:color w:val="000000"/>
          <w:sz w:val="24"/>
          <w:szCs w:val="24"/>
        </w:rPr>
        <w:tab/>
        <w:t>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TABLES</w:t>
      </w:r>
      <w:r>
        <w:rPr>
          <w:rFonts w:ascii="Times New Roman" w:hAnsi="Times New Roman" w:cs="Times New Roman" w:eastAsia="Times New Roman"/>
          <w:b w:val="0"/>
          <w:i w:val="0"/>
          <w:color w:val="000000"/>
          <w:sz w:val="24"/>
          <w:szCs w:val="24"/>
        </w:rPr>
        <w:tab/>
        <w:t>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FIGURES</w:t>
      </w:r>
      <w:r>
        <w:rPr>
          <w:rFonts w:ascii="Times New Roman" w:hAnsi="Times New Roman" w:cs="Times New Roman" w:eastAsia="Times New Roman"/>
          <w:b w:val="0"/>
          <w:i w:val="0"/>
          <w:color w:val="000000"/>
          <w:sz w:val="24"/>
          <w:szCs w:val="24"/>
        </w:rPr>
        <w:tab/>
        <w:t>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LIST OF ABBREVIATIONS</w:t>
      </w:r>
      <w:r>
        <w:rPr>
          <w:rFonts w:ascii="Times New Roman" w:hAnsi="Times New Roman" w:cs="Times New Roman" w:eastAsia="Times New Roman"/>
          <w:b w:val="0"/>
          <w:i w:val="0"/>
          <w:color w:val="000000"/>
          <w:sz w:val="24"/>
          <w:szCs w:val="24"/>
        </w:rPr>
        <w:tab/>
        <w:t>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ABSTRACT</w:t>
      </w:r>
      <w:r>
        <w:rPr>
          <w:rFonts w:ascii="Times New Roman" w:hAnsi="Times New Roman" w:cs="Times New Roman" w:eastAsia="Times New Roman"/>
          <w:b w:val="0"/>
          <w:i w:val="0"/>
          <w:color w:val="000000"/>
          <w:sz w:val="24"/>
          <w:szCs w:val="24"/>
        </w:rPr>
        <w:tab/>
        <w:t>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INTRODUCTION</w:t>
      </w:r>
      <w:r>
        <w:rPr>
          <w:rFonts w:ascii="Times New Roman" w:hAnsi="Times New Roman" w:cs="Times New Roman" w:eastAsia="Times New Roman"/>
          <w:b w:val="0"/>
          <w:i w:val="0"/>
          <w:color w:val="000000"/>
          <w:sz w:val="24"/>
          <w:szCs w:val="24"/>
        </w:rPr>
        <w:tab/>
        <w:t>10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REVIEW OF LITERATURE</w:t>
      </w:r>
      <w:r>
        <w:rPr>
          <w:rFonts w:ascii="Times New Roman" w:hAnsi="Times New Roman" w:cs="Times New Roman" w:eastAsia="Times New Roman"/>
          <w:b w:val="0"/>
          <w:i w:val="0"/>
          <w:color w:val="000000"/>
          <w:sz w:val="24"/>
          <w:szCs w:val="24"/>
        </w:rPr>
        <w:tab/>
        <w:t>13</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MATERIALS AND METHODS</w:t>
      </w:r>
      <w:r>
        <w:rPr>
          <w:rFonts w:ascii="Times New Roman" w:hAnsi="Times New Roman" w:cs="Times New Roman" w:eastAsia="Times New Roman"/>
          <w:b w:val="0"/>
          <w:i w:val="0"/>
          <w:color w:val="000000"/>
          <w:sz w:val="24"/>
          <w:szCs w:val="24"/>
        </w:rPr>
        <w:tab/>
        <w:t>20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RESULTS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DISCUSSION</w:t>
      </w:r>
      <w:r>
        <w:rPr>
          <w:rFonts w:ascii="Times New Roman" w:hAnsi="Times New Roman" w:cs="Times New Roman" w:eastAsia="Times New Roman"/>
          <w:b w:val="0"/>
          <w:i w:val="0"/>
          <w:color w:val="000000"/>
          <w:sz w:val="24"/>
          <w:szCs w:val="24"/>
        </w:rPr>
        <w:tab/>
        <w:t>30</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CONCLUSIONS AND RECOMMENDATIONS</w:t>
      </w:r>
      <w:r>
        <w:rPr>
          <w:rFonts w:ascii="Times New Roman" w:hAnsi="Times New Roman" w:cs="Times New Roman" w:eastAsia="Times New Roman"/>
          <w:b w:val="0"/>
          <w:i w:val="0"/>
          <w:color w:val="000000"/>
          <w:sz w:val="24"/>
          <w:szCs w:val="24"/>
        </w:rPr>
        <w:tab/>
        <w:t>36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REFERENCES</w:t>
      </w:r>
      <w:r>
        <w:rPr>
          <w:rFonts w:ascii="Times New Roman" w:hAnsi="Times New Roman" w:cs="Times New Roman" w:eastAsia="Times New Roman"/>
          <w:b w:val="0"/>
          <w:i w:val="0"/>
          <w:color w:val="000000"/>
          <w:sz w:val="24"/>
          <w:szCs w:val="24"/>
        </w:rPr>
        <w:tab/>
        <w:t>38</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LIST OF TABLES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3.1 Composition of the resin composites</w:t>
      </w:r>
      <w:r>
        <w:rPr>
          <w:rFonts w:ascii="Times New Roman" w:hAnsi="Times New Roman" w:cs="Times New Roman" w:eastAsia="Times New Roman"/>
          <w:b w:val="0"/>
          <w:i w:val="0"/>
          <w:color w:val="000000"/>
          <w:sz w:val="24"/>
          <w:szCs w:val="24"/>
        </w:rPr>
        <w:tab/>
        <w:t>21</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4.1 Weight before and after brushing and percentage weight loss</w:t>
      </w:r>
      <w:r>
        <w:rPr>
          <w:rFonts w:ascii="Times New Roman" w:hAnsi="Times New Roman" w:cs="Times New Roman" w:eastAsia="Times New Roman"/>
          <w:b w:val="0"/>
          <w:i w:val="0"/>
          <w:color w:val="000000"/>
          <w:sz w:val="24"/>
          <w:szCs w:val="24"/>
        </w:rPr>
        <w:tab/>
        <w:t>25</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4.2 Absolute weight loss after 10 000 brushing cycles</w:t>
      </w:r>
      <w:r>
        <w:rPr>
          <w:rFonts w:ascii="Times New Roman" w:hAnsi="Times New Roman" w:cs="Times New Roman" w:eastAsia="Times New Roman"/>
          <w:b w:val="0"/>
          <w:i w:val="0"/>
          <w:color w:val="000000"/>
          <w:sz w:val="24"/>
          <w:szCs w:val="24"/>
        </w:rPr>
        <w:tab/>
        <w:t>27</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Table 4.3 Ra before and after brushing and ΔRa</w:t>
      </w:r>
      <w:r>
        <w:rPr>
          <w:rFonts w:ascii="Times New Roman" w:hAnsi="Times New Roman" w:cs="Times New Roman" w:eastAsia="Times New Roman"/>
          <w:b w:val="0"/>
          <w:i w:val="0"/>
          <w:color w:val="000000"/>
          <w:sz w:val="24"/>
          <w:szCs w:val="24"/>
        </w:rPr>
        <w:tab/>
        <w:t>27</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LIST OF FIGURES</w:t>
      </w:r>
    </w:p>
    <w:p>
      <w:pPr>
        <w:widowControl/>
        <w:spacing w:before="240" w:after="200" w:lineRule="auto" w:line="360"/>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szCs w:val="24"/>
        </w:rPr>
        <w:t>Title</w:t>
      </w:r>
      <w:r>
        <w:rPr>
          <w:rFonts w:ascii="Times New Roman" w:hAnsi="Times New Roman" w:cs="Times New Roman" w:eastAsia="Times New Roman"/>
          <w:b/>
          <w:i w:val="0"/>
          <w:color w:val="000000"/>
          <w:sz w:val="24"/>
          <w:szCs w:val="24"/>
        </w:rPr>
        <w:tab/>
        <w:t>Page</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4.1 Mean percentage weight loss after 10 000 brushing cycles</w:t>
      </w:r>
      <w:r>
        <w:rPr>
          <w:rFonts w:ascii="Times New Roman" w:hAnsi="Times New Roman" w:cs="Times New Roman" w:eastAsia="Times New Roman"/>
          <w:b w:val="0"/>
          <w:i w:val="0"/>
          <w:color w:val="000000"/>
          <w:sz w:val="24"/>
          <w:szCs w:val="24"/>
        </w:rPr>
        <w:tab/>
        <w:t>26</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4.2 Mean Ra before and after brushing (0.2 µm threshold)</w:t>
      </w:r>
      <w:r>
        <w:rPr>
          <w:rFonts w:ascii="Times New Roman" w:hAnsi="Times New Roman" w:cs="Times New Roman" w:eastAsia="Times New Roman"/>
          <w:b w:val="0"/>
          <w:i w:val="0"/>
          <w:color w:val="000000"/>
          <w:sz w:val="24"/>
          <w:szCs w:val="24"/>
        </w:rPr>
        <w:tab/>
        <w:t>28</w:t>
      </w:r>
    </w:p>
    <w:p>
      <w:pPr>
        <w:widowControl/>
        <w:spacing w:before="160" w:after="160" w:lineRule="auto" w:line="360"/>
        <w:ind w:firstLine="0"/>
        <w:jc w:val="left"/>
        <w:tabs>
          <w:tab w:val="right" w:leader="dot" w:pos="8958"/>
        </w:tabs>
      </w:pPr>
      <w:r>
        <w:rPr>
          <w:rFonts w:ascii="Times New Roman" w:hAnsi="Times New Roman" w:cs="Times New Roman" w:eastAsia="Times New Roman"/>
          <w:b w:val="0"/>
          <w:i w:val="0"/>
          <w:color w:val="000000"/>
          <w:sz w:val="24"/>
          <w:szCs w:val="24"/>
        </w:rPr>
        <w:t>Figure 4.3 Mean change in surface roughness (ΔRa)</w:t>
      </w:r>
      <w:r>
        <w:rPr>
          <w:rFonts w:ascii="Times New Roman" w:hAnsi="Times New Roman" w:cs="Times New Roman" w:eastAsia="Times New Roman"/>
          <w:b w:val="0"/>
          <w:i w:val="0"/>
          <w:color w:val="000000"/>
          <w:sz w:val="24"/>
          <w:szCs w:val="24"/>
        </w:rPr>
        <w:tab/>
        <w:t>29</w:t>
      </w: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LIST OF ABBREVIATIONS</w:t>
      </w:r>
    </w:p>
    <w:tbl>
      <w:tblPr>
        <w:jc w:val="center"/>
        <w:tblLook w:firstColumn="1" w:firstRow="1" w:lastColumn="0" w:lastRow="0" w:noHBand="0" w:noVBand="1" w:val="04A0"/>
        <w:tblW w:w="8958" w:type="dxa"/>
        <w:tblLayout w:type="fixed"/>
      </w:tblPr>
      <w:tblGrid>
        <w:gridCol w:w="2154"/>
        <w:gridCol w:w="6804"/>
      </w:tblGrid>
      <w:tr>
        <w:trPr>
          <w:cantSplit/>
          <w:tblHeader/>
          <w:trHeight w:val="340" w:hRule="atLeast"/>
        </w:trPr>
        <w:tc>
          <w:tcPr>
            <w:tcW w:type="dxa" w:w="2154"/>
            <w:tcW w:w="2154" w:type="dxa"/>
            <w:noWrap/>
            <w:vAlign w:val="center"/>
            <w:tcMar>
              <w:top w:w="80" w:type="dxa"/>
              <w:left w:w="80" w:type="dxa"/>
              <w:bottom w:w="80" w:type="dxa"/>
              <w:right w:w="80" w:type="dxa"/>
            </w:tcMar>
            <w:shd w:val="clear" w:color="auto" w:fill="E7E6E6"/>
            <w:tcBorders>
              <w:top w:val="single" w:sz="18" w:space="0" w:color="000000"/>
              <w:left w:val="nil" w:sz="0" w:space="0" w:color="auto"/>
              <w:bottom w:val="single" w:sz="12"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Abbreviation</w:t>
            </w:r>
          </w:p>
        </w:tc>
        <w:tc>
          <w:tcPr>
            <w:tcW w:type="dxa" w:w="6803"/>
            <w:tcW w:w="6804" w:type="dxa"/>
            <w:vAlign w:val="center"/>
            <w:tcMar>
              <w:top w:w="80" w:type="dxa"/>
              <w:left w:w="80" w:type="dxa"/>
              <w:bottom w:w="80" w:type="dxa"/>
              <w:right w:w="80" w:type="dxa"/>
            </w:tcMar>
            <w:shd w:val="clear" w:color="auto" w:fill="E7E6E6"/>
            <w:tcBorders>
              <w:top w:val="single" w:sz="18" w:space="0" w:color="000000"/>
              <w:left w:val="nil" w:sz="0" w:space="0" w:color="auto"/>
              <w:bottom w:val="single" w:sz="12"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Meaning</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ANOVA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analysis of variance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CAD/CAM</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computer-aided design / computer-aided manufacture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ISO</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International Organization for Standardization</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LED</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light-emitting diode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Ra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arithmetic mean roughness</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RDA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relative dentine abrasivity</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SD</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standard deviation</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S-PRG</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surface pre-reacted glass-ionomer</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vol%</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4"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percentage by volume</w:t>
            </w:r>
          </w:p>
        </w:tc>
      </w:tr>
      <w:tr>
        <w:trPr>
          <w:cantSplit/>
          <w:trHeight w:val="320" w:hRule="atLeast"/>
        </w:trPr>
        <w:tc>
          <w:tcPr>
            <w:tcW w:type="dxa" w:w="2154"/>
            <w:tcW w:w="2154" w:type="dxa"/>
            <w:noWrap/>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4"/>
                <w:szCs w:val="24"/>
              </w:rPr>
              <w:t>ΔRa</w:t>
            </w:r>
          </w:p>
        </w:tc>
        <w:tc>
          <w:tcPr>
            <w:tcW w:type="dxa" w:w="6803"/>
            <w:tcW w:w="6804" w:type="dxa"/>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4"/>
                <w:szCs w:val="24"/>
              </w:rPr>
              <w:t>change in Ra (after − before)</w:t>
            </w:r>
          </w:p>
        </w:tc>
      </w:tr>
    </w:tbl>
    <w:p>
      <w:pPr>
        <w:widowControl/>
        <w:spacing w:before="0" w:after="240" w:line="240" w:lineRule="auto"/>
        <w:ind w:firstLine="0"/>
        <w:jc w:val="both"/>
      </w:pPr>
    </w:p>
    <w:p>
      <w:pPr>
        <w:pStyle w:val="Heading1"/>
        <w:keepNext/>
        <w:pageBreakBefore/>
        <w:widowControl/>
        <w:spacing w:before="360" w:after="1120" w:line="240" w:lineRule="auto"/>
        <w:ind w:firstLine="0"/>
        <w:jc w:val="center"/>
      </w:pPr>
      <w:r>
        <w:rPr>
          <w:rFonts w:ascii="Times New Roman" w:hAnsi="Times New Roman" w:cs="Times New Roman" w:eastAsia="Times New Roman"/>
          <w:b/>
          <w:i w:val="0"/>
          <w:color w:val="000000"/>
          <w:sz w:val="32"/>
          <w:szCs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Background.</w:t>
      </w:r>
      <w:r>
        <w:rPr>
          <w:rFonts w:ascii="Times New Roman" w:hAnsi="Times New Roman" w:cs="Times New Roman" w:eastAsia="Times New Roman"/>
          <w:b w:val="0"/>
          <w:i w:val="0"/>
          <w:color w:val="000000"/>
          <w:sz w:val="24"/>
          <w:szCs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Aim.</w:t>
      </w:r>
      <w:r>
        <w:rPr>
          <w:rFonts w:ascii="Times New Roman" w:hAnsi="Times New Roman" w:cs="Times New Roman" w:eastAsia="Times New Roman"/>
          <w:b w:val="0"/>
          <w:i w:val="0"/>
          <w:color w:val="000000"/>
          <w:sz w:val="24"/>
          <w:szCs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Methods.</w:t>
      </w:r>
      <w:r>
        <w:rPr>
          <w:rFonts w:ascii="Times New Roman" w:hAnsi="Times New Roman" w:cs="Times New Roman" w:eastAsia="Times New Roman"/>
          <w:b w:val="0"/>
          <w:i w:val="0"/>
          <w:color w:val="000000"/>
          <w:sz w:val="24"/>
          <w:szCs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Results.</w:t>
      </w:r>
      <w:r>
        <w:rPr>
          <w:rFonts w:ascii="Times New Roman" w:hAnsi="Times New Roman" w:cs="Times New Roman" w:eastAsia="Times New Roman"/>
          <w:b w:val="0"/>
          <w:i w:val="0"/>
          <w:color w:val="000000"/>
          <w:sz w:val="24"/>
          <w:szCs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Conclusions.</w:t>
      </w:r>
      <w:r>
        <w:rPr>
          <w:rFonts w:ascii="Times New Roman" w:hAnsi="Times New Roman" w:cs="Times New Roman" w:eastAsia="Times New Roman"/>
          <w:b w:val="0"/>
          <w:i w:val="0"/>
          <w:color w:val="000000"/>
          <w:sz w:val="24"/>
          <w:szCs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Keywords.</w:t>
      </w:r>
      <w:r>
        <w:rPr>
          <w:rFonts w:ascii="Times New Roman" w:hAnsi="Times New Roman" w:cs="Times New Roman" w:eastAsia="Times New Roman"/>
          <w:b w:val="0"/>
          <w:i w:val="0"/>
          <w:color w:val="000000"/>
          <w:sz w:val="24"/>
          <w:szCs w:val="24"/>
        </w:rPr>
        <w:t xml:space="preserve"> Injectable composite; nanohybrid composite; toothbrush abrasion; wear; surface roughness; giomer.</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1</w:t>
      </w:r>
    </w:p>
    <w:p>
      <w:pPr>
        <w:pStyle w:val="Heading1"/>
        <w:keepNext/>
        <w:widowControl/>
        <w:spacing w:before="360" w:after="1280" w:line="240" w:lineRule="auto"/>
        <w:ind w:firstLine="0"/>
        <w:jc w:val="center"/>
      </w:pPr>
      <w:r>
        <w:rPr>
          <w:rFonts w:ascii="Times New Roman" w:hAnsi="Times New Roman" w:cs="Times New Roman" w:eastAsia="Times New Roman"/>
          <w:b/>
          <w:i w:val="0"/>
          <w:color w:val="000000"/>
          <w:sz w:val="32"/>
          <w:szCs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szCs w:val="24"/>
          <w:vertAlign w:val="superscript"/>
        </w:rPr>
        <w:t>(3,4)</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szCs w:val="24"/>
          <w:vertAlign w:val="superscript"/>
        </w:rPr>
        <w:t>(3,7,8)</w:t>
      </w:r>
      <w:r>
        <w:rPr>
          <w:rFonts w:ascii="Times New Roman" w:hAnsi="Times New Roman" w:cs="Times New Roman" w:eastAsia="Times New Roman"/>
          <w:b w:val="0"/>
          <w:i w:val="0"/>
          <w:color w:val="000000"/>
          <w:sz w:val="24"/>
          <w:szCs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To compare the three materials using the statistical tests appropriate to each outcome.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There is no significant difference in Ra after toothbrushing among the same three materials.</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2</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REVIEW OF LITERATURE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is the progressive loss of substance from two surfaces that are in relative motion </w:t>
      </w:r>
      <w:r>
        <w:rPr>
          <w:rFonts w:ascii="Times New Roman" w:hAnsi="Times New Roman" w:cs="Times New Roman" w:eastAsia="Times New Roman"/>
          <w:b w:val="0"/>
          <w:i w:val="0"/>
          <w:color w:val="000000"/>
          <w:sz w:val="24"/>
          <w:szCs w:val="24"/>
          <w:vertAlign w:val="superscript"/>
        </w:rPr>
        <w:t>(9)</w:t>
      </w:r>
      <w:r>
        <w:rPr>
          <w:rFonts w:ascii="Times New Roman" w:hAnsi="Times New Roman" w:cs="Times New Roman" w:eastAsia="Times New Roman"/>
          <w:b w:val="0"/>
          <w:i w:val="0"/>
          <w:color w:val="000000"/>
          <w:sz w:val="24"/>
          <w:szCs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szCs w:val="24"/>
          <w:vertAlign w:val="superscript"/>
        </w:rPr>
        <w:t>(9,10)</w:t>
      </w:r>
      <w:r>
        <w:rPr>
          <w:rFonts w:ascii="Times New Roman" w:hAnsi="Times New Roman" w:cs="Times New Roman" w:eastAsia="Times New Roman"/>
          <w:b w:val="0"/>
          <w:i w:val="0"/>
          <w:color w:val="000000"/>
          <w:sz w:val="24"/>
          <w:szCs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szCs w:val="24"/>
          <w:vertAlign w:val="superscript"/>
        </w:rPr>
        <w:t>(10)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szCs w:val="24"/>
          <w:vertAlign w:val="superscript"/>
        </w:rPr>
        <w:t>(11,12)</w:t>
      </w:r>
      <w:r>
        <w:rPr>
          <w:rFonts w:ascii="Times New Roman" w:hAnsi="Times New Roman" w:cs="Times New Roman" w:eastAsia="Times New Roman"/>
          <w:b w:val="0"/>
          <w:i w:val="0"/>
          <w:color w:val="000000"/>
          <w:sz w:val="24"/>
          <w:szCs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szCs w:val="24"/>
          <w:vertAlign w:val="superscript"/>
        </w:rPr>
        <w:t>(6,12)</w:t>
      </w:r>
      <w:r>
        <w:rPr>
          <w:rFonts w:ascii="Times New Roman" w:hAnsi="Times New Roman" w:cs="Times New Roman" w:eastAsia="Times New Roman"/>
          <w:b w:val="0"/>
          <w:i w:val="0"/>
          <w:color w:val="000000"/>
          <w:sz w:val="24"/>
          <w:szCs w:val="24"/>
        </w:rPr>
        <w:t xml:space="preserve">. Beautifil II LS is listed at 68 vol%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Laboratory evaluation of toothbrush wear follows ISO/TR 14569-1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Wear may be quantified as lost volume, as profilometric depth or as lost mass </w:t>
      </w:r>
      <w:r>
        <w:rPr>
          <w:rFonts w:ascii="Times New Roman" w:hAnsi="Times New Roman" w:cs="Times New Roman" w:eastAsia="Times New Roman"/>
          <w:b w:val="0"/>
          <w:i w:val="0"/>
          <w:color w:val="000000"/>
          <w:sz w:val="24"/>
          <w:szCs w:val="24"/>
          <w:vertAlign w:val="superscript"/>
        </w:rPr>
        <w:t>(10,15)</w:t>
      </w:r>
      <w:r>
        <w:rPr>
          <w:rFonts w:ascii="Times New Roman" w:hAnsi="Times New Roman" w:cs="Times New Roman" w:eastAsia="Times New Roman"/>
          <w:b w:val="0"/>
          <w:i w:val="0"/>
          <w:color w:val="000000"/>
          <w:sz w:val="24"/>
          <w:szCs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The choice of a gravimetric outcome in the present work is therefore a methodological decision, not a claim that mass is equivalent to worn anatomy.</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szCs w:val="24"/>
          <w:vertAlign w:val="superscript"/>
        </w:rPr>
        <w:t>(4,16)</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szCs w:val="24"/>
          <w:vertAlign w:val="superscript"/>
        </w:rPr>
        <w:t>(17)</w:t>
      </w:r>
      <w:r>
        <w:rPr>
          <w:rFonts w:ascii="Times New Roman" w:hAnsi="Times New Roman" w:cs="Times New Roman" w:eastAsia="Times New Roman"/>
          <w:b w:val="0"/>
          <w:i w:val="0"/>
          <w:color w:val="000000"/>
          <w:sz w:val="24"/>
          <w:szCs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szCs w:val="24"/>
          <w:vertAlign w:val="superscript"/>
        </w:rPr>
        <w:t>(8,18)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szCs w:val="24"/>
          <w:vertAlign w:val="superscript"/>
        </w:rPr>
        <w:t>(5,13)</w:t>
      </w:r>
      <w:r>
        <w:rPr>
          <w:rFonts w:ascii="Times New Roman" w:hAnsi="Times New Roman" w:cs="Times New Roman" w:eastAsia="Times New Roman"/>
          <w:b w:val="0"/>
          <w:i w:val="0"/>
          <w:color w:val="000000"/>
          <w:sz w:val="24"/>
          <w:szCs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szCs w:val="24"/>
          <w:vertAlign w:val="superscript"/>
        </w:rPr>
        <w:t>(13)</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szCs w:val="24"/>
          <w:vertAlign w:val="superscript"/>
        </w:rPr>
        <w:t>(6,18,19)</w:t>
      </w:r>
      <w:r>
        <w:rPr>
          <w:rFonts w:ascii="Times New Roman" w:hAnsi="Times New Roman" w:cs="Times New Roman" w:eastAsia="Times New Roman"/>
          <w:b w:val="0"/>
          <w:i w:val="0"/>
          <w:color w:val="000000"/>
          <w:sz w:val="24"/>
          <w:szCs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szCs w:val="24"/>
          <w:vertAlign w:val="superscript"/>
        </w:rPr>
        <w:t>(27)</w:t>
      </w:r>
      <w:r>
        <w:rPr>
          <w:rFonts w:ascii="Times New Roman" w:hAnsi="Times New Roman" w:cs="Times New Roman" w:eastAsia="Times New Roman"/>
          <w:b w:val="0"/>
          <w:i w:val="0"/>
          <w:color w:val="000000"/>
          <w:sz w:val="24"/>
          <w:szCs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 Material-to-material scatter is the rule, and a toothbrushing comparison of Beautifil Flow Plus X F00 with Beautifil II LS was not among the studies they included.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szCs w:val="24"/>
          <w:vertAlign w:val="superscript"/>
        </w:rPr>
        <w:t>(23)</w:t>
      </w:r>
      <w:r>
        <w:rPr>
          <w:rFonts w:ascii="Times New Roman" w:hAnsi="Times New Roman" w:cs="Times New Roman" w:eastAsia="Times New Roman"/>
          <w:b w:val="0"/>
          <w:i w:val="0"/>
          <w:color w:val="000000"/>
          <w:sz w:val="24"/>
          <w:szCs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szCs w:val="24"/>
          <w:vertAlign w:val="superscript"/>
        </w:rPr>
        <w:t>(21)</w:t>
      </w:r>
      <w:r>
        <w:rPr>
          <w:rFonts w:ascii="Times New Roman" w:hAnsi="Times New Roman" w:cs="Times New Roman" w:eastAsia="Times New Roman"/>
          <w:b w:val="0"/>
          <w:i w:val="0"/>
          <w:color w:val="000000"/>
          <w:sz w:val="24"/>
          <w:szCs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szCs w:val="24"/>
          <w:vertAlign w:val="superscript"/>
        </w:rPr>
        <w:t>(22)</w:t>
      </w:r>
      <w:r>
        <w:rPr>
          <w:rFonts w:ascii="Times New Roman" w:hAnsi="Times New Roman" w:cs="Times New Roman" w:eastAsia="Times New Roman"/>
          <w:b w:val="0"/>
          <w:i w:val="0"/>
          <w:color w:val="000000"/>
          <w:sz w:val="24"/>
          <w:szCs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3</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MATERIALS AND METHODS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3.1</w:t>
      </w:r>
      <w:r>
        <w:rPr>
          <w:rFonts w:ascii="Times New Roman" w:hAnsi="Times New Roman" w:cs="Times New Roman" w:eastAsia="Times New Roman"/>
          <w:b w:val="0"/>
          <w:i w:val="0"/>
          <w:color w:val="000000"/>
          <w:sz w:val="24"/>
          <w:szCs w:val="24"/>
        </w:rPr>
        <w:t xml:space="preserve"> Brand, manufacturer, matrix, filler and load of the resin composites</w:t>
      </w:r>
    </w:p>
    <w:tbl>
      <w:tblPr>
        <w:jc w:val="center"/>
        <w:tblLook w:firstColumn="1" w:firstRow="1" w:lastColumn="0" w:lastRow="0" w:noHBand="0" w:noVBand="1" w:val="04A0"/>
        <w:tblW w:w="8958" w:type="dxa"/>
        <w:tblLayout w:type="fixed"/>
      </w:tblPr>
      <w:tblGrid>
        <w:gridCol w:w="1445"/>
        <w:gridCol w:w="1247"/>
        <w:gridCol w:w="1814"/>
        <w:gridCol w:w="1871"/>
        <w:gridCol w:w="963"/>
        <w:gridCol w:w="1615"/>
      </w:tblGrid>
      <w:tr>
        <w:trPr>
          <w:cantSplit/>
          <w:tblHeader/>
        </w:trPr>
        <w:tc>
          <w:tcPr>
            <w:tcW w:type="dxa" w:w="1446"/>
            <w:tcW w:w="144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w:t>
            </w:r>
          </w:p>
        </w:tc>
        <w:tc>
          <w:tcPr>
            <w:tcW w:type="dxa" w:w="1247"/>
            <w:tcW w:w="1247"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Type</w:t>
            </w:r>
          </w:p>
        </w:tc>
        <w:tc>
          <w:tcPr>
            <w:tcW w:type="dxa" w:w="1814"/>
            <w:tcW w:w="181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Matrix</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Filler</w:t>
            </w:r>
          </w:p>
        </w:tc>
        <w:tc>
          <w:tcPr>
            <w:tcW w:type="dxa" w:w="964"/>
            <w:tcW w:w="963"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Load</w:t>
            </w:r>
          </w:p>
        </w:tc>
        <w:tc>
          <w:tcPr>
            <w:tcW w:type="dxa" w:w="1616"/>
            <w:tcW w:w="1615"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Manufacturer</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Dimethacrylate monomers</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Barium glass, silica</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50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GC, Tokyo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injectable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47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r>
        <w:trPr>
          <w:cantSplit/>
        </w:trPr>
        <w:tc>
          <w:tcPr>
            <w:tcW w:type="dxa" w:w="1446"/>
            <w:tcW w:w="144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 (A2)</w:t>
            </w:r>
          </w:p>
        </w:tc>
        <w:tc>
          <w:tcPr>
            <w:tcW w:type="dxa" w:w="1247"/>
            <w:tcW w:w="1247"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Nanohybrid conventional giomer</w:t>
            </w:r>
          </w:p>
        </w:tc>
        <w:tc>
          <w:tcPr>
            <w:tcW w:type="dxa" w:w="1814"/>
            <w:tcW w:w="181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Bis-GMA, UDMA, Bis-EMA, PEGMA, TEGDMA</w:t>
            </w:r>
          </w:p>
        </w:tc>
        <w:tc>
          <w:tcPr>
            <w:tcW w:type="dxa" w:w="1871"/>
            <w:tcW w:w="1871"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Multifunctional glass and S-PRG filler</w:t>
            </w:r>
          </w:p>
        </w:tc>
        <w:tc>
          <w:tcPr>
            <w:tcW w:type="dxa" w:w="964"/>
            <w:tcW w:w="963"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68 vol%</w:t>
            </w:r>
          </w:p>
        </w:tc>
        <w:tc>
          <w:tcPr>
            <w:tcW w:type="dxa" w:w="1616"/>
            <w:tcW w:w="1615"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szCs w:val="24"/>
          <w:vertAlign w:val="superscript"/>
        </w:rPr>
        <w:t>(16)</w:t>
      </w:r>
      <w:r>
        <w:rPr>
          <w:rFonts w:ascii="Times New Roman" w:hAnsi="Times New Roman" w:cs="Times New Roman" w:eastAsia="Times New Roman"/>
          <w:b w:val="0"/>
          <w:i w:val="0"/>
          <w:color w:val="000000"/>
          <w:sz w:val="24"/>
          <w:szCs w:val="24"/>
        </w:rPr>
        <w: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szCs w:val="24"/>
          <w:vertAlign w:val="superscript"/>
        </w:rPr>
        <w:t>(3)</w:t>
      </w:r>
      <w:r>
        <w:rPr>
          <w:rFonts w:ascii="Times New Roman" w:hAnsi="Times New Roman" w:cs="Times New Roman" w:eastAsia="Times New Roman"/>
          <w:b w:val="0"/>
          <w:i w:val="0"/>
          <w:color w:val="000000"/>
          <w:sz w:val="24"/>
          <w:szCs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szCs w:val="24"/>
          <w:vertAlign w:val="superscript"/>
        </w:rPr>
        <w:t>(3,14)</w:t>
      </w:r>
      <w:r>
        <w:rPr>
          <w:rFonts w:ascii="Times New Roman" w:hAnsi="Times New Roman" w:cs="Times New Roman" w:eastAsia="Times New Roman"/>
          <w:b w:val="0"/>
          <w:i w:val="0"/>
          <w:color w:val="000000"/>
          <w:sz w:val="24"/>
          <w:szCs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szCs w:val="24"/>
          <w:vertAlign w:val="superscript"/>
        </w:rPr>
        <w:t>(7,8)</w:t>
      </w:r>
      <w:r>
        <w:rPr>
          <w:rFonts w:ascii="Times New Roman" w:hAnsi="Times New Roman" w:cs="Times New Roman" w:eastAsia="Times New Roman"/>
          <w:b w:val="0"/>
          <w:i w:val="0"/>
          <w:color w:val="000000"/>
          <w:sz w:val="24"/>
          <w:szCs w:val="24"/>
        </w:rPr>
        <w:t>. The slurry was replaced every 5 000 cycles. At the end of the run the discs were rinsed with a stream of compressed tap water and dried with a disposable sponge.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szCs w:val="24"/>
        </w:rPr>
        <w:t>ΔRa (µm) = Ra after − Ra before.</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4</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Thirty-six discs were tested, twelve in each group. None was lost in processing. All discs completed 10 000 cycles at 2 N. Wear is reported as mass; roughness is reported as Ra.</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mass before and after brushing, and percentage loss, are given in Table 4.1 and illustrated in Figure 4.1.</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4.1</w:t>
      </w:r>
      <w:r>
        <w:rPr>
          <w:rFonts w:ascii="Times New Roman" w:hAnsi="Times New Roman" w:cs="Times New Roman" w:eastAsia="Times New Roman"/>
          <w:b w:val="0"/>
          <w:i w:val="0"/>
          <w:color w:val="000000"/>
          <w:sz w:val="24"/>
          <w:szCs w:val="24"/>
        </w:rPr>
        <w:t xml:space="preserve"> Mean weight before and after simulated toothbrushing and percentage weight loss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before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after (g)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Weight loss (%)</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0.1602 ± 0.0074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0.1576 ± 0.0031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1.49 ± 3.14</w:t>
            </w:r>
          </w:p>
        </w:tc>
        <w:tc>
          <w:tcPr>
            <w:tcW w:type="dxa" w:w="1361"/>
            <w:tcW w:w="1360" w:type="dxa"/>
            <w:vAlign w:val="cente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0.329†</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0.1630 ± 0.0102</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0.1619 ± 0.0106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0.65 ± 0.37</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0.2313 ± 0.0154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0.2303 ± 0.0156</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0.41 ± 0.25</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1"/>
                    <a:stretch>
                      <a:fillRect/>
                    </a:stretch>
                  </pic:blipFill>
                  <pic:spPr>
                    <a:xfrm>
                      <a:off x="0" y="0"/>
                      <a:ext cx="4937760" cy="3437748"/>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4.1</w:t>
      </w:r>
      <w:r>
        <w:rPr>
          <w:rFonts w:ascii="Times New Roman" w:hAnsi="Times New Roman" w:cs="Times New Roman" w:eastAsia="Times New Roman"/>
          <w:b w:val="0"/>
          <w:i w:val="0"/>
          <w:color w:val="000000"/>
          <w:sz w:val="24"/>
          <w:szCs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Absolute loss is set out in Table 4.2 because percentage loss on a lighter disc can exaggerate a small mass change, and because the outlying specimen is easier to see in milligrams.</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4.2</w:t>
      </w:r>
      <w:r>
        <w:rPr>
          <w:rFonts w:ascii="Times New Roman" w:hAnsi="Times New Roman" w:cs="Times New Roman" w:eastAsia="Times New Roman"/>
          <w:b w:val="0"/>
          <w:i w:val="0"/>
          <w:color w:val="000000"/>
          <w:sz w:val="24"/>
          <w:szCs w:val="24"/>
        </w:rPr>
        <w:t xml:space="preserve"> Absolute weight loss after 10 000 brushing cycles (n = 12)</w:t>
      </w:r>
    </w:p>
    <w:tbl>
      <w:tblPr>
        <w:jc w:val="center"/>
        <w:tblLook w:firstColumn="1" w:firstRow="1" w:lastColumn="0" w:lastRow="0" w:noHBand="0" w:noVBand="1" w:val="04A0"/>
        <w:tblW w:w="8958" w:type="dxa"/>
        <w:tblLayout w:type="fixed"/>
      </w:tblPr>
      <w:tblGrid>
        <w:gridCol w:w="3288"/>
        <w:gridCol w:w="3118"/>
        <w:gridCol w:w="2551"/>
      </w:tblGrid>
      <w:tr>
        <w:trPr>
          <w:cantSplit/>
          <w:tblHeader/>
        </w:trPr>
        <w:tc>
          <w:tcPr>
            <w:tcW w:type="dxa" w:w="3288"/>
            <w:tcW w:w="328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3118"/>
            <w:tcW w:w="3118"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Absolute weight loss (mg)</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2551"/>
            <w:tcW w:w="2551" w:type="dxa"/>
            <w:vAlign w:val="center"/>
            <w:tcMar>
              <w:top w:w="70" w:type="dxa"/>
              <w:left w:w="70" w:type="dxa"/>
              <w:bottom w:w="70" w:type="dxa"/>
              <w:right w:w="7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Range (mg)</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2.58 ± 5.91</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20.7</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1.07 ± 0.62</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0.2 – 1.9</w:t>
            </w:r>
          </w:p>
        </w:tc>
      </w:tr>
      <w:tr>
        <w:trPr>
          <w:cantSplit/>
        </w:trPr>
        <w:tc>
          <w:tcPr>
            <w:tcW w:type="dxa" w:w="3288"/>
            <w:tcW w:w="3288" w:type="dxa"/>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3118"/>
            <w:tcW w:w="3118"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0.95 ± 0.58</w:t>
            </w:r>
          </w:p>
        </w:tc>
        <w:tc>
          <w:tcPr>
            <w:tcW w:type="dxa" w:w="2551"/>
            <w:tcW w:w="2551" w:type="dxa"/>
            <w:noWrap/>
            <w:vAlign w:val="center"/>
            <w:tcMar>
              <w:top w:w="70" w:type="dxa"/>
              <w:left w:w="70" w:type="dxa"/>
              <w:bottom w:w="70" w:type="dxa"/>
              <w:right w:w="7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Mean Ra before and after brushing, and ΔRa, are given in Table 4.3 and illustrated in Figures 4.2 and 4.3.</w:t>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Table 4.3</w:t>
      </w:r>
      <w:r>
        <w:rPr>
          <w:rFonts w:ascii="Times New Roman" w:hAnsi="Times New Roman" w:cs="Times New Roman" w:eastAsia="Times New Roman"/>
          <w:b w:val="0"/>
          <w:i w:val="0"/>
          <w:color w:val="000000"/>
          <w:sz w:val="24"/>
          <w:szCs w:val="24"/>
        </w:rPr>
        <w:t xml:space="preserve"> Mean surface roughness (Ra) before and after simulated toothbrushing and the change in roughness (ΔRa) of the tested composite resins (n = 12)</w:t>
      </w:r>
    </w:p>
    <w:tbl>
      <w:tblPr>
        <w:jc w:val="center"/>
        <w:tblLook w:firstColumn="1" w:firstRow="1" w:lastColumn="0" w:lastRow="0" w:noHBand="0" w:noVBand="1" w:val="04A0"/>
        <w:tblW w:w="8958" w:type="dxa"/>
        <w:tblLayout w:type="fixed"/>
      </w:tblPr>
      <w:tblGrid>
        <w:gridCol w:w="1984"/>
        <w:gridCol w:w="1871"/>
        <w:gridCol w:w="1871"/>
        <w:gridCol w:w="1871"/>
        <w:gridCol w:w="1360"/>
      </w:tblGrid>
      <w:tr>
        <w:trPr>
          <w:cantSplit/>
          <w:tblHeader/>
        </w:trPr>
        <w:tc>
          <w:tcPr>
            <w:tcW w:type="dxa" w:w="1984"/>
            <w:tcW w:w="1984"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i w:val="0"/>
                <w:color w:val="000000"/>
                <w:sz w:val="22"/>
                <w:szCs w:val="22"/>
              </w:rPr>
              <w:t>Composite resin</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before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Ra after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871"/>
            <w:tcW w:w="1871"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ΔRa (µm)</w:t>
            </w:r>
          </w:p>
          <w:p>
            <w:pPr>
              <w:widowControl/>
              <w:spacing w:before="40" w:after="40" w:line="240" w:lineRule="auto"/>
              <w:ind w:firstLine="0"/>
              <w:jc w:val="center"/>
              <w:suppressAutoHyphens/>
            </w:pPr>
            <w:r>
              <w:rPr>
                <w:rFonts w:ascii="Times New Roman" w:hAnsi="Times New Roman" w:cs="Times New Roman" w:eastAsia="Times New Roman"/>
                <w:b/>
                <w:i w:val="0"/>
                <w:color w:val="000000"/>
                <w:sz w:val="22"/>
                <w:szCs w:val="22"/>
              </w:rPr>
              <w:t>Mean ± SD</w:t>
            </w:r>
          </w:p>
        </w:tc>
        <w:tc>
          <w:tcPr>
            <w:tcW w:type="dxa" w:w="1361"/>
            <w:tcW w:w="1360" w:type="dxa"/>
            <w:vAlign w:val="center"/>
            <w:tcMar>
              <w:top w:w="50" w:type="dxa"/>
              <w:left w:w="50" w:type="dxa"/>
              <w:bottom w:w="50" w:type="dxa"/>
              <w:right w:w="50" w:type="dxa"/>
            </w:tcMar>
            <w:tcBorders>
              <w:top w:val="single" w:sz="18" w:space="0" w:color="000000"/>
              <w:left w:val="nil" w:sz="0" w:space="0" w:color="auto"/>
              <w:bottom w:val="single" w:sz="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i w:val="0"/>
                <w:color w:val="000000"/>
                <w:sz w:val="22"/>
                <w:szCs w:val="22"/>
              </w:rPr>
              <w:t>p-value</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Flow Plus X F00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0.038 ± 0.011</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0.104 ± 0.017</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0.066 ± 0.021</w:t>
            </w:r>
          </w:p>
        </w:tc>
        <w:tc>
          <w:tcPr>
            <w:tcW w:type="dxa" w:w="1361"/>
            <w:tcW w:w="1360" w:type="dxa"/>
            <w:vAlign w:val="center"/>
            <w:vMerge w:val="restart"/>
            <w:noWrap/>
            <w:tcBorders>
              <w:top w:val="nil" w:sz="0" w:space="0" w:color="auto"/>
              <w:left w:val="nil" w:sz="0" w:space="0" w:color="auto"/>
              <w:bottom w:val="single" w:sz="18" w:space="0" w:color="000000"/>
              <w:right w:val="nil" w:sz="0" w:space="0" w:color="auto"/>
            </w:tcBorders>
            <w:tcMar>
              <w:top w:w="50" w:type="dxa"/>
              <w:left w:w="50" w:type="dxa"/>
              <w:bottom w:w="50" w:type="dxa"/>
              <w:right w:w="50" w:type="dxa"/>
            </w:tcMar>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&lt; 0.001‡</w:t>
            </w: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G-ænial Universal Injectable</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0.054 ± 0.010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0.100 ± 0.023</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nil" w:sz="0" w:space="0" w:color="auto"/>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0.046 ± 0.023</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nil" w:sz="0" w:space="0" w:color="auto"/>
              <w:right w:val="nil" w:sz="0" w:space="0" w:color="auto"/>
            </w:tcBorders>
          </w:tcPr>
          <w:p/>
        </w:tc>
      </w:tr>
      <w:tr>
        <w:trPr>
          <w:cantSplit/>
        </w:trPr>
        <w:tc>
          <w:tcPr>
            <w:tcW w:type="dxa" w:w="1984"/>
            <w:tcW w:w="1984" w:type="dxa"/>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left"/>
              <w:suppressAutoHyphens/>
            </w:pPr>
            <w:r/>
            <w:r>
              <w:rPr>
                <w:rFonts w:ascii="Times New Roman" w:hAnsi="Times New Roman" w:cs="Times New Roman" w:eastAsia="Times New Roman"/>
                <w:b w:val="0"/>
                <w:i w:val="0"/>
                <w:color w:val="000000"/>
                <w:sz w:val="22"/>
                <w:szCs w:val="22"/>
              </w:rPr>
              <w:t>Beautifil II LS</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0.119 ± 0.054</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0.194 ± 0.050</w:t>
            </w:r>
          </w:p>
        </w:tc>
        <w:tc>
          <w:tcPr>
            <w:tcW w:type="dxa" w:w="1871"/>
            <w:tcW w:w="1871" w:type="dxa"/>
            <w:noWrap/>
            <w:vAlign w:val="center"/>
            <w:tcMar>
              <w:top w:w="50" w:type="dxa"/>
              <w:left w:w="50" w:type="dxa"/>
              <w:bottom w:w="50" w:type="dxa"/>
              <w:right w:w="50" w:type="dxa"/>
            </w:tcMar>
            <w:tcBorders>
              <w:top w:val="nil" w:sz="0" w:space="0" w:color="auto"/>
              <w:left w:val="nil" w:sz="0" w:space="0" w:color="auto"/>
              <w:bottom w:val="single" w:sz="18" w:space="0" w:color="000000"/>
              <w:right w:val="nil" w:sz="0" w:space="0" w:color="auto"/>
            </w:tcBorders>
          </w:tcPr>
          <w:p>
            <w:pPr>
              <w:widowControl/>
              <w:spacing w:before="40" w:after="40" w:line="240" w:lineRule="auto"/>
              <w:ind w:firstLine="0"/>
              <w:jc w:val="center"/>
              <w:suppressAutoHyphens/>
            </w:pPr>
            <w:r/>
            <w:r>
              <w:rPr>
                <w:rFonts w:ascii="Times New Roman" w:hAnsi="Times New Roman" w:cs="Times New Roman" w:eastAsia="Times New Roman"/>
                <w:b w:val="0"/>
                <w:i w:val="0"/>
                <w:color w:val="000000"/>
                <w:sz w:val="22"/>
                <w:szCs w:val="22"/>
              </w:rPr>
              <w:t>0.075 ± 0.066</w:t>
            </w:r>
          </w:p>
        </w:tc>
        <w:tc>
          <w:tcPr>
            <w:tcW w:type="dxa" w:w="1361"/>
            <w:tcW w:w="1360" w:type="dxa"/>
            <w:noWrap/>
            <w:vAlign w:val="center"/>
            <w:tcMar>
              <w:top w:w="50" w:type="dxa"/>
              <w:left w:w="50" w:type="dxa"/>
              <w:bottom w:w="50" w:type="dxa"/>
              <w:right w:w="5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szCs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2"/>
                    <a:stretch>
                      <a:fillRect/>
                    </a:stretch>
                  </pic:blipFill>
                  <pic:spPr>
                    <a:xfrm>
                      <a:off x="0" y="0"/>
                      <a:ext cx="4937760" cy="3109049"/>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4.2</w:t>
      </w:r>
      <w:r>
        <w:rPr>
          <w:rFonts w:ascii="Times New Roman" w:hAnsi="Times New Roman" w:cs="Times New Roman" w:eastAsia="Times New Roman"/>
          <w:b w:val="0"/>
          <w:i w:val="0"/>
          <w:color w:val="000000"/>
          <w:sz w:val="24"/>
          <w:szCs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3"/>
                    <a:stretch>
                      <a:fillRect/>
                    </a:stretch>
                  </pic:blipFill>
                  <pic:spPr>
                    <a:xfrm>
                      <a:off x="0" y="0"/>
                      <a:ext cx="4937760" cy="3261737"/>
                    </a:xfrm>
                    <a:prstGeom prst="rect"/>
                  </pic:spPr>
                </pic:pic>
              </a:graphicData>
            </a:graphic>
          </wp:inline>
        </w:drawing>
      </w:r>
    </w:p>
    <w:p>
      <w:pPr>
        <w:keepNext/>
        <w:widowControl/>
        <w:spacing w:before="320" w:after="200" w:lineRule="auto" w:line="276"/>
        <w:ind w:firstLine="0"/>
        <w:jc w:val="left"/>
      </w:pPr>
      <w:r>
        <w:rPr>
          <w:rFonts w:ascii="Times New Roman" w:hAnsi="Times New Roman" w:cs="Times New Roman" w:eastAsia="Times New Roman"/>
          <w:b/>
          <w:i w:val="0"/>
          <w:color w:val="000000"/>
          <w:sz w:val="24"/>
          <w:szCs w:val="24"/>
        </w:rPr>
        <w:t>Figure 4.3</w:t>
      </w:r>
      <w:r>
        <w:rPr>
          <w:rFonts w:ascii="Times New Roman" w:hAnsi="Times New Roman" w:cs="Times New Roman" w:eastAsia="Times New Roman"/>
          <w:b w:val="0"/>
          <w:i w:val="0"/>
          <w:color w:val="000000"/>
          <w:sz w:val="24"/>
          <w:szCs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Relative to the 0.2 µm plaque-retention threshold </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5</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szCs w:val="24"/>
          <w:vertAlign w:val="superscript"/>
        </w:rPr>
        <w:t>(12)</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szCs w:val="24"/>
          <w:vertAlign w:val="superscript"/>
        </w:rPr>
        <w:t>(6,18,24)</w:t>
      </w:r>
      <w:r>
        <w:rPr>
          <w:rFonts w:ascii="Times New Roman" w:hAnsi="Times New Roman" w:cs="Times New Roman" w:eastAsia="Times New Roman"/>
          <w:b w:val="0"/>
          <w:i w:val="0"/>
          <w:color w:val="000000"/>
          <w:sz w:val="24"/>
          <w:szCs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szCs w:val="24"/>
          <w:vertAlign w:val="superscript"/>
        </w:rPr>
        <w:t>(4,18)</w:t>
      </w:r>
      <w:r>
        <w:rPr>
          <w:rFonts w:ascii="Times New Roman" w:hAnsi="Times New Roman" w:cs="Times New Roman" w:eastAsia="Times New Roman"/>
          <w:b w:val="0"/>
          <w:i w:val="0"/>
          <w:color w:val="000000"/>
          <w:sz w:val="24"/>
          <w:szCs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szCs w:val="24"/>
          <w:vertAlign w:val="superscript"/>
        </w:rPr>
        <w:t>(18)</w:t>
      </w:r>
      <w:r>
        <w:rPr>
          <w:rFonts w:ascii="Times New Roman" w:hAnsi="Times New Roman" w:cs="Times New Roman" w:eastAsia="Times New Roman"/>
          <w:b w:val="0"/>
          <w:i w:val="0"/>
          <w:color w:val="000000"/>
          <w:sz w:val="24"/>
          <w:szCs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szCs w:val="24"/>
          <w:vertAlign w:val="superscript"/>
        </w:rPr>
        <w:t>(25)</w:t>
      </w:r>
      <w:r>
        <w:rPr>
          <w:rFonts w:ascii="Times New Roman" w:hAnsi="Times New Roman" w:cs="Times New Roman" w:eastAsia="Times New Roman"/>
          <w:b w:val="0"/>
          <w:i w:val="0"/>
          <w:color w:val="000000"/>
          <w:sz w:val="24"/>
          <w:szCs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szCs w:val="24"/>
          <w:vertAlign w:val="superscript"/>
        </w:rPr>
        <w:t>(1,17)</w:t>
      </w:r>
      <w:r>
        <w:rPr>
          <w:rFonts w:ascii="Times New Roman" w:hAnsi="Times New Roman" w:cs="Times New Roman" w:eastAsia="Times New Roman"/>
          <w:b w:val="0"/>
          <w:i w:val="0"/>
          <w:color w:val="000000"/>
          <w:sz w:val="24"/>
          <w:szCs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szCs w:val="24"/>
          <w:vertAlign w:val="superscript"/>
        </w:rPr>
        <w:t>(20)</w:t>
      </w:r>
      <w:r>
        <w:rPr>
          <w:rFonts w:ascii="Times New Roman" w:hAnsi="Times New Roman" w:cs="Times New Roman" w:eastAsia="Times New Roman"/>
          <w:b w:val="0"/>
          <w:i w:val="0"/>
          <w:color w:val="000000"/>
          <w:sz w:val="24"/>
          <w:szCs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szCs w:val="24"/>
          <w:vertAlign w:val="superscript"/>
        </w:rPr>
        <w:t>(26)</w:t>
      </w:r>
      <w:r>
        <w:rPr>
          <w:rFonts w:ascii="Times New Roman" w:hAnsi="Times New Roman" w:cs="Times New Roman" w:eastAsia="Times New Roman"/>
          <w:b w:val="0"/>
          <w:i w:val="0"/>
          <w:color w:val="000000"/>
          <w:sz w:val="24"/>
          <w:szCs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szCs w:val="24"/>
          <w:vertAlign w:val="superscript"/>
        </w:rPr>
        <w:t>(3,7,14)</w:t>
      </w:r>
      <w:r>
        <w:rPr>
          <w:rFonts w:ascii="Times New Roman" w:hAnsi="Times New Roman" w:cs="Times New Roman" w:eastAsia="Times New Roman"/>
          <w:b w:val="0"/>
          <w:i w:val="0"/>
          <w:color w:val="000000"/>
          <w:sz w:val="24"/>
          <w:szCs w:val="24"/>
        </w:rPr>
        <w:t>. The statistical tests were chosen to match the distributions of the two outcomes. The outlying specimen was retained and identified rather than discarded.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szCs w:val="24"/>
          <w:vertAlign w:val="superscript"/>
        </w:rPr>
        <w:t>(10,28)</w:t>
      </w:r>
      <w:r>
        <w:rPr>
          <w:rFonts w:ascii="Times New Roman" w:hAnsi="Times New Roman" w:cs="Times New Roman" w:eastAsia="Times New Roman"/>
          <w:b w:val="0"/>
          <w:i w:val="0"/>
          <w:color w:val="000000"/>
          <w:sz w:val="24"/>
          <w:szCs w:val="24"/>
        </w:rPr>
        <w:t xml:space="preserve">. Gravimetric loss is not worn volume and is not worn anatomy </w:t>
      </w:r>
      <w:r>
        <w:rPr>
          <w:rFonts w:ascii="Times New Roman" w:hAnsi="Times New Roman" w:cs="Times New Roman" w:eastAsia="Times New Roman"/>
          <w:b w:val="0"/>
          <w:i w:val="0"/>
          <w:color w:val="000000"/>
          <w:sz w:val="24"/>
          <w:szCs w:val="24"/>
          <w:vertAlign w:val="superscript"/>
        </w:rPr>
        <w:t>(15)</w:t>
      </w:r>
      <w:r>
        <w:rPr>
          <w:rFonts w:ascii="Times New Roman" w:hAnsi="Times New Roman" w:cs="Times New Roman" w:eastAsia="Times New Roman"/>
          <w:b w:val="0"/>
          <w:i w:val="0"/>
          <w:color w:val="000000"/>
          <w:sz w:val="24"/>
          <w:szCs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szCs w:val="24"/>
          <w:vertAlign w:val="superscript"/>
        </w:rPr>
        <w:t>(8,25)</w:t>
      </w:r>
      <w:r>
        <w:rPr>
          <w:rFonts w:ascii="Times New Roman" w:hAnsi="Times New Roman" w:cs="Times New Roman" w:eastAsia="Times New Roman"/>
          <w:b w:val="0"/>
          <w:i w:val="0"/>
          <w:color w:val="000000"/>
          <w:sz w:val="24"/>
          <w:szCs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6</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CONCLUSIONS AND RECOMMENDATIONS</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szCs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The first null hypothesis is retained. The second is rejected.</w:t>
      </w:r>
    </w:p>
    <w:p>
      <w:pPr>
        <w:pStyle w:val="Heading2"/>
        <w:keepNext/>
        <w:widowControl/>
        <w:spacing w:before="440" w:after="280" w:line="240" w:lineRule="auto"/>
        <w:ind w:firstLine="0"/>
        <w:jc w:val="left"/>
      </w:pPr>
      <w:r>
        <w:rPr>
          <w:rFonts w:ascii="Times New Roman" w:hAnsi="Times New Roman" w:cs="Times New Roman" w:eastAsia="Times New Roman"/>
          <w:b/>
          <w:i w:val="0"/>
          <w:color w:val="000000"/>
          <w:sz w:val="24"/>
          <w:szCs w:val="24"/>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practice.</w:t>
      </w:r>
      <w:r>
        <w:rPr>
          <w:rFonts w:ascii="Times New Roman" w:hAnsi="Times New Roman" w:cs="Times New Roman" w:eastAsia="Times New Roman"/>
          <w:b w:val="0"/>
          <w:i w:val="0"/>
          <w:color w:val="000000"/>
          <w:sz w:val="24"/>
          <w:szCs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Further laboratory work.</w:t>
      </w:r>
      <w:r>
        <w:rPr>
          <w:rFonts w:ascii="Times New Roman" w:hAnsi="Times New Roman" w:cs="Times New Roman" w:eastAsia="Times New Roman"/>
          <w:b w:val="0"/>
          <w:i w:val="0"/>
          <w:color w:val="000000"/>
          <w:sz w:val="24"/>
          <w:szCs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szCs w:val="24"/>
        </w:rPr>
        <w:t>Clinical research.</w:t>
      </w:r>
      <w:r>
        <w:rPr>
          <w:rFonts w:ascii="Times New Roman" w:hAnsi="Times New Roman" w:cs="Times New Roman" w:eastAsia="Times New Roman"/>
          <w:b w:val="0"/>
          <w:i w:val="0"/>
          <w:color w:val="000000"/>
          <w:sz w:val="24"/>
          <w:szCs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360" w:after="240" w:line="240" w:lineRule="auto"/>
        <w:ind w:firstLine="0"/>
        <w:jc w:val="center"/>
      </w:pPr>
      <w:r>
        <w:rPr>
          <w:rFonts w:ascii="Times New Roman" w:hAnsi="Times New Roman" w:cs="Times New Roman" w:eastAsia="Times New Roman"/>
          <w:b/>
          <w:i w:val="0"/>
          <w:color w:val="000000"/>
          <w:sz w:val="32"/>
          <w:szCs w:val="32"/>
        </w:rPr>
        <w:t>CHAPTER 7</w:t>
      </w:r>
    </w:p>
    <w:p>
      <w:pPr>
        <w:pStyle w:val="Heading1"/>
        <w:keepNext/>
        <w:widowControl/>
        <w:spacing w:before="360" w:after="1120" w:line="240" w:lineRule="auto"/>
        <w:ind w:firstLine="0"/>
        <w:jc w:val="center"/>
      </w:pPr>
      <w:r>
        <w:rPr>
          <w:rFonts w:ascii="Times New Roman" w:hAnsi="Times New Roman" w:cs="Times New Roman" w:eastAsia="Times New Roman"/>
          <w:b/>
          <w:i w:val="0"/>
          <w:color w:val="000000"/>
          <w:sz w:val="32"/>
          <w:szCs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 Jones CS, Billington RW, Pearson GJ. The in vivo perception of roughness of restorations. Br Dent J. 2004;196</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szCs w:val="24"/>
          <w:vertAlign w:val="superscript"/>
        </w:rPr>
        <w:t>(19)</w:t>
      </w:r>
      <w:r>
        <w:rPr>
          <w:rFonts w:ascii="Times New Roman" w:hAnsi="Times New Roman" w:cs="Times New Roman" w:eastAsia="Times New Roman"/>
          <w:b w:val="0"/>
          <w:i w:val="0"/>
          <w:color w:val="000000"/>
          <w:sz w:val="24"/>
          <w:szCs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7. Sexson JC, Phillips RW. Studies on the effects of abrasives on acrylic resins. J Prosthet Dent. 1951;1</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szCs w:val="24"/>
          <w:vertAlign w:val="superscript"/>
        </w:rPr>
        <w:t>(8)</w:t>
      </w:r>
      <w:r>
        <w:rPr>
          <w:rFonts w:ascii="Times New Roman" w:hAnsi="Times New Roman" w:cs="Times New Roman" w:eastAsia="Times New Roman"/>
          <w:b w:val="0"/>
          <w:i w:val="0"/>
          <w:color w:val="000000"/>
          <w:sz w:val="24"/>
          <w:szCs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11. Ferracane JL. Resin composite—state of the art. Dent Mater. 2011;27</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szCs w:val="24"/>
          <w:vertAlign w:val="superscript"/>
        </w:rPr>
        <w:t>(7)</w:t>
      </w:r>
      <w:r>
        <w:rPr>
          <w:rFonts w:ascii="Times New Roman" w:hAnsi="Times New Roman" w:cs="Times New Roman" w:eastAsia="Times New Roman"/>
          <w:b w:val="0"/>
          <w:i w:val="0"/>
          <w:color w:val="000000"/>
          <w:sz w:val="24"/>
          <w:szCs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szCs w:val="24"/>
          <w:vertAlign w:val="superscript"/>
        </w:rPr>
        <w:t>(6)</w:t>
      </w:r>
      <w:r>
        <w:rPr>
          <w:rFonts w:ascii="Times New Roman" w:hAnsi="Times New Roman" w:cs="Times New Roman" w:eastAsia="Times New Roman"/>
          <w:b w:val="0"/>
          <w:i w:val="0"/>
          <w:color w:val="000000"/>
          <w:sz w:val="24"/>
          <w:szCs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szCs w:val="24"/>
          <w:vertAlign w:val="superscript"/>
        </w:rPr>
        <w:t>(14)</w:t>
      </w:r>
      <w:r>
        <w:rPr>
          <w:rFonts w:ascii="Times New Roman" w:hAnsi="Times New Roman" w:cs="Times New Roman" w:eastAsia="Times New Roman"/>
          <w:b w:val="0"/>
          <w:i w:val="0"/>
          <w:color w:val="000000"/>
          <w:sz w:val="24"/>
          <w:szCs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szCs w:val="24"/>
          <w:vertAlign w:val="superscript"/>
        </w:rPr>
        <w:t>(11)</w:t>
      </w:r>
      <w:r>
        <w:rPr>
          <w:rFonts w:ascii="Times New Roman" w:hAnsi="Times New Roman" w:cs="Times New Roman" w:eastAsia="Times New Roman"/>
          <w:b w:val="0"/>
          <w:i w:val="0"/>
          <w:color w:val="000000"/>
          <w:sz w:val="24"/>
          <w:szCs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szCs w:val="24"/>
          <w:vertAlign w:val="superscript"/>
        </w:rPr>
        <w:t>(5)</w:t>
      </w:r>
      <w:r>
        <w:rPr>
          <w:rFonts w:ascii="Times New Roman" w:hAnsi="Times New Roman" w:cs="Times New Roman" w:eastAsia="Times New Roman"/>
          <w:b w:val="0"/>
          <w:i w:val="0"/>
          <w:color w:val="000000"/>
          <w:sz w:val="24"/>
          <w:szCs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szCs w:val="24"/>
          <w:vertAlign w:val="superscript"/>
        </w:rPr>
        <w:t>(4)</w:t>
      </w:r>
      <w:r>
        <w:rPr>
          <w:rFonts w:ascii="Times New Roman" w:hAnsi="Times New Roman" w:cs="Times New Roman" w:eastAsia="Times New Roman"/>
          <w:b w:val="0"/>
          <w:i w:val="0"/>
          <w:color w:val="000000"/>
          <w:sz w:val="24"/>
          <w:szCs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szCs w:val="24"/>
          <w:vertAlign w:val="superscript"/>
        </w:rPr>
        <w:t>(24)</w:t>
      </w:r>
      <w:r>
        <w:rPr>
          <w:rFonts w:ascii="Times New Roman" w:hAnsi="Times New Roman" w:cs="Times New Roman" w:eastAsia="Times New Roman"/>
          <w:b w:val="0"/>
          <w:i w:val="0"/>
          <w:color w:val="000000"/>
          <w:sz w:val="24"/>
          <w:szCs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szCs w:val="24"/>
          <w:vertAlign w:val="superscript"/>
        </w:rPr>
        <w:t>(1)</w:t>
      </w:r>
      <w:r>
        <w:rPr>
          <w:rFonts w:ascii="Times New Roman" w:hAnsi="Times New Roman" w:cs="Times New Roman" w:eastAsia="Times New Roman"/>
          <w:b w:val="0"/>
          <w:i w:val="0"/>
          <w:color w:val="000000"/>
          <w:sz w:val="24"/>
          <w:szCs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szCs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szCs w:val="24"/>
          <w:vertAlign w:val="superscript"/>
        </w:rPr>
        <w:t>(2)</w:t>
      </w:r>
      <w:r>
        <w:rPr>
          <w:rFonts w:ascii="Times New Roman" w:hAnsi="Times New Roman" w:cs="Times New Roman" w:eastAsia="Times New Roman"/>
          <w:b w:val="0"/>
          <w:i w:val="0"/>
          <w:color w:val="000000"/>
          <w:sz w:val="24"/>
          <w:szCs w:val="24"/>
        </w:rPr>
        <w:t>:e18.</w:t>
      </w:r>
    </w:p>
    <w:sectPr w:rsidR="00FC693F" w:rsidRPr="0006063C" w:rsidSect="00034616">
      <w:headerReference w:type="default" r:id="rId9"/>
      <w:footerReference w:type="default" r:id="rId10"/>
      <w:pgSz w:w="11906" w:h="16838"/>
      <w:pgMar w:top="1049" w:right="1247" w:bottom="964" w:left="1701" w:header="113" w:footer="10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szCs w:val="16"/>
      </w:rPr>
      <w:t>Faculty of Dentistry, Pharos University in Alexandria  ·  Canal El Mahmoudia Street, Smouha  ·  +(203) 38 77 026  ·  Dentistry@pua.edu.eg</w:t>
    </w:r>
  </w:p>
  <w:p>
    <w:pPr>
      <w:spacing w:before="40" w:after="0" w:line="240" w:lineRule="auto"/>
      <w:ind w:firstLine="0"/>
      <w:jc w:val="center"/>
    </w:pPr>
    <w:r>
      <w:rPr>
        <w:rFonts w:ascii="Times New Roman" w:hAnsi="Times New Roman" w:cs="Times New Roman" w:eastAsia="Times New Roman"/>
        <w:b w:val="0"/>
        <w:i w:val="0"/>
        <w:color w:val="000000"/>
        <w:sz w:val="24"/>
        <w:szCs w:val="2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Rule="exact" w:line="737"/>
      <w:ind w:firstLine="0"/>
      <w:jc w:val="center"/>
    </w:pPr>
    <w:r>
      <w:drawing>
        <wp:inline xmlns:a="http://schemas.openxmlformats.org/drawingml/2006/main" xmlns:pic="http://schemas.openxmlformats.org/drawingml/2006/picture">
          <wp:extent cx="3510000" cy="4680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3510000" cy="468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12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440" w:after="280" w:line="240" w:lineRule="auto"/>
      <w:ind w:firstLine="0"/>
      <w:jc w:val="left"/>
      <w:outlineLvl w:val="1"/>
    </w:pPr>
    <w:rPr>
      <w:rFonts w:asciiTheme="majorHAnsi" w:eastAsiaTheme="majorEastAsia" w:hAnsiTheme="majorHAnsi" w:cstheme="majorBidi" w:ascii="Times New Roman" w:hAnsi="Times New Roman"/>
      <w:b/>
      <w:bCs/>
      <w:i w:val="0"/>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