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ind w:firstLine="0"/>
        <w:jc w:val="center"/>
      </w:pPr>
      <w:r>
        <w:rPr>
          <w:rFonts w:ascii="Times New Roman" w:hAnsi="Times New Roman" w:eastAsia="Times New Roman"/>
          <w:b/>
          <w:i w:val="0"/>
          <w:color w:val="000000"/>
          <w:sz w:val="32"/>
        </w:rPr>
        <w:t>PHAROS UNIVERSITY IN ALEXANDRIA</w:t>
      </w:r>
    </w:p>
    <w:p>
      <w:pPr>
        <w:spacing w:before="0" w:after="0" w:line="480" w:lineRule="auto"/>
        <w:ind w:firstLine="0"/>
        <w:jc w:val="center"/>
      </w:pPr>
      <w:r>
        <w:rPr>
          <w:rFonts w:ascii="Times New Roman" w:hAnsi="Times New Roman" w:eastAsia="Times New Roman"/>
          <w:b/>
          <w:i w:val="0"/>
          <w:color w:val="000000"/>
          <w:sz w:val="28"/>
        </w:rPr>
        <w:t>FACULTY OF DENTISTRY</w:t>
      </w:r>
    </w:p>
    <w:p>
      <w:pPr>
        <w:spacing w:before="0" w:after="360" w:line="480" w:lineRule="auto"/>
        <w:ind w:firstLine="0"/>
        <w:jc w:val="center"/>
      </w:pPr>
      <w:r>
        <w:rPr>
          <w:rFonts w:ascii="Times New Roman" w:hAnsi="Times New Roman" w:eastAsia="Times New Roman"/>
          <w:b w:val="0"/>
          <w:i/>
          <w:color w:val="000000"/>
          <w:sz w:val="26"/>
        </w:rPr>
        <w:t>Department of Conservative Dentistry</w:t>
      </w:r>
    </w:p>
    <w:p>
      <w:pPr>
        <w:spacing w:before="0" w:after="360" w:line="480" w:lineRule="auto"/>
        <w:ind w:firstLine="0"/>
        <w:jc w:val="center"/>
      </w:pPr>
      <w:r>
        <w:rPr>
          <w:rFonts w:ascii="Times New Roman" w:hAnsi="Times New Roman" w:eastAsia="Times New Roman"/>
          <w:b w:val="0"/>
          <w:i/>
          <w:color w:val="000000"/>
          <w:sz w:val="22"/>
        </w:rPr>
        <w:t>RESEARCH PROTOCOL / THESIS COVER</w:t>
      </w:r>
    </w:p>
    <w:p>
      <w:pPr>
        <w:spacing w:before="240" w:after="120" w:line="480" w:lineRule="auto"/>
        <w:ind w:firstLine="0"/>
        <w:jc w:val="center"/>
      </w:pPr>
      <w:r>
        <w:rPr>
          <w:rFonts w:ascii="Times New Roman" w:hAnsi="Times New Roman" w:eastAsia="Times New Roman"/>
          <w:b/>
          <w:i w:val="0"/>
          <w:color w:val="000000"/>
          <w:sz w:val="28"/>
        </w:rPr>
        <w:t>COMPARATIVE EVALUATION OF WEAR RESISTANCE AND SURFACE ROUGHNESS OF INJECTABLE VERSUS CONVENTIONAL NANOHYBRID COMPOSITE RESINS</w:t>
      </w:r>
    </w:p>
    <w:p>
      <w:pPr>
        <w:spacing w:before="0" w:after="480" w:line="480" w:lineRule="auto"/>
        <w:ind w:firstLine="0"/>
        <w:jc w:val="center"/>
      </w:pPr>
      <w:r>
        <w:rPr>
          <w:rFonts w:ascii="Times New Roman" w:hAnsi="Times New Roman" w:eastAsia="Times New Roman"/>
          <w:b w:val="0"/>
          <w:i/>
          <w:color w:val="000000"/>
          <w:sz w:val="26"/>
        </w:rPr>
        <w:t>(In Vitro Study)</w:t>
      </w:r>
    </w:p>
    <w:p>
      <w:pPr>
        <w:spacing w:before="0" w:after="0" w:line="480" w:lineRule="auto"/>
        <w:ind w:firstLine="0"/>
        <w:jc w:val="center"/>
      </w:pPr>
      <w:r>
        <w:rPr>
          <w:rFonts w:ascii="Times New Roman" w:hAnsi="Times New Roman" w:eastAsia="Times New Roman"/>
          <w:b w:val="0"/>
          <w:i w:val="0"/>
          <w:color w:val="000000"/>
          <w:sz w:val="24"/>
        </w:rPr>
        <w:t>A Thesis submitted in partial fulfillment of the</w:t>
      </w:r>
    </w:p>
    <w:p>
      <w:pPr>
        <w:spacing w:before="0" w:after="0" w:line="480" w:lineRule="auto"/>
        <w:ind w:firstLine="0"/>
        <w:jc w:val="center"/>
      </w:pPr>
      <w:r>
        <w:rPr>
          <w:rFonts w:ascii="Times New Roman" w:hAnsi="Times New Roman" w:eastAsia="Times New Roman"/>
          <w:b w:val="0"/>
          <w:i w:val="0"/>
          <w:color w:val="000000"/>
          <w:sz w:val="24"/>
        </w:rPr>
        <w:t>requirements for the degree of Master of Science</w:t>
      </w:r>
    </w:p>
    <w:p>
      <w:pPr>
        <w:spacing w:before="0" w:after="0" w:line="480" w:lineRule="auto"/>
        <w:ind w:firstLine="0"/>
        <w:jc w:val="center"/>
      </w:pPr>
      <w:r>
        <w:rPr>
          <w:rFonts w:ascii="Times New Roman" w:hAnsi="Times New Roman" w:eastAsia="Times New Roman"/>
          <w:b w:val="0"/>
          <w:i w:val="0"/>
          <w:color w:val="000000"/>
          <w:sz w:val="24"/>
        </w:rPr>
        <w:t>in</w:t>
      </w:r>
    </w:p>
    <w:p>
      <w:pPr>
        <w:spacing w:before="0" w:after="480" w:line="480" w:lineRule="auto"/>
        <w:ind w:firstLine="0"/>
        <w:jc w:val="center"/>
      </w:pPr>
      <w:r>
        <w:rPr>
          <w:rFonts w:ascii="Times New Roman" w:hAnsi="Times New Roman" w:eastAsia="Times New Roman"/>
          <w:b/>
          <w:i w:val="0"/>
          <w:color w:val="000000"/>
          <w:sz w:val="26"/>
        </w:rPr>
        <w:t>Conservative Dentistry</w:t>
      </w:r>
    </w:p>
    <w:p>
      <w:pPr>
        <w:spacing w:before="240" w:after="0" w:line="480" w:lineRule="auto"/>
        <w:ind w:firstLine="0"/>
        <w:jc w:val="center"/>
      </w:pPr>
      <w:r>
        <w:rPr>
          <w:rFonts w:ascii="Times New Roman" w:hAnsi="Times New Roman" w:eastAsia="Times New Roman"/>
          <w:b w:val="0"/>
          <w:i w:val="0"/>
          <w:color w:val="000000"/>
          <w:sz w:val="24"/>
        </w:rPr>
        <w:t>Submitted by</w:t>
      </w:r>
    </w:p>
    <w:p>
      <w:pPr>
        <w:spacing w:before="0" w:after="480" w:line="480" w:lineRule="auto"/>
        <w:ind w:firstLine="0"/>
        <w:jc w:val="center"/>
      </w:pPr>
      <w:r>
        <w:rPr>
          <w:rFonts w:ascii="Times New Roman" w:hAnsi="Times New Roman" w:eastAsia="Times New Roman"/>
          <w:b/>
          <w:i w:val="0"/>
          <w:color w:val="000000"/>
          <w:sz w:val="26"/>
        </w:rPr>
        <w:t>Mohamed Talaat Mohamed AbdelMoaty ElAbd</w:t>
      </w:r>
    </w:p>
    <w:p>
      <w:pPr>
        <w:spacing w:before="240" w:after="0" w:line="480" w:lineRule="auto"/>
        <w:ind w:firstLine="0"/>
        <w:jc w:val="center"/>
      </w:pPr>
      <w:r>
        <w:rPr>
          <w:rFonts w:ascii="Times New Roman" w:hAnsi="Times New Roman" w:eastAsia="Times New Roman"/>
          <w:b/>
          <w:i w:val="0"/>
          <w:color w:val="000000"/>
          <w:sz w:val="24"/>
        </w:rPr>
        <w:t>Supervisors</w:t>
      </w:r>
    </w:p>
    <w:p>
      <w:pPr>
        <w:spacing w:before="0" w:after="0" w:line="480" w:lineRule="auto"/>
        <w:ind w:firstLine="0"/>
        <w:jc w:val="center"/>
      </w:pPr>
      <w:r>
        <w:rPr>
          <w:rFonts w:ascii="Times New Roman" w:hAnsi="Times New Roman" w:eastAsia="Times New Roman"/>
          <w:b w:val="0"/>
          <w:i w:val="0"/>
          <w:color w:val="000000"/>
          <w:sz w:val="24"/>
        </w:rPr>
        <w:t>Prof. Dr. …………………………………………</w:t>
      </w:r>
    </w:p>
    <w:p>
      <w:pPr>
        <w:spacing w:before="0" w:after="480" w:line="480" w:lineRule="auto"/>
        <w:ind w:firstLine="0"/>
        <w:jc w:val="center"/>
      </w:pPr>
      <w:r>
        <w:rPr>
          <w:rFonts w:ascii="Times New Roman" w:hAnsi="Times New Roman" w:eastAsia="Times New Roman"/>
          <w:b w:val="0"/>
          <w:i w:val="0"/>
          <w:color w:val="000000"/>
          <w:sz w:val="24"/>
        </w:rPr>
        <w:t>Ass. Prof. Dr. …………………………………………</w:t>
      </w:r>
    </w:p>
    <w:p>
      <w:pPr>
        <w:spacing w:before="360" w:after="0" w:line="480" w:lineRule="auto"/>
        <w:ind w:firstLine="0"/>
        <w:jc w:val="center"/>
      </w:pPr>
      <w:r>
        <w:rPr>
          <w:rFonts w:ascii="Times New Roman" w:hAnsi="Times New Roman" w:eastAsia="Times New Roman"/>
          <w:b/>
          <w:i w:val="0"/>
          <w:color w:val="000000"/>
          <w:sz w:val="26"/>
        </w:rPr>
        <w:t>2025 / 2026</w:t>
      </w:r>
    </w:p>
    <w:p>
      <w:pPr>
        <w:spacing w:before="360" w:after="0" w:line="480" w:lineRule="auto"/>
        <w:ind w:firstLine="0"/>
        <w:jc w:val="center"/>
      </w:pPr>
      <w:r>
        <w:rPr>
          <w:rFonts w:ascii="Times New Roman" w:hAnsi="Times New Roman" w:eastAsia="Times New Roman"/>
          <w:b w:val="0"/>
          <w:i/>
          <w:color w:val="000000"/>
          <w:sz w:val="20"/>
        </w:rPr>
        <w:t>This page is typeset from the protocol cover (title, candidate, faculty, degree, year). Replace it with the photograph of the approved protocol cover when that file is supplied.</w:t>
      </w:r>
    </w:p>
    <w:p>
      <w:r>
        <w:br w:type="page"/>
      </w:r>
    </w:p>
    <w:p>
      <w:pPr>
        <w:spacing w:before="0" w:after="120" w:line="480" w:lineRule="auto"/>
        <w:ind w:firstLine="0"/>
        <w:jc w:val="center"/>
      </w:pPr>
      <w:r>
        <w:rPr>
          <w:rFonts w:ascii="Times New Roman" w:hAnsi="Times New Roman" w:eastAsia="Times New Roman"/>
          <w:b/>
          <w:i w:val="0"/>
          <w:color w:val="000000"/>
          <w:sz w:val="32"/>
        </w:rPr>
        <w:t>Abstract</w:t>
      </w:r>
    </w:p>
    <w:p>
      <w:pPr>
        <w:spacing w:before="0" w:after="0" w:line="480" w:lineRule="auto"/>
        <w:ind w:firstLine="709"/>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sold for load-bearing use. Their loss of mass and change in surface roughness after toothbrush abrasion still need a direct comparison with a conventional nanohybrid resin under the same laboratory conditions.</w:t>
      </w:r>
    </w:p>
    <w:p>
      <w:pPr>
        <w:spacing w:before="0" w:after="0" w:line="480" w:lineRule="auto"/>
        <w:ind w:firstLine="709"/>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spacing w:before="0" w:after="0" w:line="480" w:lineRule="auto"/>
        <w:ind w:firstLine="709"/>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were brushed at 2 N in a Colgate Total slurry prepared after ISO guidance. Mass was recorded before and after abrasion. Ra was measured by contact profilometry. Percentage weight loss was compared by one-way ANOVA. Ra after brushing was compared by the Kruskal–Wallis test (α = 0.05).</w:t>
      </w:r>
    </w:p>
    <w:p>
      <w:pPr>
        <w:spacing w:before="0" w:after="0" w:line="480" w:lineRule="auto"/>
        <w:ind w:firstLine="709"/>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spacing w:before="0" w:after="0" w:line="480" w:lineRule="auto"/>
        <w:ind w:firstLine="709"/>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spacing w:before="0" w:after="0" w:line="480" w:lineRule="auto"/>
        <w:ind w:firstLine="709"/>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spacing w:before="240" w:after="120" w:line="480" w:lineRule="auto"/>
        <w:ind w:firstLine="0"/>
        <w:jc w:val="left"/>
      </w:pPr>
      <w:r>
        <w:rPr>
          <w:rFonts w:ascii="Times New Roman" w:hAnsi="Times New Roman" w:eastAsia="Times New Roman"/>
          <w:b/>
          <w:i w:val="0"/>
          <w:color w:val="000000"/>
          <w:sz w:val="28"/>
        </w:rPr>
        <w:t>List of tables</w:t>
      </w:r>
    </w:p>
    <w:p>
      <w:pPr>
        <w:spacing w:before="0" w:after="0" w:line="480" w:lineRule="auto"/>
        <w:ind w:firstLine="0"/>
        <w:jc w:val="both"/>
      </w:pPr>
      <w:r>
        <w:rPr>
          <w:rFonts w:ascii="Times New Roman" w:hAnsi="Times New Roman" w:eastAsia="Times New Roman"/>
          <w:b w:val="0"/>
          <w:i w:val="0"/>
          <w:color w:val="000000"/>
          <w:sz w:val="24"/>
        </w:rPr>
        <w:t>Table 3.1 Composition of the resin composites</w:t>
      </w:r>
    </w:p>
    <w:p>
      <w:pPr>
        <w:spacing w:before="0" w:after="0" w:line="480" w:lineRule="auto"/>
        <w:ind w:firstLine="0"/>
        <w:jc w:val="both"/>
      </w:pPr>
      <w:r>
        <w:rPr>
          <w:rFonts w:ascii="Times New Roman" w:hAnsi="Times New Roman" w:eastAsia="Times New Roman"/>
          <w:b w:val="0"/>
          <w:i w:val="0"/>
          <w:color w:val="000000"/>
          <w:sz w:val="24"/>
        </w:rPr>
        <w:t>Table 4.1 Weight before and after brushing and percentage weight loss</w:t>
      </w:r>
    </w:p>
    <w:p>
      <w:pPr>
        <w:spacing w:before="0" w:after="0" w:line="480" w:lineRule="auto"/>
        <w:ind w:firstLine="0"/>
        <w:jc w:val="both"/>
      </w:pPr>
      <w:r>
        <w:rPr>
          <w:rFonts w:ascii="Times New Roman" w:hAnsi="Times New Roman" w:eastAsia="Times New Roman"/>
          <w:b w:val="0"/>
          <w:i w:val="0"/>
          <w:color w:val="000000"/>
          <w:sz w:val="24"/>
        </w:rPr>
        <w:t>Table 4.2 Ra before and after brushing and ΔRa</w:t>
      </w:r>
    </w:p>
    <w:p>
      <w:pPr>
        <w:spacing w:before="0" w:after="0" w:line="480" w:lineRule="auto"/>
        <w:ind w:firstLine="0"/>
        <w:jc w:val="both"/>
      </w:pPr>
      <w:r>
        <w:rPr>
          <w:rFonts w:ascii="Times New Roman" w:hAnsi="Times New Roman" w:eastAsia="Times New Roman"/>
          <w:b w:val="0"/>
          <w:i w:val="0"/>
          <w:color w:val="000000"/>
          <w:sz w:val="24"/>
        </w:rPr>
        <w:t>Table 4.3 Absolute weight loss (mg)</w:t>
      </w:r>
    </w:p>
    <w:p>
      <w:pPr>
        <w:spacing w:before="240" w:after="120" w:line="480" w:lineRule="auto"/>
        <w:ind w:firstLine="0"/>
        <w:jc w:val="left"/>
      </w:pPr>
      <w:r>
        <w:rPr>
          <w:rFonts w:ascii="Times New Roman" w:hAnsi="Times New Roman" w:eastAsia="Times New Roman"/>
          <w:b/>
          <w:i w:val="0"/>
          <w:color w:val="000000"/>
          <w:sz w:val="28"/>
        </w:rPr>
        <w:t>List of abbreviations</w:t>
      </w:r>
    </w:p>
    <w:p>
      <w:pPr>
        <w:spacing w:before="0" w:after="0" w:line="480" w:lineRule="auto"/>
        <w:ind w:firstLine="709"/>
        <w:jc w:val="both"/>
      </w:pPr>
      <w:r>
        <w:rPr>
          <w:rFonts w:ascii="Times New Roman" w:hAnsi="Times New Roman" w:eastAsia="Times New Roman"/>
          <w:b w:val="0"/>
          <w:i w:val="0"/>
          <w:color w:val="000000"/>
          <w:sz w:val="24"/>
        </w:rPr>
        <w:t>ANOVA — analysis of variance</w:t>
      </w:r>
    </w:p>
    <w:p>
      <w:pPr>
        <w:spacing w:before="0" w:after="0" w:line="480" w:lineRule="auto"/>
        <w:ind w:firstLine="709"/>
        <w:jc w:val="both"/>
      </w:pPr>
      <w:r>
        <w:rPr>
          <w:rFonts w:ascii="Times New Roman" w:hAnsi="Times New Roman" w:eastAsia="Times New Roman"/>
          <w:b w:val="0"/>
          <w:i w:val="0"/>
          <w:color w:val="000000"/>
          <w:sz w:val="24"/>
        </w:rPr>
        <w:t>ISO — International Organization for Standardization</w:t>
      </w:r>
    </w:p>
    <w:p>
      <w:pPr>
        <w:spacing w:before="0" w:after="0" w:line="480" w:lineRule="auto"/>
        <w:ind w:firstLine="709"/>
        <w:jc w:val="both"/>
      </w:pPr>
      <w:r>
        <w:rPr>
          <w:rFonts w:ascii="Times New Roman" w:hAnsi="Times New Roman" w:eastAsia="Times New Roman"/>
          <w:b w:val="0"/>
          <w:i w:val="0"/>
          <w:color w:val="000000"/>
          <w:sz w:val="24"/>
        </w:rPr>
        <w:t>Ra — arithmetic mean roughness</w:t>
      </w:r>
    </w:p>
    <w:p>
      <w:pPr>
        <w:spacing w:before="0" w:after="0" w:line="480" w:lineRule="auto"/>
        <w:ind w:firstLine="709"/>
        <w:jc w:val="both"/>
      </w:pPr>
      <w:r>
        <w:rPr>
          <w:rFonts w:ascii="Times New Roman" w:hAnsi="Times New Roman" w:eastAsia="Times New Roman"/>
          <w:b w:val="0"/>
          <w:i w:val="0"/>
          <w:color w:val="000000"/>
          <w:sz w:val="24"/>
        </w:rPr>
        <w:t>SD — standard deviation</w:t>
      </w:r>
    </w:p>
    <w:p>
      <w:pPr>
        <w:spacing w:before="0" w:after="0" w:line="480" w:lineRule="auto"/>
        <w:ind w:firstLine="709"/>
        <w:jc w:val="both"/>
      </w:pPr>
      <w:r>
        <w:rPr>
          <w:rFonts w:ascii="Times New Roman" w:hAnsi="Times New Roman" w:eastAsia="Times New Roman"/>
          <w:b w:val="0"/>
          <w:i w:val="0"/>
          <w:color w:val="000000"/>
          <w:sz w:val="24"/>
        </w:rPr>
        <w:t>S-PRG — surface pre-reacted glass-ionomer</w:t>
      </w:r>
    </w:p>
    <w:p>
      <w:pPr>
        <w:spacing w:before="0" w:after="0" w:line="480" w:lineRule="auto"/>
        <w:ind w:firstLine="709"/>
        <w:jc w:val="both"/>
      </w:pPr>
      <w:r>
        <w:rPr>
          <w:rFonts w:ascii="Times New Roman" w:hAnsi="Times New Roman" w:eastAsia="Times New Roman"/>
          <w:b w:val="0"/>
          <w:i w:val="0"/>
          <w:color w:val="000000"/>
          <w:sz w:val="24"/>
        </w:rPr>
        <w:t>ΔRa — change in Ra (after − before)</w:t>
      </w:r>
    </w:p>
    <w:p>
      <w:r>
        <w:br w:type="page"/>
      </w:r>
    </w:p>
    <w:p>
      <w:pPr>
        <w:spacing w:before="0" w:after="120" w:line="480" w:lineRule="auto"/>
        <w:ind w:firstLine="0"/>
        <w:jc w:val="center"/>
      </w:pPr>
      <w:r>
        <w:rPr>
          <w:rFonts w:ascii="Times New Roman" w:hAnsi="Times New Roman" w:eastAsia="Times New Roman"/>
          <w:b/>
          <w:i w:val="0"/>
          <w:color w:val="000000"/>
          <w:sz w:val="32"/>
        </w:rPr>
        <w:t>Chapter 1</w:t>
      </w:r>
    </w:p>
    <w:p>
      <w:pPr>
        <w:spacing w:before="0" w:after="120" w:line="480" w:lineRule="auto"/>
        <w:ind w:firstLine="0"/>
        <w:jc w:val="center"/>
      </w:pPr>
      <w:r>
        <w:rPr>
          <w:rFonts w:ascii="Times New Roman" w:hAnsi="Times New Roman" w:eastAsia="Times New Roman"/>
          <w:b/>
          <w:i w:val="0"/>
          <w:color w:val="000000"/>
          <w:sz w:val="32"/>
        </w:rPr>
        <w:t>Introduction</w:t>
      </w:r>
    </w:p>
    <w:p>
      <w:pPr>
        <w:spacing w:before="0" w:after="0" w:line="480" w:lineRule="auto"/>
        <w:ind w:firstLine="709"/>
        <w:jc w:val="both"/>
      </w:pPr>
      <w:r>
        <w:rPr>
          <w:rFonts w:ascii="Times New Roman" w:hAnsi="Times New Roman" w:eastAsia="Times New Roman"/>
          <w:b w:val="0"/>
          <w:i w:val="0"/>
          <w:color w:val="000000"/>
          <w:sz w:val="24"/>
        </w:rPr>
        <w:t>Resin composites fail when the surface wears away or when what is left is rough. Wear flattens anatomy and can shorten the vertical dimension. Roughness holds plaque, takes stain and favours caries at the margin (1,2). Toothbrushing is a daily source of both. Dentifrice abrasive works as a third body. The resin-rich skin is removed first. Filler then stands proud or is pulled out. Mass falls. Ra rises (3,4).</w:t>
      </w:r>
    </w:p>
    <w:p>
      <w:pPr>
        <w:spacing w:before="0" w:after="0" w:line="480" w:lineRule="auto"/>
        <w:ind w:firstLine="709"/>
        <w:jc w:val="both"/>
      </w:pPr>
      <w:r>
        <w:rPr>
          <w:rFonts w:ascii="Times New Roman" w:hAnsi="Times New Roman" w:eastAsia="Times New Roman"/>
          <w:b w:val="0"/>
          <w:i w:val="0"/>
          <w:color w:val="000000"/>
          <w:sz w:val="24"/>
        </w:rPr>
        <w:t>Highly filled injectable resins were made so that a syringeable paste could be used in cavities that used to be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sold on that claim. Beautifil II LS (Shofu Inc.) is a sculptable low-shrinkage nanohybrid giomer and is the conventional control in this work.</w:t>
      </w:r>
    </w:p>
    <w:p>
      <w:pPr>
        <w:spacing w:before="0" w:after="0" w:line="480" w:lineRule="auto"/>
        <w:ind w:firstLine="709"/>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The present test is the other wear mode: ISO toothbrushing guidance, 2 N, 10 000 strokes, taken as about one year of twice-daily brushing (3,7,8).</w:t>
      </w:r>
    </w:p>
    <w:p>
      <w:pPr>
        <w:spacing w:before="0" w:after="0" w:line="480" w:lineRule="auto"/>
        <w:ind w:firstLine="709"/>
        <w:jc w:val="both"/>
      </w:pPr>
      <w:r>
        <w:rPr>
          <w:rFonts w:ascii="Times New Roman" w:hAnsi="Times New Roman" w:eastAsia="Times New Roman"/>
          <w:b w:val="0"/>
          <w:i w:val="0"/>
          <w:color w:val="000000"/>
          <w:sz w:val="24"/>
        </w:rPr>
        <w:t>An Ra of 0.2 µm is the usual threshold above which plaque retention rises (1). Surfaces smoother than that do not keep less plaque in a way that matters clinically. A restoration rougher than about 0.5 µm can be felt by the tongue (2). Those two numbers are the clinical frame for the roughness results.</w:t>
      </w:r>
    </w:p>
    <w:p>
      <w:pPr>
        <w:spacing w:before="240" w:after="120" w:line="480" w:lineRule="auto"/>
        <w:ind w:firstLine="0"/>
        <w:jc w:val="left"/>
      </w:pPr>
      <w:r>
        <w:rPr>
          <w:rFonts w:ascii="Times New Roman" w:hAnsi="Times New Roman" w:eastAsia="Times New Roman"/>
          <w:b/>
          <w:i w:val="0"/>
          <w:color w:val="000000"/>
          <w:sz w:val="26"/>
        </w:rPr>
        <w:t>1.1 Aim of the study</w:t>
      </w:r>
    </w:p>
    <w:p>
      <w:pPr>
        <w:spacing w:before="0" w:after="0" w:line="480" w:lineRule="auto"/>
        <w:ind w:firstLine="709"/>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spacing w:before="240" w:after="120" w:line="480" w:lineRule="auto"/>
        <w:ind w:firstLine="0"/>
        <w:jc w:val="left"/>
      </w:pPr>
      <w:r>
        <w:rPr>
          <w:rFonts w:ascii="Times New Roman" w:hAnsi="Times New Roman" w:eastAsia="Times New Roman"/>
          <w:b/>
          <w:i w:val="0"/>
          <w:color w:val="000000"/>
          <w:sz w:val="26"/>
        </w:rPr>
        <w:t>1.2 Objectives</w:t>
      </w:r>
    </w:p>
    <w:p>
      <w:pPr>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spacing w:before="240" w:after="120" w:line="480" w:lineRule="auto"/>
        <w:ind w:firstLine="0"/>
        <w:jc w:val="left"/>
      </w:pPr>
      <w:r>
        <w:rPr>
          <w:rFonts w:ascii="Times New Roman" w:hAnsi="Times New Roman" w:eastAsia="Times New Roman"/>
          <w:b/>
          <w:i w:val="0"/>
          <w:color w:val="000000"/>
          <w:sz w:val="26"/>
        </w:rPr>
        <w:t>1.3 Null hypotheses</w:t>
      </w:r>
    </w:p>
    <w:p>
      <w:pPr>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spacing w:before="0" w:after="120" w:line="480" w:lineRule="auto"/>
        <w:ind w:firstLine="0"/>
        <w:jc w:val="center"/>
      </w:pPr>
      <w:r>
        <w:rPr>
          <w:rFonts w:ascii="Times New Roman" w:hAnsi="Times New Roman" w:eastAsia="Times New Roman"/>
          <w:b/>
          <w:i w:val="0"/>
          <w:color w:val="000000"/>
          <w:sz w:val="32"/>
        </w:rPr>
        <w:t>Chapter 2</w:t>
      </w:r>
    </w:p>
    <w:p>
      <w:pPr>
        <w:spacing w:before="0" w:after="120" w:line="480" w:lineRule="auto"/>
        <w:ind w:firstLine="0"/>
        <w:jc w:val="center"/>
      </w:pPr>
      <w:r>
        <w:rPr>
          <w:rFonts w:ascii="Times New Roman" w:hAnsi="Times New Roman" w:eastAsia="Times New Roman"/>
          <w:b/>
          <w:i w:val="0"/>
          <w:color w:val="000000"/>
          <w:sz w:val="32"/>
        </w:rPr>
        <w:t>Review of literature</w:t>
      </w:r>
    </w:p>
    <w:p>
      <w:pPr>
        <w:spacing w:before="240" w:after="120" w:line="480" w:lineRule="auto"/>
        <w:ind w:firstLine="0"/>
        <w:jc w:val="left"/>
      </w:pPr>
      <w:r>
        <w:rPr>
          <w:rFonts w:ascii="Times New Roman" w:hAnsi="Times New Roman" w:eastAsia="Times New Roman"/>
          <w:b/>
          <w:i w:val="0"/>
          <w:color w:val="000000"/>
          <w:sz w:val="26"/>
        </w:rPr>
        <w:t>2.1 Wear of restorative resins</w:t>
      </w:r>
    </w:p>
    <w:p>
      <w:pPr>
        <w:spacing w:before="0" w:after="0" w:line="480" w:lineRule="auto"/>
        <w:ind w:firstLine="709"/>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Abrasion at non-contact sites is usually three-body, with food or toothpaste as the loose agent. Corrosion and fatigue run beside both (9,10). Laboratory ranking is useful. It is not a clinical lifetime.</w:t>
      </w:r>
    </w:p>
    <w:p>
      <w:pPr>
        <w:spacing w:before="0" w:after="0" w:line="480" w:lineRule="auto"/>
        <w:ind w:firstLine="709"/>
        <w:jc w:val="both"/>
      </w:pPr>
      <w:r>
        <w:rPr>
          <w:rFonts w:ascii="Times New Roman" w:hAnsi="Times New Roman" w:eastAsia="Times New Roman"/>
          <w:b w:val="0"/>
          <w:i w:val="0"/>
          <w:color w:val="000000"/>
          <w:sz w:val="24"/>
        </w:rPr>
        <w:t>Filler volume, size, shape, inter-particle spacing, the resin, the degree of conversion and the silane layer all matter (11,12). Condon and Ferracane varied those three factors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That sits just above Condon’s 48 vol% step. Beautifil II LS is listed at 83 wt%; volume fraction is not given in the files used here.</w:t>
      </w:r>
    </w:p>
    <w:p>
      <w:pPr>
        <w:spacing w:before="0" w:after="0" w:line="480" w:lineRule="auto"/>
        <w:ind w:firstLine="709"/>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w:t>
      </w:r>
    </w:p>
    <w:p>
      <w:pPr>
        <w:spacing w:before="0" w:after="0" w:line="480" w:lineRule="auto"/>
        <w:ind w:firstLine="709"/>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The two numbers answer different questions (10,15).</w:t>
      </w:r>
    </w:p>
    <w:p>
      <w:pPr>
        <w:spacing w:before="240" w:after="120" w:line="480" w:lineRule="auto"/>
        <w:ind w:firstLine="0"/>
        <w:jc w:val="left"/>
      </w:pPr>
      <w:r>
        <w:rPr>
          <w:rFonts w:ascii="Times New Roman" w:hAnsi="Times New Roman" w:eastAsia="Times New Roman"/>
          <w:b/>
          <w:i w:val="0"/>
          <w:color w:val="000000"/>
          <w:sz w:val="26"/>
        </w:rPr>
        <w:t>2.2 Surface roughness</w:t>
      </w:r>
    </w:p>
    <w:p>
      <w:pPr>
        <w:spacing w:before="0" w:after="0" w:line="480" w:lineRule="auto"/>
        <w:ind w:firstLine="709"/>
        <w:jc w:val="both"/>
      </w:pPr>
      <w:r>
        <w:rPr>
          <w:rFonts w:ascii="Times New Roman" w:hAnsi="Times New Roman" w:eastAsia="Times New Roman"/>
          <w:b w:val="0"/>
          <w:i w:val="0"/>
          <w:color w:val="000000"/>
          <w:sz w:val="24"/>
        </w:rPr>
        <w:t>Ra is the mean absolute deviation of the profile from the centre line. It is the parameter almost every dental paper reports. Contact stylus profilometry remains a standard method. Optical methods add a map but are not required to rank Ra (4,16).</w:t>
      </w:r>
    </w:p>
    <w:p>
      <w:pPr>
        <w:spacing w:before="0" w:after="0" w:line="480" w:lineRule="auto"/>
        <w:ind w:firstLine="709"/>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spacing w:before="0" w:after="0" w:line="480" w:lineRule="auto"/>
        <w:ind w:firstLine="709"/>
        <w:jc w:val="both"/>
      </w:pPr>
      <w:r>
        <w:rPr>
          <w:rFonts w:ascii="Times New Roman" w:hAnsi="Times New Roman" w:eastAsia="Times New Roman"/>
          <w:b w:val="0"/>
          <w:i w:val="0"/>
          <w:color w:val="000000"/>
          <w:sz w:val="24"/>
        </w:rPr>
        <w:t>Toothbrushing raises Ra. Heintze and co-workers showed that the rise depends on material, time and load (4). Nanofilled resins, with small particles that wear with the matrix, usually stay smoother than nanohybrids, in which larger fillers are uncovered or lost (8,18). The toothpaste matters. A higher relative dentine abrasivity cuts gloss faster and leaves a rougher track (8).</w:t>
      </w:r>
    </w:p>
    <w:p>
      <w:pPr>
        <w:spacing w:before="240" w:after="120" w:line="480" w:lineRule="auto"/>
        <w:ind w:firstLine="0"/>
        <w:jc w:val="left"/>
      </w:pPr>
      <w:r>
        <w:rPr>
          <w:rFonts w:ascii="Times New Roman" w:hAnsi="Times New Roman" w:eastAsia="Times New Roman"/>
          <w:b/>
          <w:i w:val="0"/>
          <w:color w:val="000000"/>
          <w:sz w:val="26"/>
        </w:rPr>
        <w:t>2.3 Injectable composites</w:t>
      </w:r>
    </w:p>
    <w:p>
      <w:pPr>
        <w:spacing w:before="0" w:after="0" w:line="480" w:lineRule="auto"/>
        <w:ind w:firstLine="709"/>
        <w:jc w:val="both"/>
      </w:pPr>
      <w:r>
        <w:rPr>
          <w:rFonts w:ascii="Times New Roman" w:hAnsi="Times New Roman" w:eastAsia="Times New Roman"/>
          <w:b w:val="0"/>
          <w:i w:val="0"/>
          <w:color w:val="000000"/>
          <w:sz w:val="24"/>
        </w:rPr>
        <w:t>Early flowables were not intended for occlusal load (13). The current injectables are a different paste. G-ænial Universal Injectable is filled to about 69 wt% (50 vol%) with ultrafine barium glass and silica, mean size about 150 nm, in a UDMA / Bis-MEPP / TEGDMA matrix (6,18). Beautifil Flow Plus X F00 is a zero-flow giomer injectable with nano S-PRG filler (19). It is not the same product as Beautifil Flow Plus F00 used in several earlier papers (6).</w:t>
      </w:r>
    </w:p>
    <w:p>
      <w:pPr>
        <w:spacing w:before="0" w:after="0" w:line="480" w:lineRule="auto"/>
        <w:ind w:firstLine="709"/>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spacing w:before="0" w:after="0" w:line="480" w:lineRule="auto"/>
        <w:ind w:firstLine="709"/>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spacing w:before="0" w:after="0" w:line="480" w:lineRule="auto"/>
        <w:ind w:firstLine="709"/>
        <w:jc w:val="both"/>
      </w:pPr>
      <w:r>
        <w:rPr>
          <w:rFonts w:ascii="Times New Roman" w:hAnsi="Times New Roman" w:eastAsia="Times New Roman"/>
          <w:b w:val="0"/>
          <w:i w:val="0"/>
          <w:color w:val="000000"/>
          <w:sz w:val="24"/>
        </w:rPr>
        <w:t>A 2025 systematic review of highly filled flowables used as sole restoratives found Ra values that were often statistically comparable to nanohybrid pastes, and sometimes lower, depending on filler packing and polish (20). Material-to-material scatter remains the rule.</w:t>
      </w:r>
    </w:p>
    <w:p>
      <w:pPr>
        <w:spacing w:before="240" w:after="120" w:line="480" w:lineRule="auto"/>
        <w:ind w:firstLine="0"/>
        <w:jc w:val="left"/>
      </w:pPr>
      <w:r>
        <w:rPr>
          <w:rFonts w:ascii="Times New Roman" w:hAnsi="Times New Roman" w:eastAsia="Times New Roman"/>
          <w:b/>
          <w:i w:val="0"/>
          <w:color w:val="000000"/>
          <w:sz w:val="26"/>
        </w:rPr>
        <w:t>2.4 Conventional nanohybrid resins and giomers</w:t>
      </w:r>
    </w:p>
    <w:p>
      <w:pPr>
        <w:spacing w:before="0" w:after="0" w:line="480" w:lineRule="auto"/>
        <w:ind w:firstLine="709"/>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(11). Beautifil II LS is such a paste. Filler load is 83 wt%. The resin uses an SRS monomer aimed at low shrinkage. The filler includes S-PRG glass (19). S-PRG releases ions, including fluoride. The same ion exchange can roughen the surface in acid (21). Larger and irregular fillers, once the matrix is brushed off, leave a higher Ra than a uniform nano-filled injectable (18). 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spacing w:before="0" w:after="0" w:line="480" w:lineRule="auto"/>
        <w:ind w:firstLine="709"/>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The injectable products were written to close that handling gap without giving up wear resistance. Whether they do so under toothbrush abrasion is the question of this thesis.</w:t>
      </w:r>
    </w:p>
    <w:p>
      <w:pPr>
        <w:spacing w:before="240" w:after="120" w:line="480" w:lineRule="auto"/>
        <w:ind w:firstLine="0"/>
        <w:jc w:val="left"/>
      </w:pPr>
      <w:r>
        <w:rPr>
          <w:rFonts w:ascii="Times New Roman" w:hAnsi="Times New Roman" w:eastAsia="Times New Roman"/>
          <w:b/>
          <w:i w:val="0"/>
          <w:color w:val="000000"/>
          <w:sz w:val="26"/>
        </w:rPr>
        <w:t>2.5 What is still unclear</w:t>
      </w:r>
    </w:p>
    <w:p>
      <w:pPr>
        <w:spacing w:before="0" w:after="0" w:line="480" w:lineRule="auto"/>
        <w:ind w:firstLine="709"/>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spacing w:before="0" w:after="120" w:line="480" w:lineRule="auto"/>
        <w:ind w:firstLine="0"/>
        <w:jc w:val="center"/>
      </w:pPr>
      <w:r>
        <w:rPr>
          <w:rFonts w:ascii="Times New Roman" w:hAnsi="Times New Roman" w:eastAsia="Times New Roman"/>
          <w:b/>
          <w:i w:val="0"/>
          <w:color w:val="000000"/>
          <w:sz w:val="32"/>
        </w:rPr>
        <w:t>Chapter 3</w:t>
      </w:r>
    </w:p>
    <w:p>
      <w:pPr>
        <w:spacing w:before="0" w:after="120" w:line="480" w:lineRule="auto"/>
        <w:ind w:firstLine="0"/>
        <w:jc w:val="center"/>
      </w:pPr>
      <w:r>
        <w:rPr>
          <w:rFonts w:ascii="Times New Roman" w:hAnsi="Times New Roman" w:eastAsia="Times New Roman"/>
          <w:b/>
          <w:i w:val="0"/>
          <w:color w:val="000000"/>
          <w:sz w:val="32"/>
        </w:rPr>
        <w:t>Materials and methods</w:t>
      </w:r>
    </w:p>
    <w:p>
      <w:pPr>
        <w:spacing w:before="240" w:after="120" w:line="480" w:lineRule="auto"/>
        <w:ind w:firstLine="0"/>
        <w:jc w:val="left"/>
      </w:pPr>
      <w:r>
        <w:rPr>
          <w:rFonts w:ascii="Times New Roman" w:hAnsi="Times New Roman" w:eastAsia="Times New Roman"/>
          <w:b/>
          <w:i w:val="0"/>
          <w:color w:val="000000"/>
          <w:sz w:val="26"/>
        </w:rPr>
        <w:t>3.1 Study design and sample</w:t>
      </w:r>
    </w:p>
    <w:p>
      <w:pPr>
        <w:spacing w:before="0" w:after="0" w:line="480" w:lineRule="auto"/>
        <w:ind w:firstLine="709"/>
        <w:jc w:val="both"/>
      </w:pPr>
      <w:r>
        <w:rPr>
          <w:rFonts w:ascii="Times New Roman" w:hAnsi="Times New Roman" w:eastAsia="Times New Roman"/>
          <w:b w:val="0"/>
          <w:i w:val="0"/>
          <w:color w:val="000000"/>
          <w:sz w:val="24"/>
        </w:rPr>
        <w:t>The study was an in-vitro comparison of three resin composites. Thirty-six discs were made, 10 mm in diameter and 1 mm thick, in a CAD/CAM Teflon mould. The discs were allocated at random to three groups of twelve. A first G*Power estimate had given ten discs a group. Twelve were used to raise power.</w:t>
      </w:r>
    </w:p>
    <w:p>
      <w:pPr>
        <w:spacing w:before="0" w:after="0" w:line="480" w:lineRule="auto"/>
        <w:ind w:firstLine="709"/>
        <w:jc w:val="both"/>
      </w:pPr>
      <w:r>
        <w:rPr>
          <w:rFonts w:ascii="Times New Roman" w:hAnsi="Times New Roman" w:eastAsia="Times New Roman"/>
          <w:b w:val="0"/>
          <w:i w:val="0"/>
          <w:color w:val="000000"/>
          <w:sz w:val="24"/>
        </w:rPr>
        <w:t>The bar geometry (15 mm × 4 mm × 1.5 mm) that appears in an earlier draft was not the test that was run. Disc geometry is the geometry of the experiment.</w:t>
      </w:r>
    </w:p>
    <w:p>
      <w:pPr>
        <w:spacing w:before="240" w:after="120" w:line="480" w:lineRule="auto"/>
        <w:ind w:firstLine="0"/>
        <w:jc w:val="left"/>
      </w:pPr>
      <w:r>
        <w:rPr>
          <w:rFonts w:ascii="Times New Roman" w:hAnsi="Times New Roman" w:eastAsia="Times New Roman"/>
          <w:b/>
          <w:i w:val="0"/>
          <w:color w:val="000000"/>
          <w:sz w:val="26"/>
        </w:rPr>
        <w:t>3.2 Materials</w:t>
      </w:r>
    </w:p>
    <w:p>
      <w:pPr>
        <w:spacing w:before="0" w:after="0" w:line="480" w:lineRule="auto"/>
        <w:ind w:firstLine="0"/>
        <w:jc w:val="both"/>
      </w:pPr>
      <w:r>
        <w:rPr>
          <w:rFonts w:ascii="Times New Roman" w:hAnsi="Times New Roman" w:eastAsia="Times New Roman"/>
          <w:b w:val="0"/>
          <w:i w:val="0"/>
          <w:color w:val="000000"/>
          <w:sz w:val="24"/>
        </w:rPr>
        <w:t>1. G-ænial Universal Injectable — highly filled injectable composite, GC Corporation, Tokyo, Japan.</w:t>
      </w:r>
    </w:p>
    <w:p>
      <w:pPr>
        <w:spacing w:before="0" w:after="0" w:line="480" w:lineRule="auto"/>
        <w:ind w:firstLine="0"/>
        <w:jc w:val="both"/>
      </w:pPr>
      <w:r>
        <w:rPr>
          <w:rFonts w:ascii="Times New Roman" w:hAnsi="Times New Roman" w:eastAsia="Times New Roman"/>
          <w:b w:val="0"/>
          <w:i w:val="0"/>
          <w:color w:val="000000"/>
          <w:sz w:val="24"/>
        </w:rPr>
        <w:t>2. Beautifil Flow Plus X F00 — highly filled injectable giomer, Shofu Inc., Kyoto, Japan.</w:t>
      </w:r>
    </w:p>
    <w:p>
      <w:pPr>
        <w:spacing w:before="0" w:after="0" w:line="480" w:lineRule="auto"/>
        <w:ind w:firstLine="0"/>
        <w:jc w:val="both"/>
      </w:pPr>
      <w:r>
        <w:rPr>
          <w:rFonts w:ascii="Times New Roman" w:hAnsi="Times New Roman" w:eastAsia="Times New Roman"/>
          <w:b w:val="0"/>
          <w:i w:val="0"/>
          <w:color w:val="000000"/>
          <w:sz w:val="24"/>
        </w:rPr>
        <w:t>3. Beautifil II LS — conventional nanohybrid giomer, Shofu Inc., Kyoto, Japan.</w:t>
      </w:r>
    </w:p>
    <w:p>
      <w:pPr>
        <w:spacing w:before="0" w:after="0" w:line="480" w:lineRule="auto"/>
        <w:ind w:firstLine="0"/>
        <w:jc w:val="both"/>
      </w:pPr>
      <w:r>
        <w:rPr>
          <w:rFonts w:ascii="Times New Roman" w:hAnsi="Times New Roman" w:eastAsia="Times New Roman"/>
          <w:b w:val="0"/>
          <w:i w:val="0"/>
          <w:color w:val="000000"/>
          <w:sz w:val="24"/>
        </w:rPr>
        <w:t>4. Colgate Total toothpaste.</w:t>
      </w:r>
    </w:p>
    <w:p>
      <w:pPr>
        <w:spacing w:before="0" w:after="0" w:line="480" w:lineRule="auto"/>
        <w:ind w:firstLine="0"/>
        <w:jc w:val="both"/>
      </w:pPr>
      <w:r>
        <w:rPr>
          <w:rFonts w:ascii="Times New Roman" w:hAnsi="Times New Roman" w:eastAsia="Times New Roman"/>
          <w:b w:val="0"/>
          <w:i w:val="0"/>
          <w:color w:val="000000"/>
          <w:sz w:val="24"/>
        </w:rPr>
        <w:t>5. Distilled water.</w:t>
      </w:r>
    </w:p>
    <w:p>
      <w:pPr>
        <w:spacing w:before="0" w:after="0" w:line="480" w:lineRule="auto"/>
        <w:ind w:firstLine="709"/>
        <w:jc w:val="both"/>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manufacturer, matrix, filler and load of the resin composites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Composite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Type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Matrix (as published / IFU)</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Filler</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Load</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Manufacturer</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G-ænial Universal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Nanofilled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UDMA, Bis-MEPP,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Ultrafine barium glass and silica, ~150 nm</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69 wt% / 50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GC, Tokyo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Flow Plus X F00</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Giomer injectable, zero flow</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Dimethacrylate resin (manufacturer)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Nano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Manufacturer: highly filled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Shofu, Kyoto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II LS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Nanohybrid giomer, low shrinkage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SRS monomer complex</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S-PRG and pre-polymerised fillers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83 wt%</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Shofu, Kyoto</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Batch numbers were not available in the working files and are not invented here.</w:t>
      </w:r>
    </w:p>
    <w:p>
      <w:pPr>
        <w:spacing w:before="240" w:after="120" w:line="480" w:lineRule="auto"/>
        <w:ind w:firstLine="0"/>
        <w:jc w:val="left"/>
      </w:pPr>
      <w:r>
        <w:rPr>
          <w:rFonts w:ascii="Times New Roman" w:hAnsi="Times New Roman" w:eastAsia="Times New Roman"/>
          <w:b/>
          <w:i w:val="0"/>
          <w:color w:val="000000"/>
          <w:sz w:val="26"/>
        </w:rPr>
        <w:t>3.3 Specimen preparation</w:t>
      </w:r>
    </w:p>
    <w:p>
      <w:pPr>
        <w:spacing w:before="0" w:after="0" w:line="480" w:lineRule="auto"/>
        <w:ind w:firstLine="709"/>
        <w:jc w:val="both"/>
      </w:pPr>
      <w:r>
        <w:rPr>
          <w:rFonts w:ascii="Times New Roman" w:hAnsi="Times New Roman" w:eastAsia="Times New Roman"/>
          <w:b w:val="0"/>
          <w:i w:val="0"/>
          <w:color w:val="000000"/>
          <w:sz w:val="24"/>
        </w:rPr>
        <w:t>Each material was placed in the Teflon mould. A matrix strip and glass plate were used to exclude air from the surface and to keep the disc flat. Polymerisation followed the manufacturer for that product. Flash was removed. The discs were identified by group and stored in distilled water until testing.</w:t>
      </w:r>
    </w:p>
    <w:p>
      <w:pPr>
        <w:spacing w:before="0" w:after="0" w:line="480" w:lineRule="auto"/>
        <w:ind w:firstLine="709"/>
        <w:jc w:val="both"/>
      </w:pPr>
      <w:r>
        <w:rPr>
          <w:rFonts w:ascii="Times New Roman" w:hAnsi="Times New Roman" w:eastAsia="Times New Roman"/>
          <w:b w:val="0"/>
          <w:i w:val="0"/>
          <w:color w:val="000000"/>
          <w:sz w:val="24"/>
        </w:rPr>
        <w:t>No finishing system, curing-light model or storage time beyond that statement is recorded in the files used for this write-up. Those details belong in the laboratory notebook and should be inserted from it.</w:t>
      </w:r>
    </w:p>
    <w:p>
      <w:pPr>
        <w:spacing w:before="240" w:after="120" w:line="480" w:lineRule="auto"/>
        <w:ind w:firstLine="0"/>
        <w:jc w:val="left"/>
      </w:pPr>
      <w:r>
        <w:rPr>
          <w:rFonts w:ascii="Times New Roman" w:hAnsi="Times New Roman" w:eastAsia="Times New Roman"/>
          <w:b/>
          <w:i w:val="0"/>
          <w:color w:val="000000"/>
          <w:sz w:val="26"/>
        </w:rPr>
        <w:t>3.4 Baseline measurements</w:t>
      </w:r>
    </w:p>
    <w:p>
      <w:pPr>
        <w:spacing w:before="0" w:after="0" w:line="480" w:lineRule="auto"/>
        <w:ind w:firstLine="709"/>
        <w:jc w:val="both"/>
      </w:pPr>
      <w:r>
        <w:rPr>
          <w:rFonts w:ascii="Times New Roman" w:hAnsi="Times New Roman" w:eastAsia="Times New Roman"/>
          <w:b w:val="0"/>
          <w:i w:val="0"/>
          <w:color w:val="000000"/>
          <w:sz w:val="24"/>
        </w:rPr>
        <w:t>Each disc was dried and weighed on an analytical balance. The recorded masses run to 0.0001 g, so the balance read to 0.1 mg. Ra was measured with a contact profilometer on the test face. The value used for analysis was the mean of the traces taken on that disc.</w:t>
      </w:r>
    </w:p>
    <w:p>
      <w:pPr>
        <w:spacing w:before="240" w:after="120" w:line="480" w:lineRule="auto"/>
        <w:ind w:firstLine="0"/>
        <w:jc w:val="left"/>
      </w:pPr>
      <w:r>
        <w:rPr>
          <w:rFonts w:ascii="Times New Roman" w:hAnsi="Times New Roman" w:eastAsia="Times New Roman"/>
          <w:b/>
          <w:i w:val="0"/>
          <w:color w:val="000000"/>
          <w:sz w:val="26"/>
        </w:rPr>
        <w:t>3.5 Toothbrushing</w:t>
      </w:r>
    </w:p>
    <w:p>
      <w:pPr>
        <w:spacing w:before="0" w:after="0" w:line="480" w:lineRule="auto"/>
        <w:ind w:firstLine="709"/>
        <w:jc w:val="both"/>
      </w:pPr>
      <w:r>
        <w:rPr>
          <w:rFonts w:ascii="Times New Roman" w:hAnsi="Times New Roman" w:eastAsia="Times New Roman"/>
          <w:b w:val="0"/>
          <w:i w:val="0"/>
          <w:color w:val="000000"/>
          <w:sz w:val="24"/>
        </w:rPr>
        <w:t>Discs were mounted in a toothbrushing simulator. A slurry of Colgate Total and water was prepared after ISO 11609 / ISO/TR 14569-1 guidance (3,14). The brush load was 2 N, inside the ISO range of 0.5–2.5 N (3). Each disc received 10 000 cycles. That count is the conventional laboratory equivalent of one year of twice-daily brushing (7,8). Fresh slurry was used as required to keep the abrasive present. After the run the discs were rinsed free of paste.</w:t>
      </w:r>
    </w:p>
    <w:p>
      <w:pPr>
        <w:spacing w:before="240" w:after="120" w:line="480" w:lineRule="auto"/>
        <w:ind w:firstLine="0"/>
        <w:jc w:val="left"/>
      </w:pPr>
      <w:r>
        <w:rPr>
          <w:rFonts w:ascii="Times New Roman" w:hAnsi="Times New Roman" w:eastAsia="Times New Roman"/>
          <w:b/>
          <w:i w:val="0"/>
          <w:color w:val="000000"/>
          <w:sz w:val="26"/>
        </w:rPr>
        <w:t>3.6 Post-test measurements</w:t>
      </w:r>
    </w:p>
    <w:p>
      <w:pPr>
        <w:spacing w:before="0" w:after="0" w:line="480" w:lineRule="auto"/>
        <w:ind w:firstLine="709"/>
        <w:jc w:val="both"/>
      </w:pPr>
      <w:r>
        <w:rPr>
          <w:rFonts w:ascii="Times New Roman" w:hAnsi="Times New Roman" w:eastAsia="Times New Roman"/>
          <w:b w:val="0"/>
          <w:i w:val="0"/>
          <w:color w:val="000000"/>
          <w:sz w:val="24"/>
        </w:rPr>
        <w:t>Mass and Ra were recorded again with the same instruments and the same drying habit as at baseline.</w:t>
      </w:r>
    </w:p>
    <w:p>
      <w:pPr>
        <w:spacing w:before="0" w:after="0" w:line="480" w:lineRule="auto"/>
        <w:ind w:firstLine="709"/>
        <w:jc w:val="both"/>
      </w:pPr>
      <w:r>
        <w:rPr>
          <w:rFonts w:ascii="Times New Roman" w:hAnsi="Times New Roman" w:eastAsia="Times New Roman"/>
          <w:b w:val="0"/>
          <w:i w:val="0"/>
          <w:color w:val="000000"/>
          <w:sz w:val="24"/>
        </w:rPr>
        <w:t>Percentage weight loss = [(W1 − W2) / W1] × 100</w:t>
      </w:r>
    </w:p>
    <w:p>
      <w:pPr>
        <w:spacing w:before="0" w:after="0" w:line="480" w:lineRule="auto"/>
        <w:ind w:firstLine="709"/>
        <w:jc w:val="both"/>
      </w:pPr>
      <w:r>
        <w:rPr>
          <w:rFonts w:ascii="Times New Roman" w:hAnsi="Times New Roman" w:eastAsia="Times New Roman"/>
          <w:b w:val="0"/>
          <w:i w:val="0"/>
          <w:color w:val="000000"/>
          <w:sz w:val="24"/>
        </w:rPr>
        <w:t>where W1 and W2 are mass before and after brushing.</w:t>
      </w:r>
    </w:p>
    <w:p>
      <w:pPr>
        <w:spacing w:before="0" w:after="0" w:line="480" w:lineRule="auto"/>
        <w:ind w:firstLine="709"/>
        <w:jc w:val="both"/>
      </w:pPr>
      <w:r>
        <w:rPr>
          <w:rFonts w:ascii="Times New Roman" w:hAnsi="Times New Roman" w:eastAsia="Times New Roman"/>
          <w:b w:val="0"/>
          <w:i w:val="0"/>
          <w:color w:val="000000"/>
          <w:sz w:val="24"/>
        </w:rPr>
        <w:t>Absolute loss (mg) = (W1 − W2) × 1000.</w:t>
      </w:r>
    </w:p>
    <w:p>
      <w:pPr>
        <w:spacing w:before="0" w:after="0" w:line="480" w:lineRule="auto"/>
        <w:ind w:firstLine="709"/>
        <w:jc w:val="both"/>
      </w:pPr>
      <w:r>
        <w:rPr>
          <w:rFonts w:ascii="Times New Roman" w:hAnsi="Times New Roman" w:eastAsia="Times New Roman"/>
          <w:b w:val="0"/>
          <w:i w:val="0"/>
          <w:color w:val="000000"/>
          <w:sz w:val="24"/>
        </w:rPr>
        <w:t>ΔRa (µm) = Ra after − Ra before.</w:t>
      </w:r>
    </w:p>
    <w:p>
      <w:pPr>
        <w:spacing w:before="240" w:after="120" w:line="480" w:lineRule="auto"/>
        <w:ind w:firstLine="0"/>
        <w:jc w:val="left"/>
      </w:pPr>
      <w:r>
        <w:rPr>
          <w:rFonts w:ascii="Times New Roman" w:hAnsi="Times New Roman" w:eastAsia="Times New Roman"/>
          <w:b/>
          <w:i w:val="0"/>
          <w:color w:val="000000"/>
          <w:sz w:val="26"/>
        </w:rPr>
        <w:t>3.7 Statistical analysis</w:t>
      </w:r>
    </w:p>
    <w:p>
      <w:pPr>
        <w:spacing w:before="0" w:after="0" w:line="480" w:lineRule="auto"/>
        <w:ind w:firstLine="709"/>
        <w:jc w:val="both"/>
      </w:pPr>
      <w:r>
        <w:rPr>
          <w:rFonts w:ascii="Times New Roman" w:hAnsi="Times New Roman" w:eastAsia="Times New Roman"/>
          <w:b w:val="0"/>
          <w:i w:val="0"/>
          <w:color w:val="000000"/>
          <w:sz w:val="24"/>
        </w:rPr>
        <w:t>Descriptive values are mean ± standard deviation. Percentage weight loss was compared among groups by one-way ANOVA. Ra after brushing was compared by the Kruskal–Wallis test, with pairwise post-hoc tests. Significance was set at α = 0.05. The tests match the locked analysis of the experimental spreadsheet. Software version and the exact post-hoc procedure should be copied from that spreadsheet’s output when the laboratory file is attached.</w:t>
      </w:r>
    </w:p>
    <w:p>
      <w:pPr>
        <w:spacing w:before="0" w:after="120" w:line="480" w:lineRule="auto"/>
        <w:ind w:firstLine="0"/>
        <w:jc w:val="center"/>
      </w:pPr>
      <w:r>
        <w:rPr>
          <w:rFonts w:ascii="Times New Roman" w:hAnsi="Times New Roman" w:eastAsia="Times New Roman"/>
          <w:b/>
          <w:i w:val="0"/>
          <w:color w:val="000000"/>
          <w:sz w:val="32"/>
        </w:rPr>
        <w:t>Chapter 4</w:t>
      </w:r>
    </w:p>
    <w:p>
      <w:pPr>
        <w:spacing w:before="0" w:after="120" w:line="480" w:lineRule="auto"/>
        <w:ind w:firstLine="0"/>
        <w:jc w:val="center"/>
      </w:pPr>
      <w:r>
        <w:rPr>
          <w:rFonts w:ascii="Times New Roman" w:hAnsi="Times New Roman" w:eastAsia="Times New Roman"/>
          <w:b/>
          <w:i w:val="0"/>
          <w:color w:val="000000"/>
          <w:sz w:val="32"/>
        </w:rPr>
        <w:t>Results</w:t>
      </w:r>
    </w:p>
    <w:p>
      <w:pPr>
        <w:spacing w:before="0" w:after="0" w:line="480" w:lineRule="auto"/>
        <w:ind w:firstLine="709"/>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spacing w:before="240" w:after="120" w:line="480" w:lineRule="auto"/>
        <w:ind w:firstLine="0"/>
        <w:jc w:val="left"/>
      </w:pPr>
      <w:r>
        <w:rPr>
          <w:rFonts w:ascii="Times New Roman" w:hAnsi="Times New Roman" w:eastAsia="Times New Roman"/>
          <w:b/>
          <w:i w:val="0"/>
          <w:color w:val="000000"/>
          <w:sz w:val="26"/>
        </w:rPr>
        <w:t>4.1 Weight loss</w:t>
      </w:r>
    </w:p>
    <w:p>
      <w:pPr>
        <w:spacing w:before="0" w:after="0" w:line="480" w:lineRule="auto"/>
        <w:ind w:firstLine="709"/>
        <w:jc w:val="both"/>
      </w:pPr>
      <w:r>
        <w:rPr>
          <w:rFonts w:ascii="Times New Roman" w:hAnsi="Times New Roman" w:eastAsia="Times New Roman"/>
          <w:b w:val="0"/>
          <w:i w:val="0"/>
          <w:color w:val="000000"/>
          <w:sz w:val="24"/>
        </w:rPr>
        <w:t>Mean mass before and after brushing, and percentage loss, are given in Table 4.1.</w:t>
      </w:r>
    </w:p>
    <w:p>
      <w:pPr>
        <w:spacing w:before="0" w:after="0" w:line="480" w:lineRule="auto"/>
        <w:ind w:firstLine="709"/>
        <w:jc w:val="both"/>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Weight before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Weight after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Weight loss (%)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0.1602 ± 0.0074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0.1576 ± 0.0031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1.49 ± 3.14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0.1630 ± 0.0102</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0.1619 ± 0.0106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0.65 ± 0.37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0.329†</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0.2313 ± 0.0154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0.2303 ± 0.0156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0.41 ± 0.25</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One-way ANOVA. Values are mean ± standard deviation.</w:t>
      </w:r>
    </w:p>
    <w:p>
      <w:pPr>
        <w:spacing w:before="0" w:after="0" w:line="480" w:lineRule="auto"/>
        <w:ind w:firstLine="709"/>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That follows from filler load and density, not from a difference in disc size.</w:t>
      </w:r>
    </w:p>
    <w:p>
      <w:pPr>
        <w:spacing w:before="0" w:after="0" w:line="480" w:lineRule="auto"/>
        <w:ind w:firstLine="709"/>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spacing w:before="0" w:after="0" w:line="480" w:lineRule="auto"/>
        <w:ind w:firstLine="709"/>
        <w:jc w:val="both"/>
      </w:pPr>
      <w:r>
        <w:rPr>
          <w:rFonts w:ascii="Times New Roman" w:hAnsi="Times New Roman" w:eastAsia="Times New Roman"/>
          <w:b w:val="0"/>
          <w:i w:val="0"/>
          <w:color w:val="000000"/>
          <w:sz w:val="24"/>
        </w:rPr>
        <w:t>Absolute loss is set out in Table 4.3 because percentage loss on a lighter disc can exaggerate a small mass change, and because the outlier is easier to see in milligrams.</w:t>
      </w:r>
    </w:p>
    <w:p>
      <w:pPr>
        <w:spacing w:before="0" w:after="0" w:line="480" w:lineRule="auto"/>
        <w:ind w:firstLine="709"/>
        <w:jc w:val="both"/>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Composite resin</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Absolute weight loss (mg) Mean ± SD</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Range (mg)</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Flow Plus X F00</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2.58 ± 5.91</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0.2 – 20.7</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G-ænial Universal Injectable</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1.07 ± 0.62</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0.2 – 1.9</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II LS</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0.95 ± 0.58</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 – 1.8</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Values are mean ± standard deviation. The large standard deviation in Beautifil Flow Plus X F00 comes from one disc that lost about 11.4 % of its mass (20.7 mg). The rest of that group, and both other groups, sit in a band of roughly 0.1–1.9 mg.</w:t>
      </w:r>
    </w:p>
    <w:p>
      <w:pPr>
        <w:spacing w:before="240" w:after="120" w:line="480" w:lineRule="auto"/>
        <w:ind w:firstLine="0"/>
        <w:jc w:val="left"/>
      </w:pPr>
      <w:r>
        <w:rPr>
          <w:rFonts w:ascii="Times New Roman" w:hAnsi="Times New Roman" w:eastAsia="Times New Roman"/>
          <w:b/>
          <w:i w:val="0"/>
          <w:color w:val="000000"/>
          <w:sz w:val="26"/>
        </w:rPr>
        <w:t>4.2 Surface roughness</w:t>
      </w:r>
    </w:p>
    <w:p>
      <w:pPr>
        <w:spacing w:before="0" w:after="0" w:line="480" w:lineRule="auto"/>
        <w:ind w:firstLine="709"/>
        <w:jc w:val="both"/>
      </w:pPr>
      <w:r>
        <w:rPr>
          <w:rFonts w:ascii="Times New Roman" w:hAnsi="Times New Roman" w:eastAsia="Times New Roman"/>
          <w:b w:val="0"/>
          <w:i w:val="0"/>
          <w:color w:val="000000"/>
          <w:sz w:val="24"/>
        </w:rPr>
        <w:t>Mean Ra before and after brushing, and ΔRa, are given in Table 4.2.</w:t>
      </w:r>
    </w:p>
    <w:p>
      <w:pPr>
        <w:spacing w:before="0" w:after="0" w:line="480" w:lineRule="auto"/>
        <w:ind w:firstLine="709"/>
        <w:jc w:val="both"/>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Ra before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Ra after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ΔRa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20"/>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0.038 ± 0.011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0.104 ± 0.017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0.066 ± 0.021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0.054 ± 0.010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0.100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0.046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&lt; 0.001‡</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0.119 ± 0.054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0.194 ± 0.050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t>0.075 ± 0.066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20"/>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Kruskal–Wallis test. Pairwise tests: each injectable versus Beautifil II LS, p &lt; 0.001; the two injectables, not significant. Values are mean ± standard deviation.</w:t>
      </w:r>
    </w:p>
    <w:p>
      <w:pPr>
        <w:spacing w:before="0" w:after="0" w:line="480" w:lineRule="auto"/>
        <w:ind w:firstLine="709"/>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spacing w:before="0" w:after="0" w:line="480" w:lineRule="auto"/>
        <w:ind w:firstLine="709"/>
        <w:jc w:val="both"/>
      </w:pPr>
      <w:r>
        <w:rPr>
          <w:rFonts w:ascii="Times New Roman" w:hAnsi="Times New Roman" w:eastAsia="Times New Roman"/>
          <w:b w:val="0"/>
          <w:i w:val="0"/>
          <w:color w:val="000000"/>
          <w:sz w:val="24"/>
        </w:rPr>
        <w:t>Every group roughened. ΔRa was 0.066 ± 0.021 µm, 0.046 ± 0.023 µm and 0.075 ± 0.066 µm. After 10 000 cycles the means were 0.104 ± 0.017 µm (Beautifil Flow Plus X F00), 0.100 ± 0.023 µm (G-ænial Universal Injectable) and 0.194 ± 0.050 µm (Beautifil II LS).</w:t>
      </w:r>
    </w:p>
    <w:p>
      <w:pPr>
        <w:spacing w:before="0" w:after="0" w:line="480" w:lineRule="auto"/>
        <w:ind w:firstLine="709"/>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spacing w:before="0" w:after="0" w:line="480" w:lineRule="auto"/>
        <w:ind w:firstLine="709"/>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w:t>
      </w:r>
    </w:p>
    <w:p>
      <w:pPr>
        <w:spacing w:before="240" w:after="120" w:line="480" w:lineRule="auto"/>
        <w:ind w:firstLine="0"/>
        <w:jc w:val="left"/>
      </w:pPr>
      <w:r>
        <w:rPr>
          <w:rFonts w:ascii="Times New Roman" w:hAnsi="Times New Roman" w:eastAsia="Times New Roman"/>
          <w:b/>
          <w:i w:val="0"/>
          <w:color w:val="000000"/>
          <w:sz w:val="26"/>
        </w:rPr>
        <w:t>4.3 Summary of the numbers</w:t>
      </w:r>
    </w:p>
    <w:p>
      <w:pPr>
        <w:spacing w:before="0" w:after="0" w:line="480" w:lineRule="auto"/>
        <w:ind w:firstLine="709"/>
        <w:jc w:val="both"/>
      </w:pPr>
      <w:r>
        <w:rPr>
          <w:rFonts w:ascii="Times New Roman" w:hAnsi="Times New Roman" w:eastAsia="Times New Roman"/>
          <w:b w:val="0"/>
          <w:i w:val="0"/>
          <w:color w:val="000000"/>
          <w:sz w:val="24"/>
        </w:rPr>
        <w:t>Percentage weight loss did not differ significantly. Absolute loss in the two well-behaved groups and in most of the Beautifil Flow Plus X F00 discs was about 1 mg. One disc in that group did not. After the same abrasion both injectables were smoother than Beautifil II LS and did not differ from each other.</w:t>
      </w:r>
    </w:p>
    <w:p>
      <w:pPr>
        <w:spacing w:before="0" w:after="120" w:line="480" w:lineRule="auto"/>
        <w:ind w:firstLine="0"/>
        <w:jc w:val="center"/>
      </w:pPr>
      <w:r>
        <w:rPr>
          <w:rFonts w:ascii="Times New Roman" w:hAnsi="Times New Roman" w:eastAsia="Times New Roman"/>
          <w:b/>
          <w:i w:val="0"/>
          <w:color w:val="000000"/>
          <w:sz w:val="32"/>
        </w:rPr>
        <w:t>Chapter 5</w:t>
      </w:r>
    </w:p>
    <w:p>
      <w:pPr>
        <w:spacing w:before="0" w:after="120" w:line="480" w:lineRule="auto"/>
        <w:ind w:firstLine="0"/>
        <w:jc w:val="center"/>
      </w:pPr>
      <w:r>
        <w:rPr>
          <w:rFonts w:ascii="Times New Roman" w:hAnsi="Times New Roman" w:eastAsia="Times New Roman"/>
          <w:b/>
          <w:i w:val="0"/>
          <w:color w:val="000000"/>
          <w:sz w:val="32"/>
        </w:rPr>
        <w:t>Discussion</w:t>
      </w:r>
    </w:p>
    <w:p>
      <w:pPr>
        <w:spacing w:before="0" w:after="0" w:line="480" w:lineRule="auto"/>
        <w:ind w:firstLine="709"/>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spacing w:before="240" w:after="120" w:line="480" w:lineRule="auto"/>
        <w:ind w:firstLine="0"/>
        <w:jc w:val="left"/>
      </w:pPr>
      <w:r>
        <w:rPr>
          <w:rFonts w:ascii="Times New Roman" w:hAnsi="Times New Roman" w:eastAsia="Times New Roman"/>
          <w:b/>
          <w:i w:val="0"/>
          <w:color w:val="000000"/>
          <w:sz w:val="26"/>
        </w:rPr>
        <w:t>5.1 Weight loss</w:t>
      </w:r>
    </w:p>
    <w:p>
      <w:pPr>
        <w:spacing w:before="0" w:after="0" w:line="480" w:lineRule="auto"/>
        <w:ind w:firstLine="709"/>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spacing w:before="0" w:after="0" w:line="480" w:lineRule="auto"/>
        <w:ind w:firstLine="709"/>
        <w:jc w:val="both"/>
      </w:pPr>
      <w:r>
        <w:rPr>
          <w:rFonts w:ascii="Times New Roman" w:hAnsi="Times New Roman" w:eastAsia="Times New Roman"/>
          <w:b w:val="0"/>
          <w:i w:val="0"/>
          <w:color w:val="000000"/>
          <w:sz w:val="24"/>
        </w:rPr>
        <w:t>Beautifil II LS started heavier. Percentage loss on a heavier disc is a smaller number for the same milligrams shed. Absolute loss treats that fairly: 0.95 ± 0.58 mg against 1.07 ± 0.62 mg for G-ænial Universal Injectable. Those two means are near each other. The injectable with the nano-filled barium-glass bed did not shed more mass than the 83 wt% nanohybrid under this slurry.</w:t>
      </w:r>
    </w:p>
    <w:p>
      <w:pPr>
        <w:spacing w:before="0" w:after="0" w:line="480" w:lineRule="auto"/>
        <w:ind w:firstLine="709"/>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spacing w:before="0" w:after="0" w:line="480" w:lineRule="auto"/>
        <w:ind w:firstLine="709"/>
        <w:jc w:val="both"/>
      </w:pPr>
      <w:r>
        <w:rPr>
          <w:rFonts w:ascii="Times New Roman" w:hAnsi="Times New Roman" w:eastAsia="Times New Roman"/>
          <w:b w:val="0"/>
          <w:i w:val="0"/>
          <w:color w:val="000000"/>
          <w:sz w:val="24"/>
        </w:rPr>
        <w:t>Why one disc lost 20.7 mg is not known from the files. A void, a soft under-cured layer, or a weighing error would all produce that point. The value was not dropped. It is footnoted in Table 4.3. Any later re-analysis that excludes it must say so.</w:t>
      </w:r>
    </w:p>
    <w:p>
      <w:pPr>
        <w:spacing w:before="240" w:after="120" w:line="480" w:lineRule="auto"/>
        <w:ind w:firstLine="0"/>
        <w:jc w:val="left"/>
      </w:pPr>
      <w:r>
        <w:rPr>
          <w:rFonts w:ascii="Times New Roman" w:hAnsi="Times New Roman" w:eastAsia="Times New Roman"/>
          <w:b/>
          <w:i w:val="0"/>
          <w:color w:val="000000"/>
          <w:sz w:val="26"/>
        </w:rPr>
        <w:t>5.2 Surface roughness</w:t>
      </w:r>
    </w:p>
    <w:p>
      <w:pPr>
        <w:spacing w:before="0" w:after="0" w:line="480" w:lineRule="auto"/>
        <w:ind w:firstLine="709"/>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spacing w:before="0" w:after="0" w:line="480" w:lineRule="auto"/>
        <w:ind w:firstLine="709"/>
        <w:jc w:val="both"/>
      </w:pPr>
      <w:r>
        <w:rPr>
          <w:rFonts w:ascii="Times New Roman" w:hAnsi="Times New Roman" w:eastAsia="Times New Roman"/>
          <w:b w:val="0"/>
          <w:i w:val="0"/>
          <w:color w:val="000000"/>
          <w:sz w:val="24"/>
        </w:rPr>
        <w:t>That pattern fits filler geometry. A nanofilled injectable with ~150 nm barium glass and silica wears more evenly (6,18). A nanohybrid with larger S-PRG and pre-polymerised particles loses matrix first. The large fillers stand up or leave pits (4,18). Hasan, Eltoukhy and Zaghloul saw the same order after simulated brushing: G-ænial Universal Injectable smoother than a nanohybrid; two nanofilled resins not different from each other (18). Heintze et al. had already shown that hybrid and microhybrid pastes roughen more with load and time than microfilled resins (4).</w:t>
      </w:r>
    </w:p>
    <w:p>
      <w:pPr>
        <w:spacing w:before="0" w:after="0" w:line="480" w:lineRule="auto"/>
        <w:ind w:firstLine="709"/>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spacing w:before="240" w:after="120" w:line="480" w:lineRule="auto"/>
        <w:ind w:firstLine="0"/>
        <w:jc w:val="left"/>
      </w:pPr>
      <w:r>
        <w:rPr>
          <w:rFonts w:ascii="Times New Roman" w:hAnsi="Times New Roman" w:eastAsia="Times New Roman"/>
          <w:b/>
          <w:i w:val="0"/>
          <w:color w:val="000000"/>
          <w:sz w:val="26"/>
        </w:rPr>
        <w:t>5.3 Clinical reading</w:t>
      </w:r>
    </w:p>
    <w:p>
      <w:pPr>
        <w:spacing w:before="0" w:after="0" w:line="480" w:lineRule="auto"/>
        <w:ind w:firstLine="709"/>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It does not license a claim that they survive occlusal contact better. Occlusal contact was not tested.</w:t>
      </w:r>
    </w:p>
    <w:p>
      <w:pPr>
        <w:spacing w:before="0" w:after="0" w:line="480" w:lineRule="auto"/>
        <w:ind w:firstLine="709"/>
        <w:jc w:val="both"/>
      </w:pPr>
      <w:r>
        <w:rPr>
          <w:rFonts w:ascii="Times New Roman" w:hAnsi="Times New Roman" w:eastAsia="Times New Roman"/>
          <w:b w:val="0"/>
          <w:i w:val="0"/>
          <w:color w:val="000000"/>
          <w:sz w:val="24"/>
        </w:rPr>
        <w:t>Beautifil II LS remains a reasonable packable control. Its higher baseline Ra may reflect filler size, polish, or both. The files do not record the polish sequence. If the nanohybrid was left with a coarser finish, part of the after-brushing difference was already present at baseline. The after-brushing test is still valid. The groups were compared as they stood after the same abrasion.</w:t>
      </w:r>
    </w:p>
    <w:p>
      <w:pPr>
        <w:spacing w:before="240" w:after="120" w:line="480" w:lineRule="auto"/>
        <w:ind w:firstLine="0"/>
        <w:jc w:val="left"/>
      </w:pPr>
      <w:r>
        <w:rPr>
          <w:rFonts w:ascii="Times New Roman" w:hAnsi="Times New Roman" w:eastAsia="Times New Roman"/>
          <w:b/>
          <w:i w:val="0"/>
          <w:color w:val="000000"/>
          <w:sz w:val="26"/>
        </w:rPr>
        <w:t>5.4 Strengths</w:t>
      </w:r>
    </w:p>
    <w:p>
      <w:pPr>
        <w:spacing w:before="0" w:after="0" w:line="480" w:lineRule="auto"/>
        <w:ind w:firstLine="709"/>
        <w:jc w:val="both"/>
      </w:pPr>
      <w:r>
        <w:rPr>
          <w:rFonts w:ascii="Times New Roman" w:hAnsi="Times New Roman" w:eastAsia="Times New Roman"/>
          <w:b w:val="0"/>
          <w:i w:val="0"/>
          <w:color w:val="000000"/>
          <w:sz w:val="24"/>
        </w:rPr>
        <w:t>The three products are current commercial pastes, including the X-generation Flow Plus. Sample size was twelve, not ten. Both mass and Ra were read on the same discs. The brushing load and cycle count sit on published ISO and Sexson–Phillips figures (3,7). The statistical tests match the distributions used in the locked spreadsheet. The outlier was kept and named.</w:t>
      </w:r>
    </w:p>
    <w:p>
      <w:pPr>
        <w:spacing w:before="240" w:after="120" w:line="480" w:lineRule="auto"/>
        <w:ind w:firstLine="0"/>
        <w:jc w:val="left"/>
      </w:pPr>
      <w:r>
        <w:rPr>
          <w:rFonts w:ascii="Times New Roman" w:hAnsi="Times New Roman" w:eastAsia="Times New Roman"/>
          <w:b/>
          <w:i w:val="0"/>
          <w:color w:val="000000"/>
          <w:sz w:val="26"/>
        </w:rPr>
        <w:t>5.5 Limits</w:t>
      </w:r>
    </w:p>
    <w:p>
      <w:pPr>
        <w:spacing w:before="0" w:after="0" w:line="480" w:lineRule="auto"/>
        <w:ind w:firstLine="709"/>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One dentifrice was used. Brush stiffness and slurry ratio were not fully specified in the working files. There are no scanning electron images, so filler plucking is an inference from the roughness numbers, not a micrograph. Storage time, light-cure unit and polish sequence need to be copied from the laboratory notes. Ten thousand cycles are one conventional year, not a clinical year. Disc geometry is not a Class II box.</w:t>
      </w:r>
    </w:p>
    <w:p>
      <w:pPr>
        <w:spacing w:before="240" w:after="120" w:line="480" w:lineRule="auto"/>
        <w:ind w:firstLine="0"/>
        <w:jc w:val="left"/>
      </w:pPr>
      <w:r>
        <w:rPr>
          <w:rFonts w:ascii="Times New Roman" w:hAnsi="Times New Roman" w:eastAsia="Times New Roman"/>
          <w:b/>
          <w:i w:val="0"/>
          <w:color w:val="000000"/>
          <w:sz w:val="26"/>
        </w:rPr>
        <w:t>5.6 Close of the discussion</w:t>
      </w:r>
    </w:p>
    <w:p>
      <w:pPr>
        <w:spacing w:before="0" w:after="0" w:line="480" w:lineRule="auto"/>
        <w:ind w:firstLine="709"/>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spacing w:before="0" w:after="120" w:line="480" w:lineRule="auto"/>
        <w:ind w:firstLine="0"/>
        <w:jc w:val="center"/>
      </w:pPr>
      <w:r>
        <w:rPr>
          <w:rFonts w:ascii="Times New Roman" w:hAnsi="Times New Roman" w:eastAsia="Times New Roman"/>
          <w:b/>
          <w:i w:val="0"/>
          <w:color w:val="000000"/>
          <w:sz w:val="32"/>
        </w:rPr>
        <w:t>Chapter 6</w:t>
      </w:r>
    </w:p>
    <w:p>
      <w:pPr>
        <w:spacing w:before="0" w:after="120" w:line="480" w:lineRule="auto"/>
        <w:ind w:firstLine="0"/>
        <w:jc w:val="center"/>
      </w:pPr>
      <w:r>
        <w:rPr>
          <w:rFonts w:ascii="Times New Roman" w:hAnsi="Times New Roman" w:eastAsia="Times New Roman"/>
          <w:b/>
          <w:i w:val="0"/>
          <w:color w:val="000000"/>
          <w:sz w:val="32"/>
        </w:rPr>
        <w:t>Conclusions and recommendations</w:t>
      </w:r>
    </w:p>
    <w:p>
      <w:pPr>
        <w:spacing w:before="240" w:after="120" w:line="480" w:lineRule="auto"/>
        <w:ind w:firstLine="0"/>
        <w:jc w:val="left"/>
      </w:pPr>
      <w:r>
        <w:rPr>
          <w:rFonts w:ascii="Times New Roman" w:hAnsi="Times New Roman" w:eastAsia="Times New Roman"/>
          <w:b/>
          <w:i w:val="0"/>
          <w:color w:val="000000"/>
          <w:sz w:val="26"/>
        </w:rPr>
        <w:t>6.1 Conclusions</w:t>
      </w:r>
    </w:p>
    <w:p>
      <w:pPr>
        <w:spacing w:before="0" w:after="0" w:line="480" w:lineRule="auto"/>
        <w:ind w:firstLine="709"/>
        <w:jc w:val="both"/>
      </w:pPr>
      <w:r>
        <w:rPr>
          <w:rFonts w:ascii="Times New Roman" w:hAnsi="Times New Roman" w:eastAsia="Times New Roman"/>
          <w:b w:val="0"/>
          <w:i w:val="0"/>
          <w:color w:val="000000"/>
          <w:sz w:val="24"/>
        </w:rPr>
        <w:t>Under the conditions of this in-vitro study:</w:t>
      </w:r>
    </w:p>
    <w:p>
      <w:pPr>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spacing w:before="240" w:after="120" w:line="480" w:lineRule="auto"/>
        <w:ind w:firstLine="0"/>
        <w:jc w:val="left"/>
      </w:pPr>
      <w:r>
        <w:rPr>
          <w:rFonts w:ascii="Times New Roman" w:hAnsi="Times New Roman" w:eastAsia="Times New Roman"/>
          <w:b/>
          <w:i w:val="0"/>
          <w:color w:val="000000"/>
          <w:sz w:val="26"/>
        </w:rPr>
        <w:t>6.2 Recommendations</w:t>
      </w:r>
    </w:p>
    <w:p>
      <w:pPr>
        <w:spacing w:before="0" w:after="0" w:line="480" w:lineRule="auto"/>
        <w:ind w:firstLine="709"/>
        <w:jc w:val="both"/>
      </w:pPr>
      <w:r>
        <w:rPr>
          <w:rFonts w:ascii="Times New Roman" w:hAnsi="Times New Roman" w:eastAsia="Times New Roman"/>
          <w:b/>
          <w:i w:val="0"/>
          <w:color w:val="000000"/>
          <w:sz w:val="24"/>
        </w:rPr>
        <w:t>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spacing w:before="0" w:after="0" w:line="480" w:lineRule="auto"/>
        <w:ind w:firstLine="709"/>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spacing w:before="0" w:after="0" w:line="480" w:lineRule="auto"/>
        <w:ind w:firstLine="709"/>
        <w:jc w:val="both"/>
      </w:pPr>
      <w:r>
        <w:rPr>
          <w:rFonts w:ascii="Times New Roman" w:hAnsi="Times New Roman" w:eastAsia="Times New Roman"/>
          <w:b/>
          <w:i w:val="0"/>
          <w:color w:val="000000"/>
          <w:sz w:val="24"/>
        </w:rPr>
        <w:t>Clinical work.</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spacing w:before="0" w:after="120" w:line="480" w:lineRule="auto"/>
        <w:ind w:firstLine="0"/>
        <w:jc w:val="center"/>
      </w:pPr>
      <w:r>
        <w:rPr>
          <w:rFonts w:ascii="Times New Roman" w:hAnsi="Times New Roman" w:eastAsia="Times New Roman"/>
          <w:b/>
          <w:i w:val="0"/>
          <w:color w:val="000000"/>
          <w:sz w:val="32"/>
        </w:rPr>
        <w:t>Chapter 7</w:t>
      </w:r>
    </w:p>
    <w:p>
      <w:pPr>
        <w:spacing w:before="0" w:after="120" w:line="480" w:lineRule="auto"/>
        <w:ind w:firstLine="0"/>
        <w:jc w:val="center"/>
      </w:pPr>
      <w:r>
        <w:rPr>
          <w:rFonts w:ascii="Times New Roman" w:hAnsi="Times New Roman" w:eastAsia="Times New Roman"/>
          <w:b/>
          <w:i w:val="0"/>
          <w:color w:val="000000"/>
          <w:sz w:val="32"/>
        </w:rPr>
        <w:t>References</w:t>
      </w:r>
    </w:p>
    <w:p>
      <w:pPr>
        <w:spacing w:before="0" w:after="0" w:line="480" w:lineRule="auto"/>
        <w:ind w:firstLine="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spacing w:before="0" w:after="0" w:line="480" w:lineRule="auto"/>
        <w:ind w:firstLine="0"/>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spacing w:before="0" w:after="0" w:line="480" w:lineRule="auto"/>
        <w:ind w:firstLine="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spacing w:before="0" w:after="0" w:line="480" w:lineRule="auto"/>
        <w:ind w:firstLine="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spacing w:before="0" w:after="0" w:line="480" w:lineRule="auto"/>
        <w:ind w:firstLine="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spacing w:before="0" w:after="0" w:line="480" w:lineRule="auto"/>
        <w:ind w:firstLine="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spacing w:before="0" w:after="0" w:line="480" w:lineRule="auto"/>
        <w:ind w:firstLine="0"/>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spacing w:before="0" w:after="0" w:line="480" w:lineRule="auto"/>
        <w:ind w:firstLine="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spacing w:before="0" w:after="0" w:line="480" w:lineRule="auto"/>
        <w:ind w:firstLine="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spacing w:before="0" w:after="0" w:line="480" w:lineRule="auto"/>
        <w:ind w:firstLine="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spacing w:before="0" w:after="0" w:line="480" w:lineRule="auto"/>
        <w:ind w:firstLine="0"/>
        <w:jc w:val="both"/>
      </w:pPr>
      <w:r>
        <w:rPr>
          <w:rFonts w:ascii="Times New Roman" w:hAnsi="Times New Roman" w:eastAsia="Times New Roman"/>
          <w:b w:val="0"/>
          <w:i w:val="0"/>
          <w:color w:val="000000"/>
          <w:sz w:val="24"/>
        </w:rPr>
        <w:t>11. Ferracane JL. Resin composite—state of the art. Dent Mater. 2011;27(1):29-38.</w:t>
      </w:r>
    </w:p>
    <w:p>
      <w:pPr>
        <w:spacing w:before="0" w:after="0" w:line="480" w:lineRule="auto"/>
        <w:ind w:firstLine="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spacing w:before="0" w:after="0" w:line="480" w:lineRule="auto"/>
        <w:ind w:firstLine="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spacing w:before="0" w:after="0" w:line="480" w:lineRule="auto"/>
        <w:ind w:firstLine="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spacing w:before="0" w:after="0" w:line="480" w:lineRule="auto"/>
        <w:ind w:firstLine="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spacing w:before="0" w:after="0" w:line="480" w:lineRule="auto"/>
        <w:ind w:firstLine="0"/>
        <w:jc w:val="both"/>
      </w:pPr>
      <w:r>
        <w:rPr>
          <w:rFonts w:ascii="Times New Roman" w:hAnsi="Times New Roman" w:eastAsia="Times New Roman"/>
          <w:b w:val="0"/>
          <w:i w:val="0"/>
          <w:color w:val="000000"/>
          <w:sz w:val="24"/>
        </w:rPr>
        <w:t>16. International Organization for Standardization. ISO 4049:2019. Dentistry — Polymer-based restorative materials. Geneva: ISO; 2019.</w:t>
      </w:r>
    </w:p>
    <w:p>
      <w:pPr>
        <w:spacing w:before="0" w:after="0" w:line="480" w:lineRule="auto"/>
        <w:ind w:firstLine="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spacing w:before="0" w:after="0" w:line="480" w:lineRule="auto"/>
        <w:ind w:firstLine="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spacing w:before="0" w:after="0" w:line="480" w:lineRule="auto"/>
        <w:ind w:firstLine="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spacing w:before="0" w:after="0" w:line="480" w:lineRule="auto"/>
        <w:ind w:firstLine="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spacing w:before="0" w:after="0" w:line="480" w:lineRule="auto"/>
        <w:ind w:firstLine="0"/>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spacing w:before="0" w:after="0" w:line="480" w:lineRule="auto"/>
        <w:ind w:firstLine="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