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276"/>
        <w:ind w:firstLine="0"/>
        <w:jc w:val="left"/>
      </w:pPr>
      <w:r>
        <w:rPr>
          <w:rFonts w:ascii="Times New Roman" w:hAnsi="Times New Roman" w:cs="Times New Roman" w:eastAsia="Times New Roman"/>
          <w:b/>
          <w:i w:val="0"/>
          <w:color w:val="000000"/>
          <w:sz w:val="24"/>
          <w:szCs w:val="24"/>
        </w:rPr>
        <w:t>Pharos University in Alexandria</w:t>
      </w:r>
    </w:p>
    <w:p>
      <w:pPr>
        <w:widowControl/>
        <w:spacing w:before="0" w:after="0" w:lineRule="auto" w:line="276"/>
        <w:ind w:firstLine="0"/>
        <w:jc w:val="left"/>
      </w:pPr>
      <w:r>
        <w:rPr>
          <w:rFonts w:ascii="Times New Roman" w:hAnsi="Times New Roman" w:cs="Times New Roman" w:eastAsia="Times New Roman"/>
          <w:b/>
          <w:i w:val="0"/>
          <w:color w:val="000000"/>
          <w:sz w:val="24"/>
          <w:szCs w:val="24"/>
        </w:rPr>
        <w:t>Faculty of Dentistry</w:t>
      </w:r>
    </w:p>
    <w:p>
      <w:pPr>
        <w:widowControl/>
        <w:spacing w:before="0" w:after="0" w:lineRule="auto" w:line="276"/>
        <w:ind w:firstLine="0"/>
        <w:jc w:val="left"/>
      </w:pPr>
      <w:r>
        <w:rPr>
          <w:rFonts w:ascii="Times New Roman" w:hAnsi="Times New Roman" w:cs="Times New Roman" w:eastAsia="Times New Roman"/>
          <w:b w:val="0"/>
          <w:i w:val="0"/>
          <w:color w:val="000000"/>
          <w:sz w:val="24"/>
          <w:szCs w:val="24"/>
        </w:rPr>
        <w:t>Department of Restorative Dentistry</w:t>
      </w:r>
    </w:p>
    <w:p>
      <w:pPr>
        <w:widowControl/>
        <w:spacing w:before="0" w:after="280" w:lineRule="auto" w:line="276"/>
        <w:ind w:firstLine="0"/>
        <w:jc w:val="left"/>
      </w:pPr>
      <w:r>
        <w:rPr>
          <w:rFonts w:ascii="Times New Roman" w:hAnsi="Times New Roman" w:cs="Times New Roman" w:eastAsia="Times New Roman"/>
          <w:b/>
          <w:i w:val="0"/>
          <w:color w:val="000000"/>
          <w:sz w:val="24"/>
          <w:szCs w:val="24"/>
        </w:rPr>
        <w:t>Student Code No. 202203112</w:t>
      </w:r>
    </w:p>
    <w:p>
      <w:pPr>
        <w:widowControl/>
        <w:spacing w:before="160" w:after="0" w:lineRule="auto" w:line="276"/>
        <w:ind w:firstLine="0"/>
        <w:jc w:val="center"/>
      </w:pPr>
      <w:r>
        <w:rPr>
          <w:rFonts w:ascii="Times New Roman" w:hAnsi="Times New Roman" w:cs="Times New Roman" w:eastAsia="Times New Roman"/>
          <w:b/>
          <w:i w:val="0"/>
          <w:color w:val="000000"/>
          <w:sz w:val="24"/>
          <w:szCs w:val="24"/>
        </w:rPr>
        <w:t>A Thesis submitted in partial fulfilment of the</w:t>
      </w:r>
    </w:p>
    <w:p>
      <w:pPr>
        <w:widowControl/>
        <w:spacing w:before="0" w:after="0" w:lineRule="auto" w:line="276"/>
        <w:ind w:firstLine="0"/>
        <w:jc w:val="center"/>
      </w:pPr>
      <w:r>
        <w:rPr>
          <w:rFonts w:ascii="Times New Roman" w:hAnsi="Times New Roman" w:cs="Times New Roman" w:eastAsia="Times New Roman"/>
          <w:b/>
          <w:i w:val="0"/>
          <w:color w:val="000000"/>
          <w:sz w:val="24"/>
          <w:szCs w:val="24"/>
        </w:rPr>
        <w:t>requirements for the degree of Master of Science</w:t>
      </w:r>
    </w:p>
    <w:p>
      <w:pPr>
        <w:widowControl/>
        <w:spacing w:before="0" w:after="0" w:lineRule="auto" w:line="276"/>
        <w:ind w:firstLine="0"/>
        <w:jc w:val="center"/>
      </w:pPr>
      <w:r>
        <w:rPr>
          <w:rFonts w:ascii="Times New Roman" w:hAnsi="Times New Roman" w:cs="Times New Roman" w:eastAsia="Times New Roman"/>
          <w:b/>
          <w:i w:val="0"/>
          <w:color w:val="000000"/>
          <w:sz w:val="24"/>
          <w:szCs w:val="24"/>
        </w:rPr>
        <w:t>in Conservative Dentistry</w:t>
      </w:r>
    </w:p>
    <w:p>
      <w:pPr>
        <w:widowControl/>
        <w:spacing w:before="0" w:after="280" w:lineRule="auto" w:line="276"/>
        <w:ind w:firstLine="0"/>
        <w:jc w:val="center"/>
      </w:pPr>
      <w:r>
        <w:rPr>
          <w:rFonts w:ascii="Times New Roman" w:hAnsi="Times New Roman" w:cs="Times New Roman" w:eastAsia="Times New Roman"/>
          <w:b/>
          <w:i w:val="0"/>
          <w:color w:val="000000"/>
          <w:sz w:val="24"/>
          <w:szCs w:val="24"/>
        </w:rPr>
        <w:t>Academic Year 2024–2025 / 2025–2026</w:t>
      </w:r>
    </w:p>
    <w:p>
      <w:pPr>
        <w:widowControl/>
        <w:spacing w:before="120" w:after="0" w:lineRule="auto" w:line="276"/>
        <w:ind w:firstLine="0"/>
        <w:jc w:val="center"/>
      </w:pPr>
      <w:r>
        <w:rPr>
          <w:rFonts w:ascii="Times New Roman" w:hAnsi="Times New Roman" w:cs="Times New Roman" w:eastAsia="Times New Roman"/>
          <w:b w:val="0"/>
          <w:i w:val="0"/>
          <w:color w:val="000000"/>
          <w:sz w:val="24"/>
          <w:szCs w:val="24"/>
        </w:rPr>
        <w:t>Name of Candidate</w:t>
      </w:r>
    </w:p>
    <w:p>
      <w:pPr>
        <w:widowControl/>
        <w:spacing w:before="0" w:after="280" w:lineRule="auto" w:line="276"/>
        <w:ind w:firstLine="0"/>
        <w:jc w:val="center"/>
      </w:pPr>
      <w:r>
        <w:rPr>
          <w:rFonts w:ascii="Times New Roman" w:hAnsi="Times New Roman" w:cs="Times New Roman" w:eastAsia="Times New Roman"/>
          <w:b/>
          <w:i w:val="0"/>
          <w:color w:val="000000"/>
          <w:sz w:val="28"/>
          <w:szCs w:val="28"/>
        </w:rPr>
        <w:t>Mohamed Talaat Mohamed AbdelMoaty ElAbd</w:t>
      </w:r>
    </w:p>
    <w:p>
      <w:pPr>
        <w:widowControl/>
        <w:spacing w:before="80" w:after="0" w:lineRule="auto" w:line="276"/>
        <w:ind w:firstLine="0"/>
        <w:jc w:val="left"/>
      </w:pPr>
      <w:r>
        <w:rPr>
          <w:rFonts w:ascii="Times New Roman" w:hAnsi="Times New Roman" w:cs="Times New Roman" w:eastAsia="Times New Roman"/>
          <w:b/>
          <w:i/>
          <w:color w:val="000000"/>
          <w:sz w:val="24"/>
          <w:szCs w:val="24"/>
        </w:rPr>
        <w:t>English Title:</w:t>
      </w:r>
    </w:p>
    <w:p>
      <w:pPr>
        <w:widowControl/>
        <w:spacing w:before="80" w:after="0" w:lineRule="auto" w:line="276"/>
        <w:ind w:firstLine="0"/>
        <w:jc w:val="center"/>
      </w:pPr>
      <w:r>
        <w:rPr>
          <w:rFonts w:ascii="Times New Roman" w:hAnsi="Times New Roman" w:cs="Times New Roman" w:eastAsia="Times New Roman"/>
          <w:b/>
          <w:i w:val="0"/>
          <w:color w:val="000000"/>
          <w:sz w:val="24"/>
          <w:szCs w:val="24"/>
        </w:rPr>
        <w:t>COMPARATIVE STUDY OF WEAR RESISTANCE</w:t>
      </w:r>
    </w:p>
    <w:p>
      <w:pPr>
        <w:widowControl/>
        <w:spacing w:before="0" w:after="0" w:lineRule="auto" w:line="276"/>
        <w:ind w:firstLine="0"/>
        <w:jc w:val="center"/>
      </w:pPr>
      <w:r>
        <w:rPr>
          <w:rFonts w:ascii="Times New Roman" w:hAnsi="Times New Roman" w:cs="Times New Roman" w:eastAsia="Times New Roman"/>
          <w:b/>
          <w:i w:val="0"/>
          <w:color w:val="000000"/>
          <w:sz w:val="24"/>
          <w:szCs w:val="24"/>
        </w:rPr>
        <w:t>AND SURFACE ROUGHNESS OF INJECTABLE VERSUS</w:t>
      </w:r>
    </w:p>
    <w:p>
      <w:pPr>
        <w:widowControl/>
        <w:spacing w:before="0" w:after="240" w:lineRule="auto" w:line="276"/>
        <w:ind w:firstLine="0"/>
        <w:jc w:val="center"/>
      </w:pPr>
      <w:r>
        <w:rPr>
          <w:rFonts w:ascii="Times New Roman" w:hAnsi="Times New Roman" w:cs="Times New Roman" w:eastAsia="Times New Roman"/>
          <w:b/>
          <w:i w:val="0"/>
          <w:color w:val="000000"/>
          <w:sz w:val="24"/>
          <w:szCs w:val="24"/>
        </w:rPr>
        <w:t>CONVENTIONAL COMPOSITE RESIN — IN VITRO STUDY</w:t>
      </w:r>
    </w:p>
    <w:p>
      <w:pPr>
        <w:widowControl/>
        <w:spacing w:before="80" w:after="0" w:lineRule="auto" w:line="276"/>
        <w:ind w:firstLine="0"/>
        <w:jc w:val="left"/>
      </w:pPr>
      <w:r>
        <w:rPr>
          <w:rFonts w:ascii="Times New Roman" w:hAnsi="Times New Roman" w:cs="Times New Roman" w:eastAsia="Times New Roman"/>
          <w:b/>
          <w:i/>
          <w:color w:val="000000"/>
          <w:sz w:val="24"/>
          <w:szCs w:val="24"/>
        </w:rPr>
        <w:t>Arabic Title:</w:t>
      </w:r>
    </w:p>
    <w:p>
      <w:pPr>
        <w:widowControl/>
        <w:spacing w:before="80" w:after="240" w:lineRule="auto" w:line="276"/>
        <w:ind w:firstLine="0"/>
        <w:jc w:val="center"/>
      </w:pPr>
      <w:r>
        <w:rPr>
          <w:rFonts w:ascii="Times New Roman" w:hAnsi="Times New Roman" w:cs="Noto Naskh Arabic" w:eastAsia="Times New Roman"/>
          <w:b/>
          <w:i w:val="0"/>
          <w:color w:val="000000"/>
          <w:sz w:val="24"/>
          <w:szCs w:val="24"/>
        </w:rPr>
        <w:t>دراسة مقارنة للتآكل وخشونة سطح الراتينج المركب القابل للحقن والتقليدي – دراسة في المختبر</w:t>
      </w:r>
    </w:p>
    <w:p>
      <w:pPr>
        <w:widowControl/>
        <w:spacing w:before="0" w:after="280" w:lineRule="auto" w:line="276"/>
        <w:ind w:firstLine="0"/>
        <w:jc w:val="left"/>
      </w:pPr>
      <w:r>
        <w:rPr>
          <w:rFonts w:ascii="Times New Roman" w:hAnsi="Times New Roman" w:cs="Times New Roman" w:eastAsia="Times New Roman"/>
          <w:b/>
          <w:i w:val="0"/>
          <w:color w:val="000000"/>
          <w:sz w:val="24"/>
          <w:szCs w:val="24"/>
        </w:rPr>
        <w:t xml:space="preserve">Keywords: </w:t>
      </w:r>
      <w:r>
        <w:rPr>
          <w:rFonts w:ascii="Times New Roman" w:hAnsi="Times New Roman" w:cs="Times New Roman" w:eastAsia="Times New Roman"/>
          <w:b w:val="0"/>
          <w:i w:val="0"/>
          <w:color w:val="000000"/>
          <w:sz w:val="24"/>
          <w:szCs w:val="24"/>
        </w:rPr>
        <w:t>Surface roughness, wear, injectable composite, conventional composite.</w:t>
      </w:r>
    </w:p>
    <w:p>
      <w:pPr>
        <w:widowControl/>
        <w:spacing w:before="120" w:after="160" w:lineRule="auto" w:line="276"/>
        <w:ind w:firstLine="0"/>
        <w:jc w:val="center"/>
      </w:pPr>
      <w:r>
        <w:rPr>
          <w:rFonts w:ascii="Times New Roman" w:hAnsi="Times New Roman" w:cs="Times New Roman" w:eastAsia="Times New Roman"/>
          <w:b/>
          <w:i w:val="0"/>
          <w:color w:val="000000"/>
          <w:sz w:val="24"/>
          <w:szCs w:val="24"/>
        </w:rPr>
        <w:t>Supervision Committee</w:t>
      </w:r>
    </w:p>
    <w:p>
      <w:pPr>
        <w:widowControl/>
        <w:spacing w:before="0" w:after="80" w:lineRule="auto" w:line="276"/>
        <w:ind w:firstLine="0"/>
        <w:jc w:val="center"/>
      </w:pPr>
      <w:r>
        <w:rPr>
          <w:rFonts w:ascii="Times New Roman" w:hAnsi="Times New Roman" w:cs="Times New Roman" w:eastAsia="Times New Roman"/>
          <w:b w:val="0"/>
          <w:i w:val="0"/>
          <w:color w:val="000000"/>
          <w:sz w:val="24"/>
          <w:szCs w:val="24"/>
        </w:rPr>
        <w:t>1. Prof. Wegdan M. Abdel-Fattah</w:t>
      </w:r>
    </w:p>
    <w:p>
      <w:pPr>
        <w:widowControl/>
        <w:spacing w:before="0" w:after="0" w:lineRule="auto" w:line="276"/>
        <w:ind w:firstLine="0"/>
        <w:jc w:val="center"/>
      </w:pPr>
      <w:r>
        <w:rPr>
          <w:rFonts w:ascii="Times New Roman" w:hAnsi="Times New Roman" w:cs="Times New Roman" w:eastAsia="Times New Roman"/>
          <w:b w:val="0"/>
          <w:i w:val="0"/>
          <w:color w:val="000000"/>
          <w:sz w:val="24"/>
          <w:szCs w:val="24"/>
        </w:rPr>
        <w:t>2. Asst. Prof. Emad M. El-Sayed  (Main supervisor)</w:t>
      </w:r>
    </w:p>
    <w:p>
      <w:pPr>
        <w:sectPr>
          <w:headerReference w:type="default" r:id="rId9"/>
          <w:footerReference w:type="default" r:id="rId10"/>
          <w:pgSz w:w="11906" w:h="16838"/>
          <w:pgMar w:top="1587" w:right="1247" w:bottom="1446" w:left="1701" w:header="170" w:footer="159" w:gutter="0"/>
          <w:cols w:space="720"/>
          <w:docGrid w:linePitch="360"/>
        </w:sectPr>
      </w:pP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ROLE OF SUPERVISORS</w:t>
      </w:r>
    </w:p>
    <w:p>
      <w:pPr>
        <w:widowControl/>
        <w:spacing w:before="200" w:after="120" w:lineRule="auto" w:line="276"/>
        <w:ind w:left="720" w:hanging="357"/>
        <w:jc w:val="both"/>
      </w:pPr>
      <w:r>
        <w:rPr>
          <w:rFonts w:ascii="Times New Roman" w:hAnsi="Times New Roman" w:cs="Times New Roman" w:eastAsia="Times New Roman"/>
          <w:b w:val="0"/>
          <w:i w:val="0"/>
          <w:color w:val="000000"/>
          <w:sz w:val="24"/>
          <w:szCs w:val="24"/>
        </w:rPr>
        <w:t xml:space="preserve">1. </w:t>
      </w:r>
      <w:r>
        <w:rPr>
          <w:rFonts w:ascii="Times New Roman" w:hAnsi="Times New Roman" w:cs="Times New Roman" w:eastAsia="Times New Roman"/>
          <w:b/>
          <w:i w:val="0"/>
          <w:color w:val="000000"/>
          <w:sz w:val="24"/>
          <w:szCs w:val="24"/>
        </w:rPr>
        <w:t>Prof. Wegdan M. Abdel-Fattah</w:t>
      </w:r>
    </w:p>
    <w:p>
      <w:pPr>
        <w:widowControl/>
        <w:spacing w:before="0" w:after="80" w:lineRule="auto" w:line="276"/>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0" w:after="80" w:lineRule="auto" w:line="276"/>
        <w:ind w:firstLine="0" w:left="720"/>
        <w:jc w:val="both"/>
      </w:pPr>
      <w:r>
        <w:rPr>
          <w:rFonts w:ascii="Times New Roman" w:hAnsi="Times New Roman" w:cs="Times New Roman" w:eastAsia="Times New Roman"/>
          <w:b w:val="0"/>
          <w:i w:val="0"/>
          <w:color w:val="000000"/>
          <w:sz w:val="24"/>
          <w:szCs w:val="24"/>
        </w:rPr>
        <w:t>Analysis and interpretation of study results.</w:t>
      </w:r>
    </w:p>
    <w:p>
      <w:pPr>
        <w:widowControl/>
        <w:spacing w:before="0" w:after="80" w:lineRule="auto" w:line="276"/>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0" w:after="80" w:lineRule="auto" w:line="276"/>
        <w:ind w:firstLine="0" w:left="720"/>
        <w:jc w:val="both"/>
      </w:pPr>
      <w:r>
        <w:rPr>
          <w:rFonts w:ascii="Times New Roman" w:hAnsi="Times New Roman" w:cs="Times New Roman" w:eastAsia="Times New Roman"/>
          <w:b w:val="0"/>
          <w:i w:val="0"/>
          <w:color w:val="000000"/>
          <w:sz w:val="24"/>
          <w:szCs w:val="24"/>
        </w:rPr>
        <w:t>Guidance of paper/thesis writing</w:t>
      </w:r>
    </w:p>
    <w:p>
      <w:pPr>
        <w:widowControl/>
        <w:spacing w:before="200" w:after="120" w:lineRule="auto" w:line="276"/>
        <w:ind w:left="720" w:hanging="357"/>
        <w:jc w:val="both"/>
      </w:pPr>
      <w:r>
        <w:rPr>
          <w:rFonts w:ascii="Times New Roman" w:hAnsi="Times New Roman" w:cs="Times New Roman" w:eastAsia="Times New Roman"/>
          <w:b w:val="0"/>
          <w:i w:val="0"/>
          <w:color w:val="000000"/>
          <w:sz w:val="24"/>
          <w:szCs w:val="24"/>
        </w:rPr>
        <w:t xml:space="preserve">2. </w:t>
      </w:r>
      <w:r>
        <w:rPr>
          <w:rFonts w:ascii="Times New Roman" w:hAnsi="Times New Roman" w:cs="Times New Roman" w:eastAsia="Times New Roman"/>
          <w:b/>
          <w:i w:val="0"/>
          <w:color w:val="000000"/>
          <w:sz w:val="24"/>
          <w:szCs w:val="24"/>
        </w:rPr>
        <w:t>Asst. Prof. Emad M. El-Sayed</w:t>
      </w:r>
    </w:p>
    <w:p>
      <w:pPr>
        <w:widowControl/>
        <w:spacing w:before="0" w:after="80" w:lineRule="auto" w:line="276"/>
        <w:ind w:firstLine="0" w:left="720"/>
        <w:jc w:val="both"/>
      </w:pPr>
      <w:r>
        <w:rPr>
          <w:rFonts w:ascii="Times New Roman" w:hAnsi="Times New Roman" w:cs="Times New Roman" w:eastAsia="Times New Roman"/>
          <w:b w:val="0"/>
          <w:i w:val="0"/>
          <w:color w:val="000000"/>
          <w:sz w:val="24"/>
          <w:szCs w:val="24"/>
        </w:rPr>
        <w:t>Supervision of the clinical/experimental procedures</w:t>
      </w:r>
    </w:p>
    <w:p>
      <w:pPr>
        <w:widowControl/>
        <w:spacing w:before="0" w:after="80" w:lineRule="auto" w:line="276"/>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0" w:after="80" w:lineRule="auto" w:line="276"/>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0" w:after="80" w:lineRule="auto" w:line="276"/>
        <w:ind w:firstLine="0" w:left="720"/>
        <w:jc w:val="both"/>
      </w:pPr>
      <w:r>
        <w:rPr>
          <w:rFonts w:ascii="Times New Roman" w:hAnsi="Times New Roman" w:cs="Times New Roman" w:eastAsia="Times New Roman"/>
          <w:b w:val="0"/>
          <w:i w:val="0"/>
          <w:color w:val="000000"/>
          <w:sz w:val="24"/>
          <w:szCs w:val="24"/>
        </w:rPr>
        <w:t>Revising the thesis and/or manuscript</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ACKNOWLEDGEMENTS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CONTENTS</w:t>
      </w:r>
    </w:p>
    <w:p>
      <w:pPr>
        <w:widowControl/>
        <w:spacing w:before="200" w:after="160" w:lineRule="auto" w:line="276"/>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Contents</w:t>
      </w:r>
      <w:r>
        <w:rPr>
          <w:rFonts w:ascii="Times New Roman" w:hAnsi="Times New Roman" w:cs="Times New Roman" w:eastAsia="Times New Roman"/>
          <w:b/>
          <w:i w:val="0"/>
          <w:color w:val="000000"/>
          <w:sz w:val="24"/>
          <w:szCs w:val="24"/>
        </w:rPr>
        <w:tab/>
        <w:t>Page</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ROLE OF SUPERVISORS</w:t>
      </w:r>
      <w:r>
        <w:rPr>
          <w:rFonts w:ascii="Times New Roman" w:hAnsi="Times New Roman" w:cs="Times New Roman" w:eastAsia="Times New Roman"/>
          <w:b w:val="0"/>
          <w:i w:val="0"/>
          <w:color w:val="000000"/>
          <w:sz w:val="24"/>
          <w:szCs w:val="24"/>
        </w:rPr>
        <w:tab/>
        <w:t>2</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ACKNOWLEDGEMENTS</w:t>
      </w:r>
      <w:r>
        <w:rPr>
          <w:rFonts w:ascii="Times New Roman" w:hAnsi="Times New Roman" w:cs="Times New Roman" w:eastAsia="Times New Roman"/>
          <w:b w:val="0"/>
          <w:i w:val="0"/>
          <w:color w:val="000000"/>
          <w:sz w:val="24"/>
          <w:szCs w:val="24"/>
        </w:rPr>
        <w:tab/>
        <w:t>3</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LIST OF TABLES</w:t>
      </w:r>
      <w:r>
        <w:rPr>
          <w:rFonts w:ascii="Times New Roman" w:hAnsi="Times New Roman" w:cs="Times New Roman" w:eastAsia="Times New Roman"/>
          <w:b w:val="0"/>
          <w:i w:val="0"/>
          <w:color w:val="000000"/>
          <w:sz w:val="24"/>
          <w:szCs w:val="24"/>
        </w:rPr>
        <w:tab/>
        <w:t>5</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LIST OF FIGURES</w:t>
      </w:r>
      <w:r>
        <w:rPr>
          <w:rFonts w:ascii="Times New Roman" w:hAnsi="Times New Roman" w:cs="Times New Roman" w:eastAsia="Times New Roman"/>
          <w:b w:val="0"/>
          <w:i w:val="0"/>
          <w:color w:val="000000"/>
          <w:sz w:val="24"/>
          <w:szCs w:val="24"/>
        </w:rPr>
        <w:tab/>
        <w:t>6</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LIST OF ABBREVIATIONS</w:t>
      </w:r>
      <w:r>
        <w:rPr>
          <w:rFonts w:ascii="Times New Roman" w:hAnsi="Times New Roman" w:cs="Times New Roman" w:eastAsia="Times New Roman"/>
          <w:b w:val="0"/>
          <w:i w:val="0"/>
          <w:color w:val="000000"/>
          <w:sz w:val="24"/>
          <w:szCs w:val="24"/>
        </w:rPr>
        <w:tab/>
        <w:t>7</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ABSTRACT</w:t>
      </w:r>
      <w:r>
        <w:rPr>
          <w:rFonts w:ascii="Times New Roman" w:hAnsi="Times New Roman" w:cs="Times New Roman" w:eastAsia="Times New Roman"/>
          <w:b w:val="0"/>
          <w:i w:val="0"/>
          <w:color w:val="000000"/>
          <w:sz w:val="24"/>
          <w:szCs w:val="24"/>
        </w:rPr>
        <w:tab/>
        <w:t>8</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INTRODUCTION</w:t>
      </w:r>
      <w:r>
        <w:rPr>
          <w:rFonts w:ascii="Times New Roman" w:hAnsi="Times New Roman" w:cs="Times New Roman" w:eastAsia="Times New Roman"/>
          <w:b w:val="0"/>
          <w:i w:val="0"/>
          <w:color w:val="000000"/>
          <w:sz w:val="24"/>
          <w:szCs w:val="24"/>
        </w:rPr>
        <w:tab/>
        <w:t>10</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REVIEW OF LITERATURE</w:t>
      </w:r>
      <w:r>
        <w:rPr>
          <w:rFonts w:ascii="Times New Roman" w:hAnsi="Times New Roman" w:cs="Times New Roman" w:eastAsia="Times New Roman"/>
          <w:b w:val="0"/>
          <w:i w:val="0"/>
          <w:color w:val="000000"/>
          <w:sz w:val="24"/>
          <w:szCs w:val="24"/>
        </w:rPr>
        <w:tab/>
        <w:t>13</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MATERIALS AND METHODS</w:t>
      </w:r>
      <w:r>
        <w:rPr>
          <w:rFonts w:ascii="Times New Roman" w:hAnsi="Times New Roman" w:cs="Times New Roman" w:eastAsia="Times New Roman"/>
          <w:b w:val="0"/>
          <w:i w:val="0"/>
          <w:color w:val="000000"/>
          <w:sz w:val="24"/>
          <w:szCs w:val="24"/>
        </w:rPr>
        <w:tab/>
        <w:t>20</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RESULTS</w:t>
      </w:r>
      <w:r>
        <w:rPr>
          <w:rFonts w:ascii="Times New Roman" w:hAnsi="Times New Roman" w:cs="Times New Roman" w:eastAsia="Times New Roman"/>
          <w:b w:val="0"/>
          <w:i w:val="0"/>
          <w:color w:val="000000"/>
          <w:sz w:val="24"/>
          <w:szCs w:val="24"/>
        </w:rPr>
        <w:tab/>
        <w:t>25</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DISCUSSION</w:t>
      </w:r>
      <w:r>
        <w:rPr>
          <w:rFonts w:ascii="Times New Roman" w:hAnsi="Times New Roman" w:cs="Times New Roman" w:eastAsia="Times New Roman"/>
          <w:b w:val="0"/>
          <w:i w:val="0"/>
          <w:color w:val="000000"/>
          <w:sz w:val="24"/>
          <w:szCs w:val="24"/>
        </w:rPr>
        <w:tab/>
        <w:t>31</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CONCLUSIONS AND RECOMMENDATIONS</w:t>
      </w:r>
      <w:r>
        <w:rPr>
          <w:rFonts w:ascii="Times New Roman" w:hAnsi="Times New Roman" w:cs="Times New Roman" w:eastAsia="Times New Roman"/>
          <w:b w:val="0"/>
          <w:i w:val="0"/>
          <w:color w:val="000000"/>
          <w:sz w:val="24"/>
          <w:szCs w:val="24"/>
        </w:rPr>
        <w:tab/>
        <w:t>37</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REFERENCES</w:t>
      </w:r>
      <w:r>
        <w:rPr>
          <w:rFonts w:ascii="Times New Roman" w:hAnsi="Times New Roman" w:cs="Times New Roman" w:eastAsia="Times New Roman"/>
          <w:b w:val="0"/>
          <w:i w:val="0"/>
          <w:color w:val="000000"/>
          <w:sz w:val="24"/>
          <w:szCs w:val="24"/>
        </w:rPr>
        <w:tab/>
        <w:t>39</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LIST OF TABLES</w:t>
      </w:r>
    </w:p>
    <w:p>
      <w:pPr>
        <w:widowControl/>
        <w:spacing w:before="200" w:after="160" w:lineRule="auto" w:line="276"/>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Table 3.1 Composition of the resin composites</w:t>
      </w:r>
      <w:r>
        <w:rPr>
          <w:rFonts w:ascii="Times New Roman" w:hAnsi="Times New Roman" w:cs="Times New Roman" w:eastAsia="Times New Roman"/>
          <w:b w:val="0"/>
          <w:i w:val="0"/>
          <w:color w:val="000000"/>
          <w:sz w:val="24"/>
          <w:szCs w:val="24"/>
        </w:rPr>
        <w:tab/>
        <w:t>21</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Table 4.1 Weight before and after brushing and percentage weight loss</w:t>
      </w:r>
      <w:r>
        <w:rPr>
          <w:rFonts w:ascii="Times New Roman" w:hAnsi="Times New Roman" w:cs="Times New Roman" w:eastAsia="Times New Roman"/>
          <w:b w:val="0"/>
          <w:i w:val="0"/>
          <w:color w:val="000000"/>
          <w:sz w:val="24"/>
          <w:szCs w:val="24"/>
        </w:rPr>
        <w:tab/>
        <w:t>25</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Table 4.2 Absolute weight loss after 10 000 brushing cycles</w:t>
      </w:r>
      <w:r>
        <w:rPr>
          <w:rFonts w:ascii="Times New Roman" w:hAnsi="Times New Roman" w:cs="Times New Roman" w:eastAsia="Times New Roman"/>
          <w:b w:val="0"/>
          <w:i w:val="0"/>
          <w:color w:val="000000"/>
          <w:sz w:val="24"/>
          <w:szCs w:val="24"/>
        </w:rPr>
        <w:tab/>
        <w:t>27</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Table 4.3 Ra before and after brushing and ΔRa</w:t>
      </w:r>
      <w:r>
        <w:rPr>
          <w:rFonts w:ascii="Times New Roman" w:hAnsi="Times New Roman" w:cs="Times New Roman" w:eastAsia="Times New Roman"/>
          <w:b w:val="0"/>
          <w:i w:val="0"/>
          <w:color w:val="000000"/>
          <w:sz w:val="24"/>
          <w:szCs w:val="24"/>
        </w:rPr>
        <w:tab/>
        <w:t>27</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LIST OF FIGURES</w:t>
      </w:r>
    </w:p>
    <w:p>
      <w:pPr>
        <w:widowControl/>
        <w:spacing w:before="200" w:after="160" w:lineRule="auto" w:line="276"/>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Figure 4.1 Mean percentage weight loss after 10 000 brushing cycles</w:t>
      </w:r>
      <w:r>
        <w:rPr>
          <w:rFonts w:ascii="Times New Roman" w:hAnsi="Times New Roman" w:cs="Times New Roman" w:eastAsia="Times New Roman"/>
          <w:b w:val="0"/>
          <w:i w:val="0"/>
          <w:color w:val="000000"/>
          <w:sz w:val="24"/>
          <w:szCs w:val="24"/>
        </w:rPr>
        <w:tab/>
        <w:t>26</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Figure 4.2 Mean Ra before and after brushing (0.2 µm threshold)</w:t>
      </w:r>
      <w:r>
        <w:rPr>
          <w:rFonts w:ascii="Times New Roman" w:hAnsi="Times New Roman" w:cs="Times New Roman" w:eastAsia="Times New Roman"/>
          <w:b w:val="0"/>
          <w:i w:val="0"/>
          <w:color w:val="000000"/>
          <w:sz w:val="24"/>
          <w:szCs w:val="24"/>
        </w:rPr>
        <w:tab/>
        <w:t>28</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Figure 4.3 Mean change in surface roughness (ΔRa)</w:t>
      </w:r>
      <w:r>
        <w:rPr>
          <w:rFonts w:ascii="Times New Roman" w:hAnsi="Times New Roman" w:cs="Times New Roman" w:eastAsia="Times New Roman"/>
          <w:b w:val="0"/>
          <w:i w:val="0"/>
          <w:color w:val="000000"/>
          <w:sz w:val="24"/>
          <w:szCs w:val="24"/>
        </w:rPr>
        <w:tab/>
        <w:t>29</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LIST OF ABBREVIATIONS</w:t>
      </w:r>
    </w:p>
    <w:p>
      <w:pPr>
        <w:widowControl/>
        <w:spacing w:before="0" w:after="80" w:lineRule="auto" w:line="276"/>
        <w:ind w:firstLine="0"/>
        <w:jc w:val="both"/>
      </w:pPr>
      <w:r>
        <w:rPr>
          <w:rFonts w:ascii="Times New Roman" w:hAnsi="Times New Roman" w:cs="Times New Roman" w:eastAsia="Times New Roman"/>
          <w:b w:val="0"/>
          <w:i w:val="0"/>
          <w:color w:val="000000"/>
          <w:sz w:val="24"/>
          <w:szCs w:val="24"/>
        </w:rPr>
        <w:t>ANOVA — analysis of variance</w:t>
      </w:r>
    </w:p>
    <w:p>
      <w:pPr>
        <w:widowControl/>
        <w:spacing w:before="0" w:after="80" w:lineRule="auto" w:line="276"/>
        <w:ind w:firstLine="0"/>
        <w:jc w:val="both"/>
      </w:pPr>
      <w:r>
        <w:rPr>
          <w:rFonts w:ascii="Times New Roman" w:hAnsi="Times New Roman" w:cs="Times New Roman" w:eastAsia="Times New Roman"/>
          <w:b w:val="0"/>
          <w:i w:val="0"/>
          <w:color w:val="000000"/>
          <w:sz w:val="24"/>
          <w:szCs w:val="24"/>
        </w:rPr>
        <w:t>CAD/CAM — computer-aided design / computer-aided manufacture</w:t>
      </w:r>
    </w:p>
    <w:p>
      <w:pPr>
        <w:widowControl/>
        <w:spacing w:before="0" w:after="80" w:lineRule="auto" w:line="276"/>
        <w:ind w:firstLine="0"/>
        <w:jc w:val="both"/>
      </w:pPr>
      <w:r>
        <w:rPr>
          <w:rFonts w:ascii="Times New Roman" w:hAnsi="Times New Roman" w:cs="Times New Roman" w:eastAsia="Times New Roman"/>
          <w:b w:val="0"/>
          <w:i w:val="0"/>
          <w:color w:val="000000"/>
          <w:sz w:val="24"/>
          <w:szCs w:val="24"/>
        </w:rPr>
        <w:t>ISO — International Organization for Standardization</w:t>
      </w:r>
    </w:p>
    <w:p>
      <w:pPr>
        <w:widowControl/>
        <w:spacing w:before="0" w:after="80" w:lineRule="auto" w:line="276"/>
        <w:ind w:firstLine="0"/>
        <w:jc w:val="both"/>
      </w:pPr>
      <w:r>
        <w:rPr>
          <w:rFonts w:ascii="Times New Roman" w:hAnsi="Times New Roman" w:cs="Times New Roman" w:eastAsia="Times New Roman"/>
          <w:b w:val="0"/>
          <w:i w:val="0"/>
          <w:color w:val="000000"/>
          <w:sz w:val="24"/>
          <w:szCs w:val="24"/>
        </w:rPr>
        <w:t>LED — light-emitting diode</w:t>
      </w:r>
    </w:p>
    <w:p>
      <w:pPr>
        <w:widowControl/>
        <w:spacing w:before="0" w:after="80" w:lineRule="auto" w:line="276"/>
        <w:ind w:firstLine="0"/>
        <w:jc w:val="both"/>
      </w:pPr>
      <w:r>
        <w:rPr>
          <w:rFonts w:ascii="Times New Roman" w:hAnsi="Times New Roman" w:cs="Times New Roman" w:eastAsia="Times New Roman"/>
          <w:b w:val="0"/>
          <w:i w:val="0"/>
          <w:color w:val="000000"/>
          <w:sz w:val="24"/>
          <w:szCs w:val="24"/>
        </w:rPr>
        <w:t>Ra — arithmetic mean roughness</w:t>
      </w:r>
    </w:p>
    <w:p>
      <w:pPr>
        <w:widowControl/>
        <w:spacing w:before="0" w:after="80" w:lineRule="auto" w:line="276"/>
        <w:ind w:firstLine="0"/>
        <w:jc w:val="both"/>
      </w:pPr>
      <w:r>
        <w:rPr>
          <w:rFonts w:ascii="Times New Roman" w:hAnsi="Times New Roman" w:cs="Times New Roman" w:eastAsia="Times New Roman"/>
          <w:b w:val="0"/>
          <w:i w:val="0"/>
          <w:color w:val="000000"/>
          <w:sz w:val="24"/>
          <w:szCs w:val="24"/>
        </w:rPr>
        <w:t>RDA — relative dentine abrasivity</w:t>
      </w:r>
    </w:p>
    <w:p>
      <w:pPr>
        <w:widowControl/>
        <w:spacing w:before="0" w:after="80" w:lineRule="auto" w:line="276"/>
        <w:ind w:firstLine="0"/>
        <w:jc w:val="both"/>
      </w:pPr>
      <w:r>
        <w:rPr>
          <w:rFonts w:ascii="Times New Roman" w:hAnsi="Times New Roman" w:cs="Times New Roman" w:eastAsia="Times New Roman"/>
          <w:b w:val="0"/>
          <w:i w:val="0"/>
          <w:color w:val="000000"/>
          <w:sz w:val="24"/>
          <w:szCs w:val="24"/>
        </w:rPr>
        <w:t>SD — standard deviation</w:t>
      </w:r>
    </w:p>
    <w:p>
      <w:pPr>
        <w:widowControl/>
        <w:spacing w:before="0" w:after="80" w:lineRule="auto" w:line="276"/>
        <w:ind w:firstLine="0"/>
        <w:jc w:val="both"/>
      </w:pPr>
      <w:r>
        <w:rPr>
          <w:rFonts w:ascii="Times New Roman" w:hAnsi="Times New Roman" w:cs="Times New Roman" w:eastAsia="Times New Roman"/>
          <w:b w:val="0"/>
          <w:i w:val="0"/>
          <w:color w:val="000000"/>
          <w:sz w:val="24"/>
          <w:szCs w:val="24"/>
        </w:rPr>
        <w:t>S-PRG — surface pre-reacted glass-ionomer</w:t>
      </w:r>
    </w:p>
    <w:p>
      <w:pPr>
        <w:widowControl/>
        <w:spacing w:before="0" w:after="80" w:lineRule="auto" w:line="276"/>
        <w:ind w:firstLine="0"/>
        <w:jc w:val="both"/>
      </w:pPr>
      <w:r>
        <w:rPr>
          <w:rFonts w:ascii="Times New Roman" w:hAnsi="Times New Roman" w:cs="Times New Roman" w:eastAsia="Times New Roman"/>
          <w:b w:val="0"/>
          <w:i w:val="0"/>
          <w:color w:val="000000"/>
          <w:sz w:val="24"/>
          <w:szCs w:val="24"/>
        </w:rPr>
        <w:t>vol% — percentage by volume</w:t>
      </w:r>
    </w:p>
    <w:p>
      <w:pPr>
        <w:widowControl/>
        <w:spacing w:before="0" w:after="80" w:lineRule="auto" w:line="276"/>
        <w:ind w:firstLine="0"/>
        <w:jc w:val="both"/>
      </w:pPr>
      <w:r>
        <w:rPr>
          <w:rFonts w:ascii="Times New Roman" w:hAnsi="Times New Roman" w:cs="Times New Roman" w:eastAsia="Times New Roman"/>
          <w:b w:val="0"/>
          <w:i w:val="0"/>
          <w:color w:val="000000"/>
          <w:sz w:val="24"/>
          <w:szCs w:val="24"/>
        </w:rPr>
        <w:t>ΔRa — change in Ra (after − before)</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ABSTRACT</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Background.</w:t>
      </w:r>
      <w:r>
        <w:rPr>
          <w:rFonts w:ascii="Times New Roman" w:hAnsi="Times New Roman" w:cs="Times New Roman" w:eastAsia="Times New Roman"/>
          <w:b w:val="0"/>
          <w:i w:val="0"/>
          <w:color w:val="000000"/>
          <w:sz w:val="24"/>
          <w:szCs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Aim.</w:t>
      </w:r>
      <w:r>
        <w:rPr>
          <w:rFonts w:ascii="Times New Roman" w:hAnsi="Times New Roman" w:cs="Times New Roman" w:eastAsia="Times New Roman"/>
          <w:b w:val="0"/>
          <w:i w:val="0"/>
          <w:color w:val="000000"/>
          <w:sz w:val="24"/>
          <w:szCs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Methods.</w:t>
      </w:r>
      <w:r>
        <w:rPr>
          <w:rFonts w:ascii="Times New Roman" w:hAnsi="Times New Roman" w:cs="Times New Roman" w:eastAsia="Times New Roman"/>
          <w:b w:val="0"/>
          <w:i w:val="0"/>
          <w:color w:val="000000"/>
          <w:sz w:val="24"/>
          <w:szCs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Results.</w:t>
      </w:r>
      <w:r>
        <w:rPr>
          <w:rFonts w:ascii="Times New Roman" w:hAnsi="Times New Roman" w:cs="Times New Roman" w:eastAsia="Times New Roman"/>
          <w:b w:val="0"/>
          <w:i w:val="0"/>
          <w:color w:val="000000"/>
          <w:sz w:val="24"/>
          <w:szCs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Conclusions.</w:t>
      </w:r>
      <w:r>
        <w:rPr>
          <w:rFonts w:ascii="Times New Roman" w:hAnsi="Times New Roman" w:cs="Times New Roman" w:eastAsia="Times New Roman"/>
          <w:b w:val="0"/>
          <w:i w:val="0"/>
          <w:color w:val="000000"/>
          <w:sz w:val="24"/>
          <w:szCs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Keywords.</w:t>
      </w:r>
      <w:r>
        <w:rPr>
          <w:rFonts w:ascii="Times New Roman" w:hAnsi="Times New Roman" w:cs="Times New Roman" w:eastAsia="Times New Roman"/>
          <w:b w:val="0"/>
          <w:i w:val="0"/>
          <w:color w:val="000000"/>
          <w:sz w:val="24"/>
          <w:szCs w:val="24"/>
        </w:rPr>
        <w:t xml:space="preserve"> Injectable composite; nanohybrid composite; toothbrush abrasion; wear; surface roughness; giomer.</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1</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INTRODUCTION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cs="Times New Roman" w:eastAsia="Times New Roman"/>
          <w:b w:val="0"/>
          <w:i w:val="0"/>
          <w:color w:val="000000"/>
          <w:sz w:val="24"/>
          <w:szCs w:val="24"/>
          <w:vertAlign w:val="superscript"/>
        </w:rPr>
        <w:t>(3,4)</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cs="Times New Roman" w:eastAsia="Times New Roman"/>
          <w:b w:val="0"/>
          <w:i w:val="0"/>
          <w:color w:val="000000"/>
          <w:sz w:val="24"/>
          <w:szCs w:val="24"/>
          <w:vertAlign w:val="superscript"/>
        </w:rPr>
        <w:t>(3,7,8)</w:t>
      </w:r>
      <w:r>
        <w:rPr>
          <w:rFonts w:ascii="Times New Roman" w:hAnsi="Times New Roman" w:cs="Times New Roman" w:eastAsia="Times New Roman"/>
          <w:b w:val="0"/>
          <w:i w:val="0"/>
          <w:color w:val="000000"/>
          <w:sz w:val="24"/>
          <w:szCs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1.1 Aim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To compare wear resistance, expressed as percentage weight loss, and surface roughness (Ra) of two highly filled injectable composites with a conventional nanohybrid composite after standardised toothbrushing.</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1.2 Objectives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To measure specimen mass before and after 10 000 brushing cycles and to calculate percentage and absolute weight loss.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To measure Ra before and after the same abrasion and to calculate ΔRa.</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To compare the three materials using the statistical tests appropriate to each outcome.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1.3 Null hypotheses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There is no significant difference in percentage weight loss among Beautifil Flow Plus X F00, G-ænial Universal Injectable and Beautifil II LS.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There is no significant difference in Ra after toothbrushing among the same three materials.</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2</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REVIEW OF LITERATURE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2.1 Wear of restorative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is the progressive loss of substance from two surfaces that are in relative motion </w:t>
      </w:r>
      <w:r>
        <w:rPr>
          <w:rFonts w:ascii="Times New Roman" w:hAnsi="Times New Roman" w:cs="Times New Roman" w:eastAsia="Times New Roman"/>
          <w:b w:val="0"/>
          <w:i w:val="0"/>
          <w:color w:val="000000"/>
          <w:sz w:val="24"/>
          <w:szCs w:val="24"/>
          <w:vertAlign w:val="superscript"/>
        </w:rPr>
        <w:t>(9)</w:t>
      </w:r>
      <w:r>
        <w:rPr>
          <w:rFonts w:ascii="Times New Roman" w:hAnsi="Times New Roman" w:cs="Times New Roman" w:eastAsia="Times New Roman"/>
          <w:b w:val="0"/>
          <w:i w:val="0"/>
          <w:color w:val="000000"/>
          <w:sz w:val="24"/>
          <w:szCs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cs="Times New Roman" w:eastAsia="Times New Roman"/>
          <w:b w:val="0"/>
          <w:i w:val="0"/>
          <w:color w:val="000000"/>
          <w:sz w:val="24"/>
          <w:szCs w:val="24"/>
          <w:vertAlign w:val="superscript"/>
        </w:rPr>
        <w:t>(9,10)</w:t>
      </w:r>
      <w:r>
        <w:rPr>
          <w:rFonts w:ascii="Times New Roman" w:hAnsi="Times New Roman" w:cs="Times New Roman" w:eastAsia="Times New Roman"/>
          <w:b w:val="0"/>
          <w:i w:val="0"/>
          <w:color w:val="000000"/>
          <w:sz w:val="24"/>
          <w:szCs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cs="Times New Roman" w:eastAsia="Times New Roman"/>
          <w:b w:val="0"/>
          <w:i w:val="0"/>
          <w:color w:val="000000"/>
          <w:sz w:val="24"/>
          <w:szCs w:val="24"/>
          <w:vertAlign w:val="superscript"/>
        </w:rPr>
        <w:t>(10)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cs="Times New Roman" w:eastAsia="Times New Roman"/>
          <w:b w:val="0"/>
          <w:i w:val="0"/>
          <w:color w:val="000000"/>
          <w:sz w:val="24"/>
          <w:szCs w:val="24"/>
          <w:vertAlign w:val="superscript"/>
        </w:rPr>
        <w:t>(11,12)</w:t>
      </w:r>
      <w:r>
        <w:rPr>
          <w:rFonts w:ascii="Times New Roman" w:hAnsi="Times New Roman" w:cs="Times New Roman" w:eastAsia="Times New Roman"/>
          <w:b w:val="0"/>
          <w:i w:val="0"/>
          <w:color w:val="000000"/>
          <w:sz w:val="24"/>
          <w:szCs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Classical flowable resins, filled at approximately 40–55 wt%, wear more rapidly than packable hybrids for precisely these reasons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cs="Times New Roman" w:eastAsia="Times New Roman"/>
          <w:b w:val="0"/>
          <w:i w:val="0"/>
          <w:color w:val="000000"/>
          <w:sz w:val="24"/>
          <w:szCs w:val="24"/>
          <w:vertAlign w:val="superscript"/>
        </w:rPr>
        <w:t>(6,12)</w:t>
      </w:r>
      <w:r>
        <w:rPr>
          <w:rFonts w:ascii="Times New Roman" w:hAnsi="Times New Roman" w:cs="Times New Roman" w:eastAsia="Times New Roman"/>
          <w:b w:val="0"/>
          <w:i w:val="0"/>
          <w:color w:val="000000"/>
          <w:sz w:val="24"/>
          <w:szCs w:val="24"/>
        </w:rPr>
        <w:t xml:space="preserve">. Beautifil II LS is listed at 68 vol%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Laboratory evaluation of toothbrush wear follows ISO/TR 14569-1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Sexson and Phillips estimated that a patient who makes about fifteen strokes per surface, twice daily, produces of the order of 10 000 strokes in a year </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 xml:space="preserve">. Most subsequent toothbrushing papers have used that figure, or a simple multiple of it, as the laboratory equivalent of one year of hygiene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may be quantified as lost volume, as profilometric depth or as lost mass </w:t>
      </w:r>
      <w:r>
        <w:rPr>
          <w:rFonts w:ascii="Times New Roman" w:hAnsi="Times New Roman" w:cs="Times New Roman" w:eastAsia="Times New Roman"/>
          <w:b w:val="0"/>
          <w:i w:val="0"/>
          <w:color w:val="000000"/>
          <w:sz w:val="24"/>
          <w:szCs w:val="24"/>
          <w:vertAlign w:val="superscript"/>
        </w:rPr>
        <w:t>(10,15)</w:t>
      </w:r>
      <w:r>
        <w:rPr>
          <w:rFonts w:ascii="Times New Roman" w:hAnsi="Times New Roman" w:cs="Times New Roman" w:eastAsia="Times New Roman"/>
          <w:b w:val="0"/>
          <w:i w:val="0"/>
          <w:color w:val="000000"/>
          <w:sz w:val="24"/>
          <w:szCs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The choice of a gravimetric outcome in the present work is therefore a methodological decision, not a claim that mass is equivalent to worn anatomy.</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arithmetic mean roughness, Ra, is defined in ISO 4287 as the arithmetic mean of the absolute ordinate values of the roughness profile within the sampling length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cs="Times New Roman" w:eastAsia="Times New Roman"/>
          <w:b w:val="0"/>
          <w:i w:val="0"/>
          <w:color w:val="000000"/>
          <w:sz w:val="24"/>
          <w:szCs w:val="24"/>
          <w:vertAlign w:val="superscript"/>
        </w:rPr>
        <w:t>(4,16)</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cs="Times New Roman" w:eastAsia="Times New Roman"/>
          <w:b w:val="0"/>
          <w:i w:val="0"/>
          <w:color w:val="000000"/>
          <w:sz w:val="24"/>
          <w:szCs w:val="24"/>
          <w:vertAlign w:val="superscript"/>
        </w:rPr>
        <w:t>(17)</w:t>
      </w:r>
      <w:r>
        <w:rPr>
          <w:rFonts w:ascii="Times New Roman" w:hAnsi="Times New Roman" w:cs="Times New Roman" w:eastAsia="Times New Roman"/>
          <w:b w:val="0"/>
          <w:i w:val="0"/>
          <w:color w:val="000000"/>
          <w:sz w:val="24"/>
          <w:szCs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Nanofilled materials, whose particles are small enough to wear with the matrix, generally retain a smoother surface than nanohybrids, in which larger fillers are uncovered or lost </w:t>
      </w:r>
      <w:r>
        <w:rPr>
          <w:rFonts w:ascii="Times New Roman" w:hAnsi="Times New Roman" w:cs="Times New Roman" w:eastAsia="Times New Roman"/>
          <w:b w:val="0"/>
          <w:i w:val="0"/>
          <w:color w:val="000000"/>
          <w:sz w:val="24"/>
          <w:szCs w:val="24"/>
          <w:vertAlign w:val="superscript"/>
        </w:rPr>
        <w:t>(8,18)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2.3 Injectable composite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Baroudi and Rodrigues, in a systematic review, concluded that conventional flowables should not be used as sole restoratives in load-bearing situations </w:t>
      </w:r>
      <w:r>
        <w:rPr>
          <w:rFonts w:ascii="Times New Roman" w:hAnsi="Times New Roman" w:cs="Times New Roman" w:eastAsia="Times New Roman"/>
          <w:b w:val="0"/>
          <w:i w:val="0"/>
          <w:color w:val="000000"/>
          <w:sz w:val="24"/>
          <w:szCs w:val="24"/>
          <w:vertAlign w:val="superscript"/>
        </w:rPr>
        <w:t>(13)</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Highly filled injectable resins are a later development. G-ænial Universal Injectable contains barium glass and silica at a filler load of 50 vol% in a dimethacrylate matrix </w:t>
      </w:r>
      <w:r>
        <w:rPr>
          <w:rFonts w:ascii="Times New Roman" w:hAnsi="Times New Roman" w:cs="Times New Roman" w:eastAsia="Times New Roman"/>
          <w:b w:val="0"/>
          <w:i w:val="0"/>
          <w:color w:val="000000"/>
          <w:sz w:val="24"/>
          <w:szCs w:val="24"/>
          <w:vertAlign w:val="superscript"/>
        </w:rPr>
        <w:t>(6,18,19)</w:t>
      </w:r>
      <w:r>
        <w:rPr>
          <w:rFonts w:ascii="Times New Roman" w:hAnsi="Times New Roman" w:cs="Times New Roman" w:eastAsia="Times New Roman"/>
          <w:b w:val="0"/>
          <w:i w:val="0"/>
          <w:color w:val="000000"/>
          <w:sz w:val="24"/>
          <w:szCs w:val="24"/>
        </w:rPr>
        <w:t xml:space="preserve">. Beautifil Flow Plus X F00 is a zero-flow giomer injectable that incorporates nano-sized surface pre-reacted glass-ionomer (S-PRG) filler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 xml:space="preserve">. It should not be confused with Beautifil Flow Plus F00, an earlier product that appears in several laboratory papers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distinction matters when results are compared.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cs="Times New Roman" w:eastAsia="Times New Roman"/>
          <w:b w:val="0"/>
          <w:i w:val="0"/>
          <w:color w:val="000000"/>
          <w:sz w:val="24"/>
          <w:szCs w:val="24"/>
          <w:vertAlign w:val="superscript"/>
        </w:rPr>
        <w:t>(27)</w:t>
      </w:r>
      <w:r>
        <w:rPr>
          <w:rFonts w:ascii="Times New Roman" w:hAnsi="Times New Roman" w:cs="Times New Roman" w:eastAsia="Times New Roman"/>
          <w:b w:val="0"/>
          <w:i w:val="0"/>
          <w:color w:val="000000"/>
          <w:sz w:val="24"/>
          <w:szCs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 Material-to-material scatter is the rule, and a toothbrushing comparison of Beautifil Flow Plus X F00 with Beautifil II LS was not among the studies they included.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2.4 Conventional nanohybrid resins and giomers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cs="Times New Roman" w:eastAsia="Times New Roman"/>
          <w:b w:val="0"/>
          <w:i w:val="0"/>
          <w:color w:val="000000"/>
          <w:sz w:val="24"/>
          <w:szCs w:val="24"/>
          <w:vertAlign w:val="superscript"/>
        </w:rPr>
        <w:t>(23)</w:t>
      </w:r>
      <w:r>
        <w:rPr>
          <w:rFonts w:ascii="Times New Roman" w:hAnsi="Times New Roman" w:cs="Times New Roman" w:eastAsia="Times New Roman"/>
          <w:b w:val="0"/>
          <w:i w:val="0"/>
          <w:color w:val="000000"/>
          <w:sz w:val="24"/>
          <w:szCs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cs="Times New Roman" w:eastAsia="Times New Roman"/>
          <w:b w:val="0"/>
          <w:i w:val="0"/>
          <w:color w:val="000000"/>
          <w:sz w:val="24"/>
          <w:szCs w:val="24"/>
          <w:vertAlign w:val="superscript"/>
        </w:rPr>
        <w:t>(21)</w:t>
      </w:r>
      <w:r>
        <w:rPr>
          <w:rFonts w:ascii="Times New Roman" w:hAnsi="Times New Roman" w:cs="Times New Roman" w:eastAsia="Times New Roman"/>
          <w:b w:val="0"/>
          <w:i w:val="0"/>
          <w:color w:val="000000"/>
          <w:sz w:val="24"/>
          <w:szCs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cs="Times New Roman" w:eastAsia="Times New Roman"/>
          <w:b w:val="0"/>
          <w:i w:val="0"/>
          <w:color w:val="000000"/>
          <w:sz w:val="24"/>
          <w:szCs w:val="24"/>
          <w:vertAlign w:val="superscript"/>
        </w:rPr>
        <w:t>(22)</w:t>
      </w:r>
      <w:r>
        <w:rPr>
          <w:rFonts w:ascii="Times New Roman" w:hAnsi="Times New Roman" w:cs="Times New Roman" w:eastAsia="Times New Roman"/>
          <w:b w:val="0"/>
          <w:i w:val="0"/>
          <w:color w:val="000000"/>
          <w:sz w:val="24"/>
          <w:szCs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Packable nanohybrids remain the clinical reference for posterior direct work because of their handling familiarity and their documented wear record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2.5 Statement of the problem</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Two-body wear of G-ænial Universal Injectable and Beautifil Flow Plus F00 is favourable in one recent laboratory study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Toothbrush roughness of G-ænial Universal Injectable is favourable against a different nanohybrid in another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Beautifil Flow Plus X F00 and Beautifil II LS have not been placed beside G-ænial Universal Injectable in a single protocol that records both gravimetric loss and Ra after 10 000 cycles at 2 N. That comparison is the subject of this thesis.</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3</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MATERIALS AND METHODS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3.1 Study design, setting and sample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Group I — G-ænial Universal Injectable.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Group II — Beautifil Flow Plus X F00.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Group III —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sample size was calculated in G*Power version 3.1.9.2 from the two-body wear comparison of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3.2 Materials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materials used were: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G-ænial Universal Injectable, shade A2 — highly filled nanofilled injectable composite (GC Corporation, Tokyo,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Beautifil Flow Plus X F00, shade A2 — highly filled injectable giomer of zero-flow consistency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Beautifil II LS, shade A2 — conventional low-shrinkage nanohybrid giomer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Colgate Total toothpaste.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Distilled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Table 3.1</w:t>
      </w:r>
      <w:r>
        <w:rPr>
          <w:rFonts w:ascii="Times New Roman" w:hAnsi="Times New Roman" w:cs="Times New Roman" w:eastAsia="Times New Roman"/>
          <w:b w:val="0"/>
          <w:i w:val="0"/>
          <w:color w:val="000000"/>
          <w:sz w:val="24"/>
          <w:szCs w:val="24"/>
        </w:rPr>
        <w:t xml:space="preserve"> Brand, manufacturer, matrix, filler and load of the resin composites</w:t>
      </w:r>
    </w:p>
    <w:tbl>
      <w:tblPr>
        <w:tblW w:type="auto" w:w="0"/>
        <w:jc w:val="center"/>
        <w:tblLayout w:type="fixed"/>
        <w:tblLook w:firstColumn="1" w:firstRow="1" w:lastColumn="0" w:lastRow="0" w:noHBand="0" w:noVBand="1" w:val="04A0"/>
        <w:tblW w:w="8958" w:type="dxa"/>
        <w:tblLayout w:type="fixed"/>
      </w:tblPr>
      <w:tblGrid>
        <w:gridCol w:w="1493"/>
        <w:gridCol w:w="1493"/>
        <w:gridCol w:w="1493"/>
        <w:gridCol w:w="1493"/>
        <w:gridCol w:w="1493"/>
        <w:gridCol w:w="1493"/>
      </w:tblGrid>
      <w:tr>
        <w:trPr>
          <w:cantSplit/>
          <w:tblHeader/>
        </w:trPr>
        <w:tc>
          <w:tcPr>
            <w:tcW w:type="dxa" w:w="1644"/>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Composite</w:t>
            </w:r>
          </w:p>
        </w:tc>
        <w:tc>
          <w:tcPr>
            <w:tcW w:type="dxa" w:w="1304"/>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Type</w:t>
            </w:r>
          </w:p>
        </w:tc>
        <w:tc>
          <w:tcPr>
            <w:tcW w:type="dxa" w:w="1928"/>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Matrix</w:t>
            </w:r>
          </w:p>
        </w:tc>
        <w:tc>
          <w:tcPr>
            <w:tcW w:type="dxa" w:w="1984"/>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Filler</w:t>
            </w:r>
          </w:p>
        </w:tc>
        <w:tc>
          <w:tcPr>
            <w:tcW w:type="dxa" w:w="850"/>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Load</w:t>
            </w:r>
          </w:p>
        </w:tc>
        <w:tc>
          <w:tcPr>
            <w:tcW w:type="dxa" w:w="1247"/>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Manufacturer</w:t>
            </w:r>
          </w:p>
        </w:tc>
      </w:tr>
      <w:tr>
        <w:trPr>
          <w:cantSplit/>
        </w:trPr>
        <w:tc>
          <w:tcPr>
            <w:tcW w:type="dxa" w:w="164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G-ænial Universal Injectable (A2)</w:t>
            </w:r>
          </w:p>
        </w:tc>
        <w:tc>
          <w:tcPr>
            <w:tcW w:type="dxa" w:w="130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Nanohybrid injectable</w:t>
            </w:r>
          </w:p>
        </w:tc>
        <w:tc>
          <w:tcPr>
            <w:tcW w:type="dxa" w:w="1928"/>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Dimethacrylate monomers</w:t>
            </w:r>
          </w:p>
        </w:tc>
        <w:tc>
          <w:tcPr>
            <w:tcW w:type="dxa" w:w="198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Barium glass, silica</w:t>
            </w:r>
          </w:p>
        </w:tc>
        <w:tc>
          <w:tcPr>
            <w:tcW w:type="dxa" w:w="850"/>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50 vol%</w:t>
            </w:r>
          </w:p>
        </w:tc>
        <w:tc>
          <w:tcPr>
            <w:tcW w:type="dxa" w:w="1247"/>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GC, Tokyo</w:t>
            </w:r>
          </w:p>
        </w:tc>
      </w:tr>
      <w:tr>
        <w:trPr>
          <w:cantSplit/>
        </w:trPr>
        <w:tc>
          <w:tcPr>
            <w:tcW w:type="dxa" w:w="164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Flow Plus X F00 (A2)</w:t>
            </w:r>
          </w:p>
        </w:tc>
        <w:tc>
          <w:tcPr>
            <w:tcW w:type="dxa" w:w="130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Nanohybrid injectable giomer</w:t>
            </w:r>
          </w:p>
        </w:tc>
        <w:tc>
          <w:tcPr>
            <w:tcW w:type="dxa" w:w="1928"/>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Bis-GMA, TEGDMA</w:t>
            </w:r>
          </w:p>
        </w:tc>
        <w:tc>
          <w:tcPr>
            <w:tcW w:type="dxa" w:w="198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Multifunctional glass and S-PRG filler</w:t>
            </w:r>
          </w:p>
        </w:tc>
        <w:tc>
          <w:tcPr>
            <w:tcW w:type="dxa" w:w="850"/>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47 vol%</w:t>
            </w:r>
          </w:p>
        </w:tc>
        <w:tc>
          <w:tcPr>
            <w:tcW w:type="dxa" w:w="1247"/>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Shofu, Kyoto</w:t>
            </w:r>
          </w:p>
        </w:tc>
      </w:tr>
      <w:tr>
        <w:trPr>
          <w:cantSplit/>
        </w:trPr>
        <w:tc>
          <w:tcPr>
            <w:tcW w:type="dxa" w:w="1644"/>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II LS (A2)</w:t>
            </w:r>
          </w:p>
        </w:tc>
        <w:tc>
          <w:tcPr>
            <w:tcW w:type="dxa" w:w="1304"/>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Nanohybrid conventional giomer</w:t>
            </w:r>
          </w:p>
        </w:tc>
        <w:tc>
          <w:tcPr>
            <w:tcW w:type="dxa" w:w="1928"/>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Bis-GMA, UDMA, Bis-EMA, PEGMA, TEGDMA</w:t>
            </w:r>
          </w:p>
        </w:tc>
        <w:tc>
          <w:tcPr>
            <w:tcW w:type="dxa" w:w="1984"/>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Multifunctional glass and S-PRG filler</w:t>
            </w:r>
          </w:p>
        </w:tc>
        <w:tc>
          <w:tcPr>
            <w:tcW w:type="dxa" w:w="850"/>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68 vol%</w:t>
            </w:r>
          </w:p>
        </w:tc>
        <w:tc>
          <w:tcPr>
            <w:tcW w:type="dxa" w:w="1247"/>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Shofu, Kyoto</w:t>
            </w:r>
          </w:p>
        </w:tc>
      </w:tr>
    </w:tbl>
    <w:p>
      <w:pPr>
        <w:widowControl/>
        <w:spacing w:before="0" w:after="24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3.3 Specimen preparation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3.4 Baseline measurements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3.5 Toothbrushing protocol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A slurry of Colgate Total (relative dentine abrasivity 70) and distilled water was prepared at 250 g of toothpaste per litre of water, in accordance with ISO 11609 and ISO/TR 14569-1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Each disc received 10 000 cycles. That count is the conventional laboratory equivalent of one year of twice-daily brushing, following the estimate of Sexson and Phillips </w:t>
      </w:r>
      <w:r>
        <w:rPr>
          <w:rFonts w:ascii="Times New Roman" w:hAnsi="Times New Roman" w:cs="Times New Roman" w:eastAsia="Times New Roman"/>
          <w:b w:val="0"/>
          <w:i w:val="0"/>
          <w:color w:val="000000"/>
          <w:sz w:val="24"/>
          <w:szCs w:val="24"/>
          <w:vertAlign w:val="superscript"/>
        </w:rPr>
        <w:t>(7,8)</w:t>
      </w:r>
      <w:r>
        <w:rPr>
          <w:rFonts w:ascii="Times New Roman" w:hAnsi="Times New Roman" w:cs="Times New Roman" w:eastAsia="Times New Roman"/>
          <w:b w:val="0"/>
          <w:i w:val="0"/>
          <w:color w:val="000000"/>
          <w:sz w:val="24"/>
          <w:szCs w:val="24"/>
        </w:rPr>
        <w:t>. The slurry was replaced every 5 000 cycles. At the end of the run the discs were rinsed with a stream of compressed tap water and dried with a disposable sponge.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3.6 Post-test measurements and calculations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[(W₁ − W₂) / W₁] × 100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Absolute loss in milligrams was calculated as (W₁ − W₂) × 1000.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change in roughness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ΔRa (µm) = Ra after − Ra before.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3.7 Statistical analysis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4</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RESULTS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were tested, twelve in each group. None was lost in processing. All discs completed 10 000 cycles at 2 N. Wear is reported as mass; roughness is reported as Ra.</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4.1 Weight loss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mass before and after brushing, and percentage loss, are given in Table 4.1 and illustrated in Figure 4.1.</w:t>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Table 4.1</w:t>
      </w:r>
      <w:r>
        <w:rPr>
          <w:rFonts w:ascii="Times New Roman" w:hAnsi="Times New Roman" w:cs="Times New Roman" w:eastAsia="Times New Roman"/>
          <w:b w:val="0"/>
          <w:i w:val="0"/>
          <w:color w:val="000000"/>
          <w:sz w:val="24"/>
          <w:szCs w:val="24"/>
        </w:rPr>
        <w:t xml:space="preserve"> Mean weight before and after simulated toothbrushing and percentage weight loss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blHeader/>
        </w:trPr>
        <w:tc>
          <w:tcPr>
            <w:tcW w:type="dxa" w:w="238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Composite resin</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Weight before (g)</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Weight after (g)</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Weight loss (%)</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147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p-value</w:t>
            </w: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Flow Plus X F00</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0.1602 ± 0.0074</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0.1576 ± 0.0031</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1.49 ± 3.14</w:t>
            </w:r>
          </w:p>
        </w:tc>
        <w:tc>
          <w:tcPr>
            <w:tcW w:type="dxa" w:w="1474"/>
            <w:vAlign w:val="center"/>
            <w:tcMar>
              <w:top w:w="100" w:type="dxa"/>
              <w:left w:w="100" w:type="dxa"/>
              <w:bottom w:w="100" w:type="dxa"/>
              <w:right w:w="100" w:type="dxa"/>
            </w:tcMar>
            <w:vMerge w:val="restart"/>
            <w:tcBorders>
              <w:top w:val="nil" w:sz="0" w:space="0" w:color="auto"/>
              <w:left w:val="nil" w:sz="0" w:space="0" w:color="auto"/>
              <w:bottom w:val="single" w:sz="18" w:space="0" w:color="000000"/>
              <w:right w:val="nil" w:sz="0" w:space="0" w:color="auto"/>
            </w:tcBorders>
            <w:tcMar>
              <w:top w:w="100" w:type="dxa"/>
              <w:left w:w="100" w:type="dxa"/>
              <w:bottom w:w="100" w:type="dxa"/>
              <w:right w:w="100" w:type="dxa"/>
            </w:tcMar>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0.329†</w:t>
            </w: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G-ænial Universal Injectable</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0.1630 ± 0.0102</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0.1619 ± 0.0106</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0.65 ± 0.37</w:t>
            </w:r>
          </w:p>
        </w:tc>
        <w:tc>
          <w:tcPr>
            <w:tcW w:type="dxa" w:w="1474"/>
            <w:vAlign w:val="center"/>
            <w:tcMar>
              <w:top w:w="100" w:type="dxa"/>
              <w:left w:w="100" w:type="dxa"/>
              <w:bottom w:w="100" w:type="dxa"/>
              <w:right w:w="100" w:type="dxa"/>
            </w:tcMar>
            <w:vMerge/>
            <w:tcBorders>
              <w:top w:val="nil" w:sz="0" w:space="0" w:color="auto"/>
              <w:left w:val="nil" w:sz="0" w:space="0" w:color="auto"/>
              <w:bottom w:val="nil" w:sz="0" w:space="0" w:color="auto"/>
              <w:right w:val="nil" w:sz="0" w:space="0" w:color="auto"/>
            </w:tcBorders>
          </w:tcP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II LS</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0.2313 ± 0.0154</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0.2303 ± 0.0156</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0.41 ± 0.25</w:t>
            </w:r>
          </w:p>
        </w:tc>
        <w:tc>
          <w:tcPr>
            <w:tcW w:type="dxa" w:w="1474"/>
            <w:vAlign w:val="center"/>
            <w:tcMar>
              <w:top w:w="100" w:type="dxa"/>
              <w:left w:w="100" w:type="dxa"/>
              <w:bottom w:w="100" w:type="dxa"/>
              <w:right w:w="10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One-way ANOVA.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437748"/>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3"/>
                    <a:stretch>
                      <a:fillRect/>
                    </a:stretch>
                  </pic:blipFill>
                  <pic:spPr>
                    <a:xfrm>
                      <a:off x="0" y="0"/>
                      <a:ext cx="4937760" cy="3437748"/>
                    </a:xfrm>
                    <a:prstGeom prst="rect"/>
                  </pic:spPr>
                </pic:pic>
              </a:graphicData>
            </a:graphic>
          </wp:inline>
        </w:drawing>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Figure 4.1</w:t>
      </w:r>
      <w:r>
        <w:rPr>
          <w:rFonts w:ascii="Times New Roman" w:hAnsi="Times New Roman" w:cs="Times New Roman" w:eastAsia="Times New Roman"/>
          <w:b w:val="0"/>
          <w:i w:val="0"/>
          <w:color w:val="000000"/>
          <w:sz w:val="24"/>
          <w:szCs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Absolute loss is set out in Table 4.2 because percentage loss on a lighter disc can exaggerate a small mass change, and because the outlying specimen is easier to see in milligrams.</w:t>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Table 4.2</w:t>
      </w:r>
      <w:r>
        <w:rPr>
          <w:rFonts w:ascii="Times New Roman" w:hAnsi="Times New Roman" w:cs="Times New Roman" w:eastAsia="Times New Roman"/>
          <w:b w:val="0"/>
          <w:i w:val="0"/>
          <w:color w:val="000000"/>
          <w:sz w:val="24"/>
          <w:szCs w:val="24"/>
        </w:rPr>
        <w:t xml:space="preserve"> Absolute weight loss after 10 000 brushing cycles (n = 12)</w:t>
      </w:r>
    </w:p>
    <w:tbl>
      <w:tblPr>
        <w:tblW w:type="auto" w:w="0"/>
        <w:jc w:val="center"/>
        <w:tblLayout w:type="fixed"/>
        <w:tblLook w:firstColumn="1" w:firstRow="1" w:lastColumn="0" w:lastRow="0" w:noHBand="0" w:noVBand="1" w:val="04A0"/>
        <w:tblW w:w="8958" w:type="dxa"/>
        <w:tblLayout w:type="fixed"/>
      </w:tblPr>
      <w:tblGrid>
        <w:gridCol w:w="2986"/>
        <w:gridCol w:w="2986"/>
        <w:gridCol w:w="2986"/>
      </w:tblGrid>
      <w:tr>
        <w:trPr>
          <w:cantSplit/>
          <w:tblHeader/>
        </w:trPr>
        <w:tc>
          <w:tcPr>
            <w:tcW w:type="dxa" w:w="3515"/>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Composite resin</w:t>
            </w:r>
          </w:p>
        </w:tc>
        <w:tc>
          <w:tcPr>
            <w:tcW w:type="dxa" w:w="306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Absolute weight loss (mg)</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238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Range (mg)</w:t>
            </w:r>
          </w:p>
        </w:tc>
      </w:tr>
      <w:tr>
        <w:trPr>
          <w:cantSplit/>
        </w:trPr>
        <w:tc>
          <w:tcPr>
            <w:tcW w:type="dxa" w:w="3515"/>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Flow Plus X F00</w:t>
            </w:r>
          </w:p>
        </w:tc>
        <w:tc>
          <w:tcPr>
            <w:tcW w:type="dxa" w:w="306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2.58 ± 5.91</w:t>
            </w:r>
          </w:p>
        </w:tc>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0.2 – 20.7</w:t>
            </w:r>
          </w:p>
        </w:tc>
      </w:tr>
      <w:tr>
        <w:trPr>
          <w:cantSplit/>
        </w:trPr>
        <w:tc>
          <w:tcPr>
            <w:tcW w:type="dxa" w:w="3515"/>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G-ænial Universal Injectable</w:t>
            </w:r>
          </w:p>
        </w:tc>
        <w:tc>
          <w:tcPr>
            <w:tcW w:type="dxa" w:w="306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1.07 ± 0.62</w:t>
            </w:r>
          </w:p>
        </w:tc>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0.2 – 1.9</w:t>
            </w:r>
          </w:p>
        </w:tc>
      </w:tr>
      <w:tr>
        <w:trPr>
          <w:cantSplit/>
        </w:trPr>
        <w:tc>
          <w:tcPr>
            <w:tcW w:type="dxa" w:w="3515"/>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II LS</w:t>
            </w:r>
          </w:p>
        </w:tc>
        <w:tc>
          <w:tcPr>
            <w:tcW w:type="dxa" w:w="306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0.95 ± 0.58</w:t>
            </w:r>
          </w:p>
        </w:tc>
        <w:tc>
          <w:tcPr>
            <w:tcW w:type="dxa" w:w="238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 – 1.8</w:t>
            </w: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standard deviation of Beautifil Flow Plus X F00 mass fell from 7.4 mg before brushing to 3.1 mg after brushing. This is consistent with the heaviest disc in that group shedding 20.7 mg and landing near the group mean.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Ra before and after brushing, and ΔRa, are given in Table 4.3 and illustrated in Figures 4.2 and 4.3.</w:t>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Table 4.3</w:t>
      </w:r>
      <w:r>
        <w:rPr>
          <w:rFonts w:ascii="Times New Roman" w:hAnsi="Times New Roman" w:cs="Times New Roman" w:eastAsia="Times New Roman"/>
          <w:b w:val="0"/>
          <w:i w:val="0"/>
          <w:color w:val="000000"/>
          <w:sz w:val="24"/>
          <w:szCs w:val="24"/>
        </w:rPr>
        <w:t xml:space="preserve"> Mean surface roughness (Ra) before and after simulated toothbrushing and the change in roughness (ΔRa)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blHeader/>
        </w:trPr>
        <w:tc>
          <w:tcPr>
            <w:tcW w:type="dxa" w:w="238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Composite resin</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Ra before (µm)</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Ra after (µm)</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ΔRa (µm)</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147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p-value</w:t>
            </w: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Flow Plus X F00</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0.038 ± 0.011</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0.104 ± 0.017</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0.066 ± 0.021</w:t>
            </w:r>
          </w:p>
        </w:tc>
        <w:tc>
          <w:tcPr>
            <w:tcW w:type="dxa" w:w="1474"/>
            <w:vAlign w:val="center"/>
            <w:tcMar>
              <w:top w:w="100" w:type="dxa"/>
              <w:left w:w="100" w:type="dxa"/>
              <w:bottom w:w="100" w:type="dxa"/>
              <w:right w:w="100" w:type="dxa"/>
            </w:tcMar>
            <w:vMerge w:val="restart"/>
            <w:tcBorders>
              <w:top w:val="nil" w:sz="0" w:space="0" w:color="auto"/>
              <w:left w:val="nil" w:sz="0" w:space="0" w:color="auto"/>
              <w:bottom w:val="single" w:sz="18" w:space="0" w:color="000000"/>
              <w:right w:val="nil" w:sz="0" w:space="0" w:color="auto"/>
            </w:tcBorders>
            <w:tcMar>
              <w:top w:w="100" w:type="dxa"/>
              <w:left w:w="100" w:type="dxa"/>
              <w:bottom w:w="100" w:type="dxa"/>
              <w:right w:w="100" w:type="dxa"/>
            </w:tcMar>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&lt; 0.001‡</w:t>
            </w: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G-ænial Universal Injectable</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0.054 ± 0.010</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0.100 ± 0.023</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0.046 ± 0.023</w:t>
            </w:r>
          </w:p>
        </w:tc>
        <w:tc>
          <w:tcPr>
            <w:tcW w:type="dxa" w:w="1474"/>
            <w:vAlign w:val="center"/>
            <w:tcMar>
              <w:top w:w="100" w:type="dxa"/>
              <w:left w:w="100" w:type="dxa"/>
              <w:bottom w:w="100" w:type="dxa"/>
              <w:right w:w="100" w:type="dxa"/>
            </w:tcMar>
            <w:vMerge/>
            <w:tcBorders>
              <w:top w:val="nil" w:sz="0" w:space="0" w:color="auto"/>
              <w:left w:val="nil" w:sz="0" w:space="0" w:color="auto"/>
              <w:bottom w:val="nil" w:sz="0" w:space="0" w:color="auto"/>
              <w:right w:val="nil" w:sz="0" w:space="0" w:color="auto"/>
            </w:tcBorders>
          </w:tcP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II LS</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0.119 ± 0.054</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0.194 ± 0.050</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0.075 ± 0.066</w:t>
            </w:r>
          </w:p>
        </w:tc>
        <w:tc>
          <w:tcPr>
            <w:tcW w:type="dxa" w:w="1474"/>
            <w:vAlign w:val="center"/>
            <w:tcMar>
              <w:top w:w="100" w:type="dxa"/>
              <w:left w:w="100" w:type="dxa"/>
              <w:bottom w:w="100" w:type="dxa"/>
              <w:right w:w="10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Kruskal–Wallis test. Pairwise comparisons: each injectable versus Beautifil II LS, p &lt; 0.001; the two injectables, not significant.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109049"/>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4"/>
                    <a:stretch>
                      <a:fillRect/>
                    </a:stretch>
                  </pic:blipFill>
                  <pic:spPr>
                    <a:xfrm>
                      <a:off x="0" y="0"/>
                      <a:ext cx="4937760" cy="3109049"/>
                    </a:xfrm>
                    <a:prstGeom prst="rect"/>
                  </pic:spPr>
                </pic:pic>
              </a:graphicData>
            </a:graphic>
          </wp:inline>
        </w:drawing>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Figure 4.2</w:t>
      </w:r>
      <w:r>
        <w:rPr>
          <w:rFonts w:ascii="Times New Roman" w:hAnsi="Times New Roman" w:cs="Times New Roman" w:eastAsia="Times New Roman"/>
          <w:b w:val="0"/>
          <w:i w:val="0"/>
          <w:color w:val="000000"/>
          <w:sz w:val="24"/>
          <w:szCs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200" w:after="160" w:line="240" w:lineRule="auto"/>
        <w:ind w:firstLine="0"/>
        <w:jc w:val="center"/>
      </w:pPr>
      <w:r>
        <w:drawing>
          <wp:inline xmlns:a="http://schemas.openxmlformats.org/drawingml/2006/main" xmlns:pic="http://schemas.openxmlformats.org/drawingml/2006/picture">
            <wp:extent cx="4937760" cy="3261737"/>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5"/>
                    <a:stretch>
                      <a:fillRect/>
                    </a:stretch>
                  </pic:blipFill>
                  <pic:spPr>
                    <a:xfrm>
                      <a:off x="0" y="0"/>
                      <a:ext cx="4937760" cy="3261737"/>
                    </a:xfrm>
                    <a:prstGeom prst="rect"/>
                  </pic:spPr>
                </pic:pic>
              </a:graphicData>
            </a:graphic>
          </wp:inline>
        </w:drawing>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Figure 4.3</w:t>
      </w:r>
      <w:r>
        <w:rPr>
          <w:rFonts w:ascii="Times New Roman" w:hAnsi="Times New Roman" w:cs="Times New Roman" w:eastAsia="Times New Roman"/>
          <w:b w:val="0"/>
          <w:i w:val="0"/>
          <w:color w:val="000000"/>
          <w:sz w:val="24"/>
          <w:szCs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Relative to the 0.2 µm plaque-retention threshold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4.3 Summary of the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5</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5.1 Interpretation of the weight-loss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5.2 Interpretation of the roughness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cs="Times New Roman" w:eastAsia="Times New Roman"/>
          <w:b w:val="0"/>
          <w:i w:val="0"/>
          <w:color w:val="000000"/>
          <w:sz w:val="24"/>
          <w:szCs w:val="24"/>
          <w:vertAlign w:val="superscript"/>
        </w:rPr>
        <w:t>(6,18,24)</w:t>
      </w:r>
      <w:r>
        <w:rPr>
          <w:rFonts w:ascii="Times New Roman" w:hAnsi="Times New Roman" w:cs="Times New Roman" w:eastAsia="Times New Roman"/>
          <w:b w:val="0"/>
          <w:i w:val="0"/>
          <w:color w:val="000000"/>
          <w:sz w:val="24"/>
          <w:szCs w:val="24"/>
        </w:rPr>
        <w:t xml:space="preserve">. A nanohybrid that contains larger S-PRG and pre-polymerised particles loses the resin-rich surface first; the larger fillers are then uncovered or plucked, leaving a coarser profile </w:t>
      </w:r>
      <w:r>
        <w:rPr>
          <w:rFonts w:ascii="Times New Roman" w:hAnsi="Times New Roman" w:cs="Times New Roman" w:eastAsia="Times New Roman"/>
          <w:b w:val="0"/>
          <w:i w:val="0"/>
          <w:color w:val="000000"/>
          <w:sz w:val="24"/>
          <w:szCs w:val="24"/>
          <w:vertAlign w:val="superscript"/>
        </w:rPr>
        <w:t>(4,18)</w:t>
      </w:r>
      <w:r>
        <w:rPr>
          <w:rFonts w:ascii="Times New Roman" w:hAnsi="Times New Roman" w:cs="Times New Roman" w:eastAsia="Times New Roman"/>
          <w:b w:val="0"/>
          <w:i w:val="0"/>
          <w:color w:val="000000"/>
          <w:sz w:val="24"/>
          <w:szCs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xml:space="preserve">. Heintze et al. had already shown that hybrid and microhybrid pastes deteriorate more with load and time than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and da Costa et al. found that composites with smaller average fillers lost less gloss and gained less roughness when brushed with Colgate Total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The present results sit within that literature rather than against it.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0.2 µm threshold of Bollen, Lambrechts and Quirynen remains the clinically useful reference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5.3 Clinical implications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5.4 Strengths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three products are current commercial materials, and the Shofu injectable is the X-generation Flow Plus rather than the earlier F00 formulation used by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cs="Times New Roman" w:eastAsia="Times New Roman"/>
          <w:b w:val="0"/>
          <w:i w:val="0"/>
          <w:color w:val="000000"/>
          <w:sz w:val="24"/>
          <w:szCs w:val="24"/>
          <w:vertAlign w:val="superscript"/>
        </w:rPr>
        <w:t>(3,7,14)</w:t>
      </w:r>
      <w:r>
        <w:rPr>
          <w:rFonts w:ascii="Times New Roman" w:hAnsi="Times New Roman" w:cs="Times New Roman" w:eastAsia="Times New Roman"/>
          <w:b w:val="0"/>
          <w:i w:val="0"/>
          <w:color w:val="000000"/>
          <w:sz w:val="24"/>
          <w:szCs w:val="24"/>
        </w:rPr>
        <w:t>. The statistical tests were chosen to match the distributions of the two outcomes. The outlying specimen was retained and identified rather than discarded.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5.5 Limitations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cs="Times New Roman" w:eastAsia="Times New Roman"/>
          <w:b w:val="0"/>
          <w:i w:val="0"/>
          <w:color w:val="000000"/>
          <w:sz w:val="24"/>
          <w:szCs w:val="24"/>
          <w:vertAlign w:val="superscript"/>
        </w:rPr>
        <w:t>(10,28)</w:t>
      </w:r>
      <w:r>
        <w:rPr>
          <w:rFonts w:ascii="Times New Roman" w:hAnsi="Times New Roman" w:cs="Times New Roman" w:eastAsia="Times New Roman"/>
          <w:b w:val="0"/>
          <w:i w:val="0"/>
          <w:color w:val="000000"/>
          <w:sz w:val="24"/>
          <w:szCs w:val="24"/>
        </w:rPr>
        <w:t xml:space="preserve">. Gravimetric loss is not worn volume and is not worn anatomy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cs="Times New Roman" w:eastAsia="Times New Roman"/>
          <w:b w:val="0"/>
          <w:i w:val="0"/>
          <w:color w:val="000000"/>
          <w:sz w:val="24"/>
          <w:szCs w:val="24"/>
          <w:vertAlign w:val="superscript"/>
        </w:rPr>
        <w:t>(8,25)</w:t>
      </w:r>
      <w:r>
        <w:rPr>
          <w:rFonts w:ascii="Times New Roman" w:hAnsi="Times New Roman" w:cs="Times New Roman" w:eastAsia="Times New Roman"/>
          <w:b w:val="0"/>
          <w:i w:val="0"/>
          <w:color w:val="000000"/>
          <w:sz w:val="24"/>
          <w:szCs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5.6 Concluding remarks of the 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6</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CONCLUSIONS AND RECOMMENDATIONS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6.1 Conclusions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Under the conditions of this in-vitro study:</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Mean Ra of both injectable resins remained below 0.2 µm. Mean Ra of Beautifil II LS was 0.194 µm.</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The same order of roughness was already present on the as-cured Mylar face before brushing.</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One Beautifil Flow Plus X F00 disc lost approximately 11.4 % of its mass and is the source of that group’s large standard deviation.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The first null hypothesis is retained. The second is rejected.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6.2 Recommendations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practice.</w:t>
      </w:r>
      <w:r>
        <w:rPr>
          <w:rFonts w:ascii="Times New Roman" w:hAnsi="Times New Roman" w:cs="Times New Roman" w:eastAsia="Times New Roman"/>
          <w:b w:val="0"/>
          <w:i w:val="0"/>
          <w:color w:val="000000"/>
          <w:sz w:val="24"/>
          <w:szCs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Further laboratory work.</w:t>
      </w:r>
      <w:r>
        <w:rPr>
          <w:rFonts w:ascii="Times New Roman" w:hAnsi="Times New Roman" w:cs="Times New Roman" w:eastAsia="Times New Roman"/>
          <w:b w:val="0"/>
          <w:i w:val="0"/>
          <w:color w:val="000000"/>
          <w:sz w:val="24"/>
          <w:szCs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research.</w:t>
      </w:r>
      <w:r>
        <w:rPr>
          <w:rFonts w:ascii="Times New Roman" w:hAnsi="Times New Roman" w:cs="Times New Roman" w:eastAsia="Times New Roman"/>
          <w:b w:val="0"/>
          <w:i w:val="0"/>
          <w:color w:val="000000"/>
          <w:sz w:val="24"/>
          <w:szCs w:val="24"/>
        </w:rPr>
        <w:t xml:space="preserve"> Only a controlled clinical study can determine whether the difference between approximately 0.10 µm and 0.19 µm after a laboratory year is associated with a difference in plaque accumulation, staining or restoration survival.</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7</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REFERENCES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:258-269.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Jones CS, Billington RW, Pearson GJ. The in vivo perception of roughness of restorations. Br Dent J. 2004;196</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:42-45.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International Organization for Standardization. ISO/TR 14569-1:2007. Dental materials — Guidance on testing of wear — Part 1: Wear by toothbrushing. Geneva: ISO; 2007.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Heintze SD, Forjanic M, Ohmiti K, Rousson V. Surface deterioration of dental materials after simulated toothbrushing in relation to brushing time and load. Dent Mater. 2010;26</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:306-319.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Bayne SC, Thompson JY, Swift EJ Jr, Stamatiades P, Wilkerson M. A characterization of first-generation flowable composites. J Am Dent Assoc. 1998;129</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:567-577.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Rajabi H, Denny M, Karagiannopoulos K, Petridis H. Comparison of flexural strength and wear of injectable, flowable and paste composite resins. Materials (Basel). 2024;17</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:4749.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7. Sexson JC, Phillips RW. Studies on the effects of abrasives on acrylic resins. J Prosthet Dent. 1951;1</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:454-471.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8. Monteiro B, Spohr AM. Surface roughness of composite resins after simulated toothbrushing with different dentifrices. J Int Oral Health. 2015;7</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9. Mair LH, Stolarski TA, Vowles RW, Lloyd CH. Wear: mechanisms, manifestations and measurement. Report of a workshop. J Dent. 1996;24(1-2):141-148.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10. Lambrechts P, Debels E, Van Landuyt K, Peumans M, Van Meerbeek B. How to simulate wear? Overview of existing methods. Dent Mater. 2006;22</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:693-701.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11. Ferracane JL. Resin composite—state of the art. Dent Mater. 2011;27</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:29-38.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12. Condon JR, Ferracane JL. In vitro wear of composite with varied cure, filler level, and filler treatment. J Dent Res. 1997;76</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:1405-1411.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13. Baroudi K, Rodrigues JC. Flowable resin composites: a systematic review and clinical considerations. J Clin Diagn Res. 2015;9</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:ZE18-ZE24.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14. International Organization for Standardization. ISO 11609:2017. Dentistry — Dentifrices — Requirements, test methods and marking. Geneva: ISO; 2017.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15. Heintze SD, Cavalleri A, Forjanic M, Zellweger G, Rousson V. A comparison of three different methods for the quantification of the in vitro wear of dental materials. Dent Mater. 2006;22</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:1051-1062.</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17. Quirynen M, Bollen CML. The influence of surface roughness and surface-free energy on supra- and subgingival plaque formation in man. A review of the literature. J Clin Periodontol. 1995;22</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:1-14.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19. Shofu Inc. Beautifil II LS product information; Beautifil Flow Plus X product information. Kyoto: Shofu; [accessed 2026].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20. Tzimas K, Pappa E, Fostiropoulou M, Papazoglou E, Rahiotis C. Highly filled flowable composite resins as sole restorative materials: a systematic review. Materials (Basel). 2025;18</w:t>
      </w:r>
      <w:r>
        <w:rPr>
          <w:rFonts w:ascii="Times New Roman" w:hAnsi="Times New Roman" w:cs="Times New Roman" w:eastAsia="Times New Roman"/>
          <w:b w:val="0"/>
          <w:i w:val="0"/>
          <w:color w:val="000000"/>
          <w:sz w:val="24"/>
          <w:szCs w:val="24"/>
          <w:vertAlign w:val="superscript"/>
        </w:rPr>
        <w:t>(14)</w:t>
      </w:r>
      <w:r>
        <w:rPr>
          <w:rFonts w:ascii="Times New Roman" w:hAnsi="Times New Roman" w:cs="Times New Roman" w:eastAsia="Times New Roman"/>
          <w:b w:val="0"/>
          <w:i w:val="0"/>
          <w:color w:val="000000"/>
          <w:sz w:val="24"/>
          <w:szCs w:val="24"/>
        </w:rPr>
        <w:t>:3370.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21. Yap AU, Tan SH, Wee SS, Lee CW, Lim EL, Zeng KY. Chemical degradation of composite restoratives. J Oral Rehabil. 2001;28</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:1015-1021.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22. Gordan VV, Mondragon E, Watson RE, Garvan C, Mjör IA. A clinical evaluation of a self-etching primer and a giomer restorative material: results at eight years. J Am Dent Assoc. 2007;138</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:621-627.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:236.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24. Turssi CP, Ferracane JL, Vogel K. Filler features and their effects on wear and degree of conversion of particulate dental resin composites. Biomaterials. 2005;26</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:4932-4937.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26. AlAli M, Silikas N, Satterthwaite J. The effects of toothbrush wear on the surface roughness and gloss of resin composites with various types of matrices. Dent J (Basel). 2021;9</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28. Dionysopoulos D, Gerasimidou O. Wear of contemporary dental composite resin restorations: a literature review. Restor Dent Endod. 2021;46</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:e18.</w:t>
      </w:r>
    </w:p>
    <w:sectPr w:rsidR="00FC693F" w:rsidRPr="0006063C" w:rsidSect="00034616">
      <w:headerReference w:type="default" r:id="rId11"/>
      <w:footerReference w:type="default" r:id="rId12"/>
      <w:pgSz w:w="11906" w:h="16838"/>
      <w:pgMar w:top="1587" w:right="1247" w:bottom="1446" w:left="1701" w:header="170" w:footer="1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Address: P.O. Box 37, Sidi Gaber, Canal El Mahmoudia Street, Smouha, Alexandria, Egypt</w:t>
    </w:r>
  </w:p>
  <w:p>
    <w:pPr>
      <w:spacing w:before="0" w:after="0" w:line="240" w:lineRule="auto"/>
      <w:ind w:firstLine="0"/>
      <w:jc w:val="center"/>
    </w:pPr>
    <w:r>
      <w:rPr>
        <w:rFonts w:ascii="Times New Roman" w:hAnsi="Times New Roman" w:cs="Noto Naskh Arabic" w:eastAsia="Times New Roman"/>
        <w:b w:val="0"/>
        <w:i w:val="0"/>
        <w:color w:val="000000"/>
        <w:sz w:val="16"/>
        <w:szCs w:val="16"/>
      </w:rPr>
      <w:t>العنوان: صندوق بريد ٣٧ سيدي جابر – شارع قناة المحمودية – سموحة – الإسكندرية – مصر</w:t>
    </w:r>
  </w:p>
  <w:p>
    <w:pPr>
      <w:spacing w:before="0" w:after="0" w:line="240" w:lineRule="auto"/>
      <w:ind w:firstLine="0"/>
      <w:jc w:val="center"/>
    </w:pPr>
    <w:r>
      <w:rPr>
        <w:rFonts w:ascii="Times New Roman" w:hAnsi="Times New Roman" w:cs="Times New Roman" w:eastAsia="Times New Roman"/>
        <w:b w:val="0"/>
        <w:i w:val="0"/>
        <w:color w:val="000000"/>
        <w:sz w:val="16"/>
        <w:szCs w:val="16"/>
      </w:rPr>
      <w:t>Phone: +(203) 38 77 026    Fax: +(203) 383 0249    E-mail: Dentistry@pua.edu.eg    www.pua.edu.eg</w:t>
    </w:r>
  </w:p>
  <w:p>
    <w:pPr>
      <w:spacing w:before="6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Address: P.O. Box 37, Sidi Gaber, Canal El Mahmoudia Street, Smouha, Alexandria, Egypt</w:t>
    </w:r>
  </w:p>
  <w:p>
    <w:pPr>
      <w:spacing w:before="0" w:after="0" w:line="240" w:lineRule="auto"/>
      <w:ind w:firstLine="0"/>
      <w:jc w:val="center"/>
    </w:pPr>
    <w:r>
      <w:rPr>
        <w:rFonts w:ascii="Times New Roman" w:hAnsi="Times New Roman" w:cs="Noto Naskh Arabic" w:eastAsia="Times New Roman"/>
        <w:b w:val="0"/>
        <w:i w:val="0"/>
        <w:color w:val="000000"/>
        <w:sz w:val="16"/>
        <w:szCs w:val="16"/>
      </w:rPr>
      <w:t>العنوان: صندوق بريد ٣٧ سيدي جابر – شارع قناة المحمودية – سموحة – الإسكندرية – مصر</w:t>
    </w:r>
  </w:p>
  <w:p>
    <w:pPr>
      <w:spacing w:before="0" w:after="0" w:line="240" w:lineRule="auto"/>
      <w:ind w:firstLine="0"/>
      <w:jc w:val="center"/>
    </w:pPr>
    <w:r>
      <w:rPr>
        <w:rFonts w:ascii="Times New Roman" w:hAnsi="Times New Roman" w:cs="Times New Roman" w:eastAsia="Times New Roman"/>
        <w:b w:val="0"/>
        <w:i w:val="0"/>
        <w:color w:val="000000"/>
        <w:sz w:val="16"/>
        <w:szCs w:val="16"/>
      </w:rPr>
      <w:t>Phone: +(203) 38 77 026    Fax: +(203) 383 0249    E-mail: Dentistry@pua.edu.eg    www.pua.edu.eg</w:t>
    </w:r>
  </w:p>
  <w:p>
    <w:pPr>
      <w:spacing w:before="6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drawing>
        <wp:inline xmlns:a="http://schemas.openxmlformats.org/drawingml/2006/main" xmlns:pic="http://schemas.openxmlformats.org/drawingml/2006/picture">
          <wp:extent cx="4968000" cy="6624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4968000" cy="6624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drawing>
        <wp:inline xmlns:a="http://schemas.openxmlformats.org/drawingml/2006/main" xmlns:pic="http://schemas.openxmlformats.org/drawingml/2006/picture">
          <wp:extent cx="4968000" cy="6624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4968000" cy="6624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ind w:firstLine="0"/>
      <w:jc w:val="both"/>
    </w:pPr>
    <w:rPr>
      <w:rFonts w:ascii="Times New Roman" w:hAnsi="Times New Roman" w:cs="Times New Roman" w:eastAsia="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40" w:lineRule="auto"/>
      <w:ind w:firstLine="0"/>
      <w:jc w:val="center"/>
      <w:outlineLvl w:val="0"/>
    </w:pPr>
    <w:rPr>
      <w:rFonts w:asciiTheme="majorHAnsi" w:eastAsiaTheme="majorEastAsia" w:hAnsiTheme="majorHAnsi" w:cstheme="majorBidi" w:ascii="Times New Roman" w:hAnsi="Times New Roman"/>
      <w:b/>
      <w:bCs/>
      <w:i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320" w:after="160" w:line="240" w:lineRule="auto"/>
      <w:ind w:firstLine="0"/>
      <w:jc w:val="left"/>
      <w:outlineLvl w:val="1"/>
    </w:pPr>
    <w:rPr>
      <w:rFonts w:asciiTheme="majorHAnsi" w:eastAsiaTheme="majorEastAsia" w:hAnsiTheme="majorHAnsi" w:cstheme="majorBidi" w:ascii="Times New Roman" w:hAnsi="Times New Roman"/>
      <w:b/>
      <w:bCs/>
      <w:i w:val="0"/>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