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312"/>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312"/>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312"/>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Student Code No. 202203112</w:t>
      </w:r>
    </w:p>
    <w:p>
      <w:pPr>
        <w:widowControl/>
        <w:spacing w:before="200" w:after="0" w:lineRule="auto" w:line="312"/>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400" w:lineRule="auto" w:line="312"/>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60" w:after="0" w:lineRule="auto" w:line="312"/>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400" w:lineRule="auto" w:line="312"/>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120" w:after="0" w:lineRule="auto" w:line="312"/>
        <w:ind w:firstLine="0"/>
        <w:jc w:val="left"/>
      </w:pPr>
      <w:r>
        <w:rPr>
          <w:rFonts w:ascii="Times New Roman" w:hAnsi="Times New Roman" w:cs="Times New Roman" w:eastAsia="Times New Roman"/>
          <w:b/>
          <w:i/>
          <w:color w:val="000000"/>
          <w:sz w:val="24"/>
          <w:szCs w:val="24"/>
        </w:rPr>
        <w:t>English Title:</w:t>
      </w:r>
    </w:p>
    <w:p>
      <w:pPr>
        <w:widowControl/>
        <w:spacing w:before="120" w:after="0" w:lineRule="auto" w:line="312"/>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320" w:lineRule="auto" w:line="312"/>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120" w:after="0" w:lineRule="auto" w:line="312"/>
        <w:ind w:firstLine="0"/>
        <w:jc w:val="left"/>
      </w:pPr>
      <w:r>
        <w:rPr>
          <w:rFonts w:ascii="Times New Roman" w:hAnsi="Times New Roman" w:cs="Times New Roman" w:eastAsia="Times New Roman"/>
          <w:b/>
          <w:i/>
          <w:color w:val="000000"/>
          <w:sz w:val="24"/>
          <w:szCs w:val="24"/>
        </w:rPr>
        <w:t>Arabic Title:</w:t>
      </w:r>
    </w:p>
    <w:p>
      <w:pPr>
        <w:widowControl/>
        <w:spacing w:before="120" w:after="320" w:lineRule="auto" w:line="312"/>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160" w:after="200" w:lineRule="auto" w:line="312"/>
        <w:ind w:firstLine="0"/>
        <w:jc w:val="center"/>
      </w:pPr>
      <w:r>
        <w:rPr>
          <w:rFonts w:ascii="Times New Roman" w:hAnsi="Times New Roman" w:cs="Times New Roman" w:eastAsia="Times New Roman"/>
          <w:b/>
          <w:i w:val="0"/>
          <w:color w:val="000000"/>
          <w:sz w:val="24"/>
          <w:szCs w:val="24"/>
        </w:rPr>
        <w:t>Supervision Committee</w:t>
      </w:r>
    </w:p>
    <w:p>
      <w:pPr>
        <w:widowControl/>
        <w:spacing w:before="0" w:after="160" w:lineRule="auto" w:line="312"/>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312"/>
        <w:ind w:firstLine="0"/>
        <w:jc w:val="center"/>
      </w:pPr>
      <w:r>
        <w:rPr>
          <w:rFonts w:ascii="Times New Roman" w:hAnsi="Times New Roman" w:cs="Times New Roman" w:eastAsia="Times New Roman"/>
          <w:b w:val="0"/>
          <w:i w:val="0"/>
          <w:color w:val="000000"/>
          <w:sz w:val="24"/>
          <w:szCs w:val="24"/>
        </w:rPr>
        <w:t>2. Asst. Prof. Emad M. El-Sayed  (Main supervisor)</w:t>
      </w:r>
    </w:p>
    <w:p>
      <w:pPr>
        <w:sectPr>
          <w:headerReference w:type="default" r:id="rId9"/>
          <w:footerReference w:type="default" r:id="rId10"/>
          <w:pgSz w:w="11906" w:h="16838"/>
          <w:pgMar w:top="1049" w:right="1247" w:bottom="964" w:left="1701" w:header="113" w:footer="102" w:gutter="0"/>
          <w:cols w:space="720"/>
          <w:docGrid w:linePitch="360"/>
        </w:sectPr>
      </w:pP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ROLE OF SUPERVISORS</w:t>
      </w:r>
    </w:p>
    <w:p>
      <w:pPr>
        <w:widowControl/>
        <w:spacing w:before="240" w:after="160" w:lineRule="auto" w:line="288"/>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240" w:after="160" w:lineRule="auto" w:line="288"/>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CONTENTS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9</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12</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19</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24</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30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38</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TABLES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24</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26</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FIGURES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28</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ABBREVIATIONS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ANOVA — analysis of variance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CAD/CAM — computer-aided design / computer-aided manufacture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ISO — International Organization for Standardization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LED — light-emitting diode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Ra — arithmetic mean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RDA — relative dentine abrasivity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SD — standard deviation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S-PRG — surface pre-reacted glass-ionomer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vol% — percentage by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ΔRa — change in Ra (after − before)</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REVIEW OF LITERATURE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MATERIALS AND METHODS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tblW w:type="auto" w:w="0"/>
        <w:jc w:val="center"/>
        <w:tblLayout w:type="fixed"/>
        <w:tblLook w:firstColumn="1" w:firstRow="1" w:lastColumn="0" w:lastRow="0" w:noHBand="0" w:noVBand="1" w:val="04A0"/>
        <w:tblW w:w="8958" w:type="dxa"/>
        <w:tblLayout w:type="fixed"/>
      </w:tblPr>
      <w:tblGrid>
        <w:gridCol w:w="1493"/>
        <w:gridCol w:w="1493"/>
        <w:gridCol w:w="1493"/>
        <w:gridCol w:w="1493"/>
        <w:gridCol w:w="1493"/>
        <w:gridCol w:w="1493"/>
      </w:tblGrid>
      <w:tr>
        <w:trPr>
          <w:cantSplit/>
          <w:tblHeader/>
        </w:trPr>
        <w:tc>
          <w:tcPr>
            <w:tcW w:type="dxa" w:w="164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w:t>
            </w:r>
          </w:p>
        </w:tc>
        <w:tc>
          <w:tcPr>
            <w:tcW w:type="dxa" w:w="130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Type</w:t>
            </w:r>
          </w:p>
        </w:tc>
        <w:tc>
          <w:tcPr>
            <w:tcW w:type="dxa" w:w="1928"/>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Matrix</w:t>
            </w:r>
          </w:p>
        </w:tc>
        <w:tc>
          <w:tcPr>
            <w:tcW w:type="dxa" w:w="198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Filler</w:t>
            </w:r>
          </w:p>
        </w:tc>
        <w:tc>
          <w:tcPr>
            <w:tcW w:type="dxa" w:w="850"/>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Load</w:t>
            </w:r>
          </w:p>
        </w:tc>
        <w:tc>
          <w:tcPr>
            <w:tcW w:type="dxa" w:w="1247"/>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Manufacturer</w:t>
            </w:r>
          </w:p>
        </w:tc>
      </w:tr>
      <w:tr>
        <w:trPr>
          <w:cantSplit/>
        </w:trPr>
        <w:tc>
          <w:tcPr>
            <w:tcW w:type="dxa" w:w="164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 (A2)</w:t>
            </w:r>
          </w:p>
        </w:tc>
        <w:tc>
          <w:tcPr>
            <w:tcW w:type="dxa" w:w="130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Nanohybrid injectable</w:t>
            </w:r>
          </w:p>
        </w:tc>
        <w:tc>
          <w:tcPr>
            <w:tcW w:type="dxa" w:w="1928"/>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Dimethacrylate monomers</w:t>
            </w:r>
          </w:p>
        </w:tc>
        <w:tc>
          <w:tcPr>
            <w:tcW w:type="dxa" w:w="198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Barium glass, silica</w:t>
            </w:r>
          </w:p>
        </w:tc>
        <w:tc>
          <w:tcPr>
            <w:tcW w:type="dxa" w:w="850"/>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50 vol%</w:t>
            </w:r>
          </w:p>
        </w:tc>
        <w:tc>
          <w:tcPr>
            <w:tcW w:type="dxa" w:w="1247"/>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GC, Tokyo</w:t>
            </w:r>
          </w:p>
        </w:tc>
      </w:tr>
      <w:tr>
        <w:trPr>
          <w:cantSplit/>
        </w:trPr>
        <w:tc>
          <w:tcPr>
            <w:tcW w:type="dxa" w:w="164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 (A2)</w:t>
            </w:r>
          </w:p>
        </w:tc>
        <w:tc>
          <w:tcPr>
            <w:tcW w:type="dxa" w:w="130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Nanohybrid injectable giomer</w:t>
            </w:r>
          </w:p>
        </w:tc>
        <w:tc>
          <w:tcPr>
            <w:tcW w:type="dxa" w:w="1928"/>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Bis-GMA, TEGDMA</w:t>
            </w:r>
          </w:p>
        </w:tc>
        <w:tc>
          <w:tcPr>
            <w:tcW w:type="dxa" w:w="1984"/>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Multifunctional glass and S-PRG filler</w:t>
            </w:r>
          </w:p>
        </w:tc>
        <w:tc>
          <w:tcPr>
            <w:tcW w:type="dxa" w:w="850"/>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47 vol%</w:t>
            </w:r>
          </w:p>
        </w:tc>
        <w:tc>
          <w:tcPr>
            <w:tcW w:type="dxa" w:w="1247"/>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Shofu, Kyoto</w:t>
            </w:r>
          </w:p>
        </w:tc>
      </w:tr>
      <w:tr>
        <w:trPr>
          <w:cantSplit/>
        </w:trPr>
        <w:tc>
          <w:tcPr>
            <w:tcW w:type="dxa" w:w="1644"/>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 (A2)</w:t>
            </w:r>
          </w:p>
        </w:tc>
        <w:tc>
          <w:tcPr>
            <w:tcW w:type="dxa" w:w="1304"/>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Nanohybrid conventional giomer</w:t>
            </w:r>
          </w:p>
        </w:tc>
        <w:tc>
          <w:tcPr>
            <w:tcW w:type="dxa" w:w="1928"/>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Bis-GMA, UDMA, Bis-EMA, PEGMA, TEGDMA</w:t>
            </w:r>
          </w:p>
        </w:tc>
        <w:tc>
          <w:tcPr>
            <w:tcW w:type="dxa" w:w="1984"/>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Multifunctional glass and S-PRG filler</w:t>
            </w:r>
          </w:p>
        </w:tc>
        <w:tc>
          <w:tcPr>
            <w:tcW w:type="dxa" w:w="850"/>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68 vol%</w:t>
            </w:r>
          </w:p>
        </w:tc>
        <w:tc>
          <w:tcPr>
            <w:tcW w:type="dxa" w:w="1247"/>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1984"/>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 resin</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Weight before (g)</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Weight after (g)</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Weight loss (%)</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36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p-value</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0.1602 ± 0.0074</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0.1576 ± 0.0031</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1.49 ± 3.14</w:t>
            </w:r>
          </w:p>
        </w:tc>
        <w:tc>
          <w:tcPr>
            <w:tcW w:type="dxa" w:w="1361"/>
            <w:vAlign w:val="center"/>
            <w:tcMar>
              <w:top w:w="120" w:type="dxa"/>
              <w:left w:w="120" w:type="dxa"/>
              <w:bottom w:w="120" w:type="dxa"/>
              <w:right w:w="120" w:type="dxa"/>
            </w:tcMar>
            <w:vMerge w:val="restart"/>
            <w:tcBorders>
              <w:top w:val="nil" w:sz="0" w:space="0" w:color="auto"/>
              <w:left w:val="nil" w:sz="0" w:space="0" w:color="auto"/>
              <w:bottom w:val="single" w:sz="18" w:space="0" w:color="000000"/>
              <w:right w:val="nil" w:sz="0" w:space="0" w:color="auto"/>
            </w:tcBorders>
            <w:tcMar>
              <w:top w:w="120" w:type="dxa"/>
              <w:left w:w="120" w:type="dxa"/>
              <w:bottom w:w="120" w:type="dxa"/>
              <w:right w:w="120" w:type="dxa"/>
            </w:tcMar>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0.329†</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0.1630 ± 0.0102</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0.1619 ± 0.0106</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0.65 ± 0.37</w:t>
            </w:r>
          </w:p>
        </w:tc>
        <w:tc>
          <w:tcPr>
            <w:tcW w:type="dxa" w:w="1361"/>
            <w:vAlign w:val="center"/>
            <w:tcMar>
              <w:top w:w="120" w:type="dxa"/>
              <w:left w:w="120" w:type="dxa"/>
              <w:bottom w:w="120" w:type="dxa"/>
              <w:right w:w="120" w:type="dxa"/>
            </w:tcMar>
            <w:vMerge/>
            <w:tcBorders>
              <w:top w:val="nil" w:sz="0" w:space="0" w:color="auto"/>
              <w:left w:val="nil" w:sz="0" w:space="0" w:color="auto"/>
              <w:bottom w:val="nil" w:sz="0" w:space="0" w:color="auto"/>
              <w:right w:val="nil" w:sz="0" w:space="0" w:color="auto"/>
            </w:tcBorders>
          </w:tcP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0.2313 ± 0.0154</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0.2303 ± 0.0156</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0.41 ± 0.25</w:t>
            </w:r>
          </w:p>
        </w:tc>
        <w:tc>
          <w:tcPr>
            <w:tcW w:type="dxa" w:w="1361"/>
            <w:vAlign w:val="center"/>
            <w:tcMar>
              <w:top w:w="120" w:type="dxa"/>
              <w:left w:w="120" w:type="dxa"/>
              <w:bottom w:w="120" w:type="dxa"/>
              <w:right w:w="12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3"/>
                    <a:stretch>
                      <a:fillRect/>
                    </a:stretch>
                  </pic:blipFill>
                  <pic:spPr>
                    <a:xfrm>
                      <a:off x="0" y="0"/>
                      <a:ext cx="4937760" cy="3437748"/>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tblW w:type="auto" w:w="0"/>
        <w:jc w:val="center"/>
        <w:tblLayout w:type="fixed"/>
        <w:tblLook w:firstColumn="1" w:firstRow="1" w:lastColumn="0" w:lastRow="0" w:noHBand="0" w:noVBand="1" w:val="04A0"/>
        <w:tblW w:w="8958" w:type="dxa"/>
        <w:tblLayout w:type="fixed"/>
      </w:tblPr>
      <w:tblGrid>
        <w:gridCol w:w="2986"/>
        <w:gridCol w:w="2986"/>
        <w:gridCol w:w="2986"/>
      </w:tblGrid>
      <w:tr>
        <w:trPr>
          <w:cantSplit/>
          <w:tblHeader/>
        </w:trPr>
        <w:tc>
          <w:tcPr>
            <w:tcW w:type="dxa" w:w="3402"/>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 resin</w:t>
            </w:r>
          </w:p>
        </w:tc>
        <w:tc>
          <w:tcPr>
            <w:tcW w:type="dxa" w:w="3288"/>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Absolute weight loss (mg)</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2268"/>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Range (mg)</w:t>
            </w:r>
          </w:p>
        </w:tc>
      </w:tr>
      <w:tr>
        <w:trPr>
          <w:cantSplit/>
        </w:trPr>
        <w:tc>
          <w:tcPr>
            <w:tcW w:type="dxa" w:w="3402"/>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w:t>
            </w:r>
          </w:p>
        </w:tc>
        <w:tc>
          <w:tcPr>
            <w:tcW w:type="dxa" w:w="328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2.58 ± 5.91</w:t>
            </w:r>
          </w:p>
        </w:tc>
        <w:tc>
          <w:tcPr>
            <w:tcW w:type="dxa" w:w="226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 – 20.7</w:t>
            </w:r>
          </w:p>
        </w:tc>
      </w:tr>
      <w:tr>
        <w:trPr>
          <w:cantSplit/>
        </w:trPr>
        <w:tc>
          <w:tcPr>
            <w:tcW w:type="dxa" w:w="3402"/>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w:t>
            </w:r>
          </w:p>
        </w:tc>
        <w:tc>
          <w:tcPr>
            <w:tcW w:type="dxa" w:w="328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1.07 ± 0.62</w:t>
            </w:r>
          </w:p>
        </w:tc>
        <w:tc>
          <w:tcPr>
            <w:tcW w:type="dxa" w:w="2268"/>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0.2 – 1.9</w:t>
            </w:r>
          </w:p>
        </w:tc>
      </w:tr>
      <w:tr>
        <w:trPr>
          <w:cantSplit/>
        </w:trPr>
        <w:tc>
          <w:tcPr>
            <w:tcW w:type="dxa" w:w="3402"/>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w:t>
            </w:r>
          </w:p>
        </w:tc>
        <w:tc>
          <w:tcPr>
            <w:tcW w:type="dxa" w:w="3288"/>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0.95 ± 0.58</w:t>
            </w:r>
          </w:p>
        </w:tc>
        <w:tc>
          <w:tcPr>
            <w:tcW w:type="dxa" w:w="2268"/>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1984"/>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i w:val="0"/>
                <w:color w:val="000000"/>
                <w:sz w:val="24"/>
                <w:szCs w:val="24"/>
              </w:rPr>
              <w:t>Composite resin</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Ra before (µm)</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Ra after (µm)</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87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ΔRa (µm)</w:t>
            </w:r>
          </w:p>
          <w:p>
            <w:pPr>
              <w:widowControl/>
              <w:spacing w:before="80" w:after="80" w:lineRule="auto" w:line="276"/>
              <w:ind w:firstLine="0"/>
              <w:jc w:val="center"/>
            </w:pPr>
            <w:r>
              <w:rPr>
                <w:rFonts w:ascii="Times New Roman" w:hAnsi="Times New Roman" w:cs="Times New Roman" w:eastAsia="Times New Roman"/>
                <w:b/>
                <w:i w:val="0"/>
                <w:color w:val="000000"/>
                <w:sz w:val="24"/>
                <w:szCs w:val="24"/>
              </w:rPr>
              <w:t>Mean ± SD</w:t>
            </w:r>
          </w:p>
        </w:tc>
        <w:tc>
          <w:tcPr>
            <w:tcW w:type="dxa" w:w="1361"/>
            <w:vAlign w:val="center"/>
            <w:tcMar>
              <w:top w:w="120" w:type="dxa"/>
              <w:left w:w="120" w:type="dxa"/>
              <w:bottom w:w="120" w:type="dxa"/>
              <w:right w:w="120" w:type="dxa"/>
            </w:tcMar>
            <w:tcBorders>
              <w:top w:val="single" w:sz="18" w:space="0" w:color="000000"/>
              <w:left w:val="nil" w:sz="0" w:space="0" w:color="auto"/>
              <w:bottom w:val="single" w:sz="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i w:val="0"/>
                <w:color w:val="000000"/>
                <w:sz w:val="24"/>
                <w:szCs w:val="24"/>
              </w:rPr>
              <w:t>p-value</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Flow Plus X F00</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0.038 ± 0.011</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0.104 ± 0.017</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0.066 ± 0.021</w:t>
            </w:r>
          </w:p>
        </w:tc>
        <w:tc>
          <w:tcPr>
            <w:tcW w:type="dxa" w:w="1361"/>
            <w:vAlign w:val="center"/>
            <w:tcMar>
              <w:top w:w="120" w:type="dxa"/>
              <w:left w:w="120" w:type="dxa"/>
              <w:bottom w:w="120" w:type="dxa"/>
              <w:right w:w="120" w:type="dxa"/>
            </w:tcMar>
            <w:vMerge w:val="restart"/>
            <w:tcBorders>
              <w:top w:val="nil" w:sz="0" w:space="0" w:color="auto"/>
              <w:left w:val="nil" w:sz="0" w:space="0" w:color="auto"/>
              <w:bottom w:val="single" w:sz="18" w:space="0" w:color="000000"/>
              <w:right w:val="nil" w:sz="0" w:space="0" w:color="auto"/>
            </w:tcBorders>
            <w:tcMar>
              <w:top w:w="120" w:type="dxa"/>
              <w:left w:w="120" w:type="dxa"/>
              <w:bottom w:w="120" w:type="dxa"/>
              <w:right w:w="120" w:type="dxa"/>
            </w:tcMar>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&lt; 0.001‡</w:t>
            </w: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G-ænial Universal Injectable</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0.054 ± 0.010</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0.100 ± 0.023</w:t>
            </w:r>
          </w:p>
        </w:tc>
        <w:tc>
          <w:tcPr>
            <w:tcW w:type="dxa" w:w="1871"/>
            <w:vAlign w:val="center"/>
            <w:tcMar>
              <w:top w:w="120" w:type="dxa"/>
              <w:left w:w="120" w:type="dxa"/>
              <w:bottom w:w="120" w:type="dxa"/>
              <w:right w:w="120" w:type="dxa"/>
            </w:tcMar>
            <w:tcBorders>
              <w:top w:val="nil" w:sz="0" w:space="0" w:color="auto"/>
              <w:left w:val="nil" w:sz="0" w:space="0" w:color="auto"/>
              <w:bottom w:val="nil" w:sz="0" w:space="0" w:color="auto"/>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0.046 ± 0.023</w:t>
            </w:r>
          </w:p>
        </w:tc>
        <w:tc>
          <w:tcPr>
            <w:tcW w:type="dxa" w:w="1361"/>
            <w:vAlign w:val="center"/>
            <w:tcMar>
              <w:top w:w="120" w:type="dxa"/>
              <w:left w:w="120" w:type="dxa"/>
              <w:bottom w:w="120" w:type="dxa"/>
              <w:right w:w="120" w:type="dxa"/>
            </w:tcMar>
            <w:vMerge/>
            <w:tcBorders>
              <w:top w:val="nil" w:sz="0" w:space="0" w:color="auto"/>
              <w:left w:val="nil" w:sz="0" w:space="0" w:color="auto"/>
              <w:bottom w:val="nil" w:sz="0" w:space="0" w:color="auto"/>
              <w:right w:val="nil" w:sz="0" w:space="0" w:color="auto"/>
            </w:tcBorders>
          </w:tcPr>
          <w:p/>
        </w:tc>
      </w:tr>
      <w:tr>
        <w:trPr>
          <w:cantSplit/>
        </w:trPr>
        <w:tc>
          <w:tcPr>
            <w:tcW w:type="dxa" w:w="1984"/>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left"/>
            </w:pPr>
            <w:r/>
            <w:r>
              <w:rPr>
                <w:rFonts w:ascii="Times New Roman" w:hAnsi="Times New Roman" w:cs="Times New Roman" w:eastAsia="Times New Roman"/>
                <w:b w:val="0"/>
                <w:i w:val="0"/>
                <w:color w:val="000000"/>
                <w:sz w:val="24"/>
                <w:szCs w:val="24"/>
              </w:rPr>
              <w:t>Beautifil II LS</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0.119 ± 0.054</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0.194 ± 0.050</w:t>
            </w:r>
          </w:p>
        </w:tc>
        <w:tc>
          <w:tcPr>
            <w:tcW w:type="dxa" w:w="1871"/>
            <w:vAlign w:val="center"/>
            <w:tcMar>
              <w:top w:w="120" w:type="dxa"/>
              <w:left w:w="120" w:type="dxa"/>
              <w:bottom w:w="120" w:type="dxa"/>
              <w:right w:w="120" w:type="dxa"/>
            </w:tcMar>
            <w:tcBorders>
              <w:top w:val="nil" w:sz="0" w:space="0" w:color="auto"/>
              <w:left w:val="nil" w:sz="0" w:space="0" w:color="auto"/>
              <w:bottom w:val="single" w:sz="18" w:space="0" w:color="000000"/>
              <w:right w:val="nil" w:sz="0" w:space="0" w:color="auto"/>
            </w:tcBorders>
          </w:tcPr>
          <w:p>
            <w:pPr>
              <w:widowControl/>
              <w:spacing w:before="80" w:after="80" w:lineRule="auto" w:line="276"/>
              <w:ind w:firstLine="0"/>
              <w:jc w:val="center"/>
            </w:pPr>
            <w:r/>
            <w:r>
              <w:rPr>
                <w:rFonts w:ascii="Times New Roman" w:hAnsi="Times New Roman" w:cs="Times New Roman" w:eastAsia="Times New Roman"/>
                <w:b w:val="0"/>
                <w:i w:val="0"/>
                <w:color w:val="000000"/>
                <w:sz w:val="24"/>
                <w:szCs w:val="24"/>
              </w:rPr>
              <w:t>0.075 ± 0.066</w:t>
            </w:r>
          </w:p>
        </w:tc>
        <w:tc>
          <w:tcPr>
            <w:tcW w:type="dxa" w:w="1361"/>
            <w:vAlign w:val="center"/>
            <w:tcMar>
              <w:top w:w="120" w:type="dxa"/>
              <w:left w:w="120" w:type="dxa"/>
              <w:bottom w:w="120" w:type="dxa"/>
              <w:right w:w="12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4"/>
                    <a:stretch>
                      <a:fillRect/>
                    </a:stretch>
                  </pic:blipFill>
                  <pic:spPr>
                    <a:xfrm>
                      <a:off x="0" y="0"/>
                      <a:ext cx="4937760" cy="3109049"/>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5"/>
                    <a:stretch>
                      <a:fillRect/>
                    </a:stretch>
                  </pic:blipFill>
                  <pic:spPr>
                    <a:xfrm>
                      <a:off x="0" y="0"/>
                      <a:ext cx="4937760" cy="3261737"/>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CONCLUSIONS AND RECOMMENDATIONS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11"/>
      <w:footerReference w:type="default" r:id="rId12"/>
      <w:pgSz w:w="11906" w:h="16838"/>
      <w:pgMar w:top="1049" w:right="1247" w:bottom="964" w:left="1701" w:header="113" w:footer="10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Faculty of Dentistry, Pharos University in Alexandria  ·  Canal El Mahmoudia Street, Smouha  ·  +(203) 38 77 026  ·  Dentistry@pua.edu.eg</w:t>
    </w:r>
  </w:p>
  <w:p>
    <w:pPr>
      <w:spacing w:before="4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Faculty of Dentistry, Pharos University in Alexandria  ·  Canal El Mahmoudia Street, Smouha  ·  +(203) 38 77 026  ·  Dentistry@pua.edu.eg</w:t>
    </w:r>
  </w:p>
  <w:p>
    <w:pPr>
      <w:spacing w:before="4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3510000" cy="4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3510000" cy="4680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3510000" cy="4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3510000" cy="468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320" w:after="16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