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ind w:firstLine="0"/>
        <w:jc w:val="left"/>
      </w:pPr>
      <w:r>
        <w:rPr>
          <w:rFonts w:ascii="Times New Roman" w:hAnsi="Times New Roman" w:eastAsia="Times New Roman"/>
          <w:b/>
          <w:i w:val="0"/>
          <w:color w:val="000000"/>
          <w:sz w:val="26"/>
        </w:rPr>
        <w:t>Faculty of Dentistry</w:t>
      </w:r>
    </w:p>
    <w:p>
      <w:pPr>
        <w:spacing w:before="0" w:after="0" w:line="480" w:lineRule="auto"/>
        <w:ind w:firstLine="0"/>
        <w:jc w:val="left"/>
      </w:pPr>
      <w:r>
        <w:rPr>
          <w:rFonts w:ascii="Times New Roman" w:hAnsi="Times New Roman" w:eastAsia="Times New Roman"/>
          <w:b w:val="0"/>
          <w:i w:val="0"/>
          <w:color w:val="000000"/>
          <w:sz w:val="26"/>
        </w:rPr>
        <w:t>Department of Restorative Dentistry</w:t>
      </w:r>
    </w:p>
    <w:p>
      <w:pPr>
        <w:spacing w:before="0" w:after="240" w:line="480" w:lineRule="auto"/>
        <w:ind w:firstLine="0"/>
        <w:jc w:val="left"/>
      </w:pPr>
      <w:r>
        <w:rPr>
          <w:rFonts w:ascii="Times New Roman" w:hAnsi="Times New Roman" w:eastAsia="Times New Roman"/>
          <w:b/>
          <w:i w:val="0"/>
          <w:color w:val="000000"/>
          <w:sz w:val="24"/>
        </w:rPr>
        <w:t>Student Code No. 202203112</w:t>
      </w:r>
    </w:p>
    <w:p>
      <w:pPr>
        <w:spacing w:before="240" w:after="0" w:line="480" w:lineRule="auto"/>
        <w:ind w:firstLine="0"/>
        <w:jc w:val="center"/>
      </w:pPr>
      <w:r>
        <w:rPr>
          <w:rFonts w:ascii="Times New Roman" w:hAnsi="Times New Roman" w:eastAsia="Times New Roman"/>
          <w:b/>
          <w:i w:val="0"/>
          <w:color w:val="000000"/>
          <w:sz w:val="26"/>
        </w:rPr>
        <w:t>A Thesis submitted in partial fulfilment of the</w:t>
      </w:r>
    </w:p>
    <w:p>
      <w:pPr>
        <w:spacing w:before="0" w:after="0" w:line="480" w:lineRule="auto"/>
        <w:ind w:firstLine="0"/>
        <w:jc w:val="center"/>
      </w:pPr>
      <w:r>
        <w:rPr>
          <w:rFonts w:ascii="Times New Roman" w:hAnsi="Times New Roman" w:eastAsia="Times New Roman"/>
          <w:b/>
          <w:i w:val="0"/>
          <w:color w:val="000000"/>
          <w:sz w:val="26"/>
        </w:rPr>
        <w:t>requirements for the degree of Master of Science</w:t>
      </w:r>
    </w:p>
    <w:p>
      <w:pPr>
        <w:spacing w:before="0" w:after="120" w:line="480" w:lineRule="auto"/>
        <w:ind w:firstLine="0"/>
        <w:jc w:val="center"/>
      </w:pPr>
      <w:r>
        <w:rPr>
          <w:rFonts w:ascii="Times New Roman" w:hAnsi="Times New Roman" w:eastAsia="Times New Roman"/>
          <w:b/>
          <w:i w:val="0"/>
          <w:color w:val="000000"/>
          <w:sz w:val="26"/>
        </w:rPr>
        <w:t>in Conservative Dentistry</w:t>
      </w:r>
    </w:p>
    <w:p>
      <w:pPr>
        <w:spacing w:before="0" w:after="240" w:line="480" w:lineRule="auto"/>
        <w:ind w:firstLine="0"/>
        <w:jc w:val="center"/>
      </w:pPr>
      <w:r>
        <w:rPr>
          <w:rFonts w:ascii="Times New Roman" w:hAnsi="Times New Roman" w:eastAsia="Times New Roman"/>
          <w:b/>
          <w:i w:val="0"/>
          <w:color w:val="000000"/>
          <w:sz w:val="26"/>
        </w:rPr>
        <w:t>Academic Year 2024–2025 / 2025–2026</w:t>
      </w:r>
    </w:p>
    <w:p>
      <w:pPr>
        <w:spacing w:before="120" w:after="0" w:line="480" w:lineRule="auto"/>
        <w:ind w:firstLine="0"/>
        <w:jc w:val="center"/>
      </w:pPr>
      <w:r>
        <w:rPr>
          <w:rFonts w:ascii="Times New Roman" w:hAnsi="Times New Roman" w:eastAsia="Times New Roman"/>
          <w:b w:val="0"/>
          <w:i w:val="0"/>
          <w:color w:val="000000"/>
          <w:sz w:val="24"/>
        </w:rPr>
        <w:t>Name of Candidate</w:t>
      </w:r>
    </w:p>
    <w:p>
      <w:pPr>
        <w:spacing w:before="0" w:after="240" w:line="480" w:lineRule="auto"/>
        <w:ind w:firstLine="0"/>
        <w:jc w:val="center"/>
      </w:pPr>
      <w:r>
        <w:rPr>
          <w:rFonts w:ascii="Times New Roman" w:hAnsi="Times New Roman" w:eastAsia="Times New Roman"/>
          <w:b/>
          <w:i w:val="0"/>
          <w:color w:val="000000"/>
          <w:sz w:val="28"/>
        </w:rPr>
        <w:t>Mohamed Talaat Mohamed AbdelMoaty ElAbd</w:t>
      </w:r>
    </w:p>
    <w:p>
      <w:pPr>
        <w:spacing w:before="160" w:after="0" w:line="480" w:lineRule="auto"/>
        <w:ind w:firstLine="0"/>
        <w:jc w:val="left"/>
      </w:pPr>
      <w:r>
        <w:rPr>
          <w:rFonts w:ascii="Times New Roman" w:hAnsi="Times New Roman" w:eastAsia="Times New Roman"/>
          <w:b/>
          <w:i/>
          <w:color w:val="000000"/>
          <w:sz w:val="24"/>
        </w:rPr>
        <w:t>English Title:</w:t>
      </w:r>
    </w:p>
    <w:p>
      <w:pPr>
        <w:spacing w:before="80" w:after="160" w:line="480" w:lineRule="auto"/>
        <w:ind w:firstLine="0"/>
        <w:jc w:val="center"/>
      </w:pPr>
      <w:r>
        <w:rPr>
          <w:rFonts w:ascii="Times New Roman" w:hAnsi="Times New Roman" w:eastAsia="Times New Roman"/>
          <w:b/>
          <w:i w:val="0"/>
          <w:color w:val="000000"/>
          <w:sz w:val="26"/>
        </w:rPr>
        <w:t>COMPARATIVE STUDY OF WEAR RESISTANCE AND SURFACE ROUGHNESS OF INJECTABLE VERSUS CONVENTIONAL COMPOSITE RESIN — IN VITRO STUDY</w:t>
      </w:r>
    </w:p>
    <w:p>
      <w:pPr>
        <w:spacing w:before="0" w:after="0" w:line="480" w:lineRule="auto"/>
        <w:ind w:firstLine="0"/>
        <w:jc w:val="left"/>
      </w:pPr>
      <w:r>
        <w:rPr>
          <w:rFonts w:ascii="Times New Roman" w:hAnsi="Times New Roman" w:eastAsia="Times New Roman"/>
          <w:b/>
          <w:i/>
          <w:color w:val="000000"/>
          <w:sz w:val="24"/>
        </w:rPr>
        <w:t>Arabic Title:</w:t>
      </w:r>
    </w:p>
    <w:p>
      <w:pPr>
        <w:spacing w:before="80" w:after="200" w:line="480" w:lineRule="auto"/>
        <w:ind w:firstLine="0"/>
        <w:jc w:val="center"/>
      </w:pPr>
      <w:r>
        <w:rPr>
          <w:rFonts w:ascii="Times New Roman" w:hAnsi="Times New Roman" w:eastAsia="Times New Roman"/>
          <w:b/>
          <w:i w:val="0"/>
          <w:color w:val="000000"/>
          <w:sz w:val="26"/>
        </w:rPr>
        <w:t>دراسة مقارنة للتآكل وخشونة سطح الراتينج المركب القابل للحقن والتقليدي – دراسة في المختبر</w:t>
      </w:r>
    </w:p>
    <w:p>
      <w:pPr>
        <w:spacing w:before="0" w:after="240" w:line="480" w:lineRule="auto"/>
        <w:ind w:firstLine="0"/>
        <w:jc w:val="left"/>
      </w:pPr>
      <w:r>
        <w:rPr>
          <w:rFonts w:ascii="Times New Roman" w:hAnsi="Times New Roman" w:eastAsia="Times New Roman"/>
          <w:b w:val="0"/>
          <w:i w:val="0"/>
          <w:color w:val="000000"/>
          <w:sz w:val="24"/>
        </w:rPr>
        <w:t>Keywords: Surface roughness, wear, injectable composite, conventional composite.</w:t>
      </w:r>
    </w:p>
    <w:p>
      <w:pPr>
        <w:spacing w:before="160" w:after="120" w:line="480" w:lineRule="auto"/>
        <w:ind w:firstLine="0"/>
        <w:jc w:val="center"/>
      </w:pPr>
      <w:r>
        <w:rPr>
          <w:rFonts w:ascii="Times New Roman" w:hAnsi="Times New Roman" w:eastAsia="Times New Roman"/>
          <w:b/>
          <w:i w:val="0"/>
          <w:color w:val="000000"/>
          <w:sz w:val="26"/>
        </w:rPr>
        <w:t>Supervision Committee</w:t>
      </w:r>
    </w:p>
    <w:p>
      <w:pPr>
        <w:spacing w:before="0" w:after="0" w:line="480" w:lineRule="auto"/>
        <w:ind w:firstLine="0"/>
        <w:jc w:val="center"/>
      </w:pPr>
      <w:r>
        <w:rPr>
          <w:rFonts w:ascii="Times New Roman" w:hAnsi="Times New Roman" w:eastAsia="Times New Roman"/>
          <w:b w:val="0"/>
          <w:i w:val="0"/>
          <w:color w:val="000000"/>
          <w:sz w:val="24"/>
        </w:rPr>
        <w:t>1. Prof. Wegdan M. Abdel-Fattah</w:t>
      </w:r>
    </w:p>
    <w:p>
      <w:pPr>
        <w:spacing w:before="0" w:after="120" w:line="480" w:lineRule="auto"/>
        <w:ind w:firstLine="0"/>
        <w:jc w:val="center"/>
      </w:pPr>
      <w:r>
        <w:rPr>
          <w:rFonts w:ascii="Times New Roman" w:hAnsi="Times New Roman" w:eastAsia="Times New Roman"/>
          <w:b w:val="0"/>
          <w:i w:val="0"/>
          <w:color w:val="000000"/>
          <w:sz w:val="24"/>
        </w:rPr>
        <w:t>2. Asst. Prof. Emad M. El-Sayed  (Main supervisor)</w:t>
      </w:r>
    </w:p>
    <w:p>
      <w:pPr>
        <w:spacing w:before="0" w:after="0"/>
      </w:pPr>
      <w:r>
        <w:br w:type="page"/>
      </w:r>
    </w:p>
    <w:p>
      <w:pPr>
        <w:spacing w:before="240" w:after="120" w:line="480" w:lineRule="auto"/>
        <w:ind w:firstLine="0"/>
        <w:jc w:val="left"/>
      </w:pPr>
      <w:r>
        <w:rPr>
          <w:rFonts w:ascii="Times New Roman" w:hAnsi="Times New Roman" w:eastAsia="Times New Roman"/>
          <w:b/>
          <w:i w:val="0"/>
          <w:color w:val="000000"/>
          <w:sz w:val="28"/>
        </w:rPr>
        <w:t>Supervisors</w:t>
      </w:r>
    </w:p>
    <w:p>
      <w:pPr>
        <w:spacing w:before="0" w:after="0" w:line="480" w:lineRule="auto"/>
        <w:ind w:firstLine="709"/>
        <w:jc w:val="both"/>
      </w:pPr>
      <w:r>
        <w:rPr>
          <w:rFonts w:ascii="Times New Roman" w:hAnsi="Times New Roman" w:eastAsia="Times New Roman"/>
          <w:b/>
          <w:i w:val="0"/>
          <w:color w:val="000000"/>
          <w:sz w:val="24"/>
        </w:rPr>
        <w:t>Supervision Committee</w:t>
      </w:r>
      <w:r>
        <w:rPr>
          <w:rFonts w:ascii="Times New Roman" w:hAnsi="Times New Roman" w:eastAsia="Times New Roman"/>
          <w:b w:val="0"/>
          <w:i w:val="0"/>
          <w:color w:val="000000"/>
          <w:sz w:val="24"/>
        </w:rPr>
        <w:t xml:space="preserve"> (as named on the approved research protocol)</w:t>
      </w:r>
    </w:p>
    <w:p>
      <w:pPr>
        <w:spacing w:before="0" w:after="0" w:line="480" w:lineRule="auto"/>
        <w:ind w:firstLine="709"/>
        <w:jc w:val="both"/>
      </w:pPr>
      <w:r>
        <w:rPr>
          <w:rFonts w:ascii="Times New Roman" w:hAnsi="Times New Roman" w:eastAsia="Times New Roman"/>
          <w:b w:val="0"/>
          <w:i w:val="0"/>
          <w:color w:val="000000"/>
          <w:sz w:val="24"/>
        </w:rPr>
        <w:t>1. Prof. Wegdan M. Abdel-Fattah</w:t>
      </w:r>
    </w:p>
    <w:p>
      <w:pPr>
        <w:spacing w:before="0" w:after="0" w:line="480" w:lineRule="auto"/>
        <w:ind w:firstLine="709"/>
        <w:jc w:val="both"/>
      </w:pPr>
      <w:r>
        <w:rPr>
          <w:rFonts w:ascii="Times New Roman" w:hAnsi="Times New Roman" w:eastAsia="Times New Roman"/>
          <w:b w:val="0"/>
          <w:i w:val="0"/>
          <w:color w:val="000000"/>
          <w:sz w:val="24"/>
        </w:rPr>
        <w:t>2. Asst. Prof. Emad M. El-Sayed (Main supervisor)</w:t>
      </w:r>
    </w:p>
    <w:p>
      <w:pPr>
        <w:spacing w:before="240" w:after="120" w:line="480" w:lineRule="auto"/>
        <w:ind w:firstLine="0"/>
        <w:jc w:val="left"/>
      </w:pPr>
      <w:r>
        <w:rPr>
          <w:rFonts w:ascii="Times New Roman" w:hAnsi="Times New Roman" w:eastAsia="Times New Roman"/>
          <w:b/>
          <w:i w:val="0"/>
          <w:color w:val="000000"/>
          <w:sz w:val="28"/>
        </w:rPr>
        <w:t>Acknowledgements</w:t>
      </w:r>
    </w:p>
    <w:p>
      <w:pPr>
        <w:spacing w:before="0" w:after="0" w:line="480" w:lineRule="auto"/>
        <w:ind w:firstLine="709"/>
        <w:jc w:val="both"/>
      </w:pPr>
      <w:r>
        <w:rPr>
          <w:rFonts w:ascii="Times New Roman" w:hAnsi="Times New Roman" w:eastAsia="Times New Roman"/>
          <w:b w:val="0"/>
          <w:i w:val="0"/>
          <w:color w:val="000000"/>
          <w:sz w:val="24"/>
        </w:rPr>
        <w:t>I wish to thank my supervisors for their guidance throughout the planning and writing of this work, and the laboratory staff who supported the experimental procedures. I am grateful to my family for their patience during the period of study.</w:t>
      </w:r>
    </w:p>
    <w:p>
      <w:pPr>
        <w:spacing w:before="120" w:after="120" w:line="480" w:lineRule="auto"/>
        <w:ind w:firstLine="0"/>
        <w:jc w:val="center"/>
      </w:pPr>
      <w:r>
        <w:rPr>
          <w:rFonts w:ascii="Times New Roman" w:hAnsi="Times New Roman" w:eastAsia="Times New Roman"/>
          <w:b/>
          <w:i w:val="0"/>
          <w:color w:val="000000"/>
          <w:sz w:val="32"/>
        </w:rPr>
        <w:t>Abstract</w:t>
      </w:r>
    </w:p>
    <w:p>
      <w:pPr>
        <w:spacing w:before="0" w:after="0" w:line="480" w:lineRule="auto"/>
        <w:ind w:firstLine="709"/>
        <w:jc w:val="both"/>
      </w:pPr>
      <w:r>
        <w:rPr>
          <w:rFonts w:ascii="Times New Roman" w:hAnsi="Times New Roman" w:eastAsia="Times New Roman"/>
          <w:b/>
          <w:i w:val="0"/>
          <w:color w:val="000000"/>
          <w:sz w:val="24"/>
        </w:rPr>
        <w:t>Background.</w:t>
      </w:r>
      <w:r>
        <w:rPr>
          <w:rFonts w:ascii="Times New Roman" w:hAnsi="Times New Roman" w:eastAsia="Times New Roman"/>
          <w:b w:val="0"/>
          <w:i w:val="0"/>
          <w:color w:val="000000"/>
          <w:sz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spacing w:before="0" w:after="0" w:line="480" w:lineRule="auto"/>
        <w:ind w:firstLine="709"/>
        <w:jc w:val="both"/>
      </w:pPr>
      <w:r>
        <w:rPr>
          <w:rFonts w:ascii="Times New Roman" w:hAnsi="Times New Roman" w:eastAsia="Times New Roman"/>
          <w:b/>
          <w:i w:val="0"/>
          <w:color w:val="000000"/>
          <w:sz w:val="24"/>
        </w:rPr>
        <w:t>Aim.</w:t>
      </w:r>
      <w:r>
        <w:rPr>
          <w:rFonts w:ascii="Times New Roman" w:hAnsi="Times New Roman" w:eastAsia="Times New Roman"/>
          <w:b w:val="0"/>
          <w:i w:val="0"/>
          <w:color w:val="000000"/>
          <w:sz w:val="24"/>
        </w:rPr>
        <w:t xml:space="preserve"> To compare percentage weight loss and arithmetic mean roughness (Ra) of Beautifil Flow Plus X F00, G-ænial Universal Injectable and Beautifil II LS after 10 000 toothbrushing cycles.</w:t>
      </w:r>
    </w:p>
    <w:p>
      <w:pPr>
        <w:spacing w:before="0" w:after="0" w:line="480" w:lineRule="auto"/>
        <w:ind w:firstLine="709"/>
        <w:jc w:val="both"/>
      </w:pPr>
      <w:r>
        <w:rPr>
          <w:rFonts w:ascii="Times New Roman" w:hAnsi="Times New Roman" w:eastAsia="Times New Roman"/>
          <w:b/>
          <w:i w:val="0"/>
          <w:color w:val="000000"/>
          <w:sz w:val="24"/>
        </w:rPr>
        <w:t>Methods.</w:t>
      </w:r>
      <w:r>
        <w:rPr>
          <w:rFonts w:ascii="Times New Roman" w:hAnsi="Times New Roman" w:eastAsia="Times New Roman"/>
          <w:b w:val="0"/>
          <w:i w:val="0"/>
          <w:color w:val="000000"/>
          <w:sz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spacing w:before="0" w:after="0" w:line="480" w:lineRule="auto"/>
        <w:ind w:firstLine="709"/>
        <w:jc w:val="both"/>
      </w:pPr>
      <w:r>
        <w:rPr>
          <w:rFonts w:ascii="Times New Roman" w:hAnsi="Times New Roman" w:eastAsia="Times New Roman"/>
          <w:b/>
          <w:i w:val="0"/>
          <w:color w:val="000000"/>
          <w:sz w:val="24"/>
        </w:rPr>
        <w:t>Results.</w:t>
      </w:r>
      <w:r>
        <w:rPr>
          <w:rFonts w:ascii="Times New Roman" w:hAnsi="Times New Roman" w:eastAsia="Times New Roman"/>
          <w:b w:val="0"/>
          <w:i w:val="0"/>
          <w:color w:val="000000"/>
          <w:sz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spacing w:before="0" w:after="0" w:line="480" w:lineRule="auto"/>
        <w:ind w:firstLine="709"/>
        <w:jc w:val="both"/>
      </w:pPr>
      <w:r>
        <w:rPr>
          <w:rFonts w:ascii="Times New Roman" w:hAnsi="Times New Roman" w:eastAsia="Times New Roman"/>
          <w:b/>
          <w:i w:val="0"/>
          <w:color w:val="000000"/>
          <w:sz w:val="24"/>
        </w:rPr>
        <w:t>Conclusions.</w:t>
      </w:r>
      <w:r>
        <w:rPr>
          <w:rFonts w:ascii="Times New Roman" w:hAnsi="Times New Roman" w:eastAsia="Times New Roman"/>
          <w:b w:val="0"/>
          <w:i w:val="0"/>
          <w:color w:val="000000"/>
          <w:sz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spacing w:before="0" w:after="0" w:line="480" w:lineRule="auto"/>
        <w:ind w:firstLine="709"/>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Injectable composite; nanohybrid composite; toothbrush abrasion; wear; surface roughness; giomer.</w:t>
      </w:r>
    </w:p>
    <w:p>
      <w:pPr>
        <w:spacing w:before="240" w:after="120" w:line="480" w:lineRule="auto"/>
        <w:ind w:firstLine="0"/>
        <w:jc w:val="left"/>
      </w:pPr>
      <w:r>
        <w:rPr>
          <w:rFonts w:ascii="Times New Roman" w:hAnsi="Times New Roman" w:eastAsia="Times New Roman"/>
          <w:b/>
          <w:i w:val="0"/>
          <w:color w:val="000000"/>
          <w:sz w:val="28"/>
        </w:rPr>
        <w:t>List of tables</w:t>
      </w:r>
    </w:p>
    <w:p>
      <w:pPr>
        <w:spacing w:before="0" w:after="0" w:line="480" w:lineRule="auto"/>
        <w:ind w:firstLine="0"/>
        <w:jc w:val="both"/>
      </w:pPr>
      <w:r>
        <w:rPr>
          <w:rFonts w:ascii="Times New Roman" w:hAnsi="Times New Roman" w:eastAsia="Times New Roman"/>
          <w:b w:val="0"/>
          <w:i w:val="0"/>
          <w:color w:val="000000"/>
          <w:sz w:val="24"/>
        </w:rPr>
        <w:t>Table 3.1 Composition of the resin composites</w:t>
      </w:r>
    </w:p>
    <w:p>
      <w:pPr>
        <w:spacing w:before="0" w:after="0" w:line="480" w:lineRule="auto"/>
        <w:ind w:firstLine="0"/>
        <w:jc w:val="both"/>
      </w:pPr>
      <w:r>
        <w:rPr>
          <w:rFonts w:ascii="Times New Roman" w:hAnsi="Times New Roman" w:eastAsia="Times New Roman"/>
          <w:b w:val="0"/>
          <w:i w:val="0"/>
          <w:color w:val="000000"/>
          <w:sz w:val="24"/>
        </w:rPr>
        <w:t>Table 4.1 Weight before and after brushing and percentage weight loss</w:t>
      </w:r>
    </w:p>
    <w:p>
      <w:pPr>
        <w:spacing w:before="0" w:after="0" w:line="480" w:lineRule="auto"/>
        <w:ind w:firstLine="0"/>
        <w:jc w:val="both"/>
      </w:pPr>
      <w:r>
        <w:rPr>
          <w:rFonts w:ascii="Times New Roman" w:hAnsi="Times New Roman" w:eastAsia="Times New Roman"/>
          <w:b w:val="0"/>
          <w:i w:val="0"/>
          <w:color w:val="000000"/>
          <w:sz w:val="24"/>
        </w:rPr>
        <w:t>Table 4.2 Absolute weight loss after 10 000 brushing cycles</w:t>
      </w:r>
    </w:p>
    <w:p>
      <w:pPr>
        <w:spacing w:before="0" w:after="0" w:line="480" w:lineRule="auto"/>
        <w:ind w:firstLine="0"/>
        <w:jc w:val="both"/>
      </w:pPr>
      <w:r>
        <w:rPr>
          <w:rFonts w:ascii="Times New Roman" w:hAnsi="Times New Roman" w:eastAsia="Times New Roman"/>
          <w:b w:val="0"/>
          <w:i w:val="0"/>
          <w:color w:val="000000"/>
          <w:sz w:val="24"/>
        </w:rPr>
        <w:t>Table 4.3 Ra before and after brushing and ΔRa</w:t>
      </w:r>
    </w:p>
    <w:p>
      <w:pPr>
        <w:spacing w:before="240" w:after="120" w:line="480" w:lineRule="auto"/>
        <w:ind w:firstLine="0"/>
        <w:jc w:val="left"/>
      </w:pPr>
      <w:r>
        <w:rPr>
          <w:rFonts w:ascii="Times New Roman" w:hAnsi="Times New Roman" w:eastAsia="Times New Roman"/>
          <w:b/>
          <w:i w:val="0"/>
          <w:color w:val="000000"/>
          <w:sz w:val="28"/>
        </w:rPr>
        <w:t>List of figures</w:t>
      </w:r>
    </w:p>
    <w:p>
      <w:pPr>
        <w:spacing w:before="0" w:after="0" w:line="480" w:lineRule="auto"/>
        <w:ind w:firstLine="0"/>
        <w:jc w:val="both"/>
      </w:pPr>
      <w:r>
        <w:rPr>
          <w:rFonts w:ascii="Times New Roman" w:hAnsi="Times New Roman" w:eastAsia="Times New Roman"/>
          <w:b w:val="0"/>
          <w:i w:val="0"/>
          <w:color w:val="000000"/>
          <w:sz w:val="24"/>
        </w:rPr>
        <w:t>Figure 4.1 Mean percentage weight loss after 10 000 brushing cycles</w:t>
      </w:r>
    </w:p>
    <w:p>
      <w:pPr>
        <w:spacing w:before="0" w:after="0" w:line="480" w:lineRule="auto"/>
        <w:ind w:firstLine="0"/>
        <w:jc w:val="both"/>
      </w:pPr>
      <w:r>
        <w:rPr>
          <w:rFonts w:ascii="Times New Roman" w:hAnsi="Times New Roman" w:eastAsia="Times New Roman"/>
          <w:b w:val="0"/>
          <w:i w:val="0"/>
          <w:color w:val="000000"/>
          <w:sz w:val="24"/>
        </w:rPr>
        <w:t>Figure 4.2 Mean Ra before and after brushing, with the 0.2 µm plaque-retention threshold</w:t>
      </w:r>
    </w:p>
    <w:p>
      <w:pPr>
        <w:spacing w:before="0" w:after="0" w:line="480" w:lineRule="auto"/>
        <w:ind w:firstLine="0"/>
        <w:jc w:val="both"/>
      </w:pPr>
      <w:r>
        <w:rPr>
          <w:rFonts w:ascii="Times New Roman" w:hAnsi="Times New Roman" w:eastAsia="Times New Roman"/>
          <w:b w:val="0"/>
          <w:i w:val="0"/>
          <w:color w:val="000000"/>
          <w:sz w:val="24"/>
        </w:rPr>
        <w:t>Figure 4.3 Mean change in surface roughness (ΔRa)</w:t>
      </w:r>
    </w:p>
    <w:p>
      <w:pPr>
        <w:spacing w:before="240" w:after="120" w:line="480" w:lineRule="auto"/>
        <w:ind w:firstLine="0"/>
        <w:jc w:val="left"/>
      </w:pPr>
      <w:r>
        <w:rPr>
          <w:rFonts w:ascii="Times New Roman" w:hAnsi="Times New Roman" w:eastAsia="Times New Roman"/>
          <w:b/>
          <w:i w:val="0"/>
          <w:color w:val="000000"/>
          <w:sz w:val="28"/>
        </w:rPr>
        <w:t>List of abbreviations</w:t>
      </w:r>
    </w:p>
    <w:p>
      <w:pPr>
        <w:spacing w:before="0" w:after="0" w:line="480" w:lineRule="auto"/>
        <w:ind w:firstLine="709"/>
        <w:jc w:val="both"/>
      </w:pPr>
      <w:r>
        <w:rPr>
          <w:rFonts w:ascii="Times New Roman" w:hAnsi="Times New Roman" w:eastAsia="Times New Roman"/>
          <w:b w:val="0"/>
          <w:i w:val="0"/>
          <w:color w:val="000000"/>
          <w:sz w:val="24"/>
        </w:rPr>
        <w:t>ANOVA — analysis of variance</w:t>
      </w:r>
    </w:p>
    <w:p>
      <w:pPr>
        <w:spacing w:before="0" w:after="0" w:line="480" w:lineRule="auto"/>
        <w:ind w:firstLine="709"/>
        <w:jc w:val="both"/>
      </w:pPr>
      <w:r>
        <w:rPr>
          <w:rFonts w:ascii="Times New Roman" w:hAnsi="Times New Roman" w:eastAsia="Times New Roman"/>
          <w:b w:val="0"/>
          <w:i w:val="0"/>
          <w:color w:val="000000"/>
          <w:sz w:val="24"/>
        </w:rPr>
        <w:t>ISO — International Organization for Standardization</w:t>
      </w:r>
    </w:p>
    <w:p>
      <w:pPr>
        <w:spacing w:before="0" w:after="0" w:line="480" w:lineRule="auto"/>
        <w:ind w:firstLine="709"/>
        <w:jc w:val="both"/>
      </w:pPr>
      <w:r>
        <w:rPr>
          <w:rFonts w:ascii="Times New Roman" w:hAnsi="Times New Roman" w:eastAsia="Times New Roman"/>
          <w:b w:val="0"/>
          <w:i w:val="0"/>
          <w:color w:val="000000"/>
          <w:sz w:val="24"/>
        </w:rPr>
        <w:t>Ra — arithmetic mean roughness</w:t>
      </w:r>
    </w:p>
    <w:p>
      <w:pPr>
        <w:spacing w:before="0" w:after="0" w:line="480" w:lineRule="auto"/>
        <w:ind w:firstLine="709"/>
        <w:jc w:val="both"/>
      </w:pPr>
      <w:r>
        <w:rPr>
          <w:rFonts w:ascii="Times New Roman" w:hAnsi="Times New Roman" w:eastAsia="Times New Roman"/>
          <w:b w:val="0"/>
          <w:i w:val="0"/>
          <w:color w:val="000000"/>
          <w:sz w:val="24"/>
        </w:rPr>
        <w:t>RDA — relative dentine abrasivity</w:t>
      </w:r>
    </w:p>
    <w:p>
      <w:pPr>
        <w:spacing w:before="0" w:after="0" w:line="480" w:lineRule="auto"/>
        <w:ind w:firstLine="709"/>
        <w:jc w:val="both"/>
      </w:pPr>
      <w:r>
        <w:rPr>
          <w:rFonts w:ascii="Times New Roman" w:hAnsi="Times New Roman" w:eastAsia="Times New Roman"/>
          <w:b w:val="0"/>
          <w:i w:val="0"/>
          <w:color w:val="000000"/>
          <w:sz w:val="24"/>
        </w:rPr>
        <w:t>SD — standard deviation</w:t>
      </w:r>
    </w:p>
    <w:p>
      <w:pPr>
        <w:spacing w:before="0" w:after="0" w:line="480" w:lineRule="auto"/>
        <w:ind w:firstLine="709"/>
        <w:jc w:val="both"/>
      </w:pPr>
      <w:r>
        <w:rPr>
          <w:rFonts w:ascii="Times New Roman" w:hAnsi="Times New Roman" w:eastAsia="Times New Roman"/>
          <w:b w:val="0"/>
          <w:i w:val="0"/>
          <w:color w:val="000000"/>
          <w:sz w:val="24"/>
        </w:rPr>
        <w:t>S-PRG — surface pre-reacted glass-ionomer</w:t>
      </w:r>
    </w:p>
    <w:p>
      <w:pPr>
        <w:spacing w:before="0" w:after="0" w:line="480" w:lineRule="auto"/>
        <w:ind w:firstLine="709"/>
        <w:jc w:val="both"/>
      </w:pPr>
      <w:r>
        <w:rPr>
          <w:rFonts w:ascii="Times New Roman" w:hAnsi="Times New Roman" w:eastAsia="Times New Roman"/>
          <w:b w:val="0"/>
          <w:i w:val="0"/>
          <w:color w:val="000000"/>
          <w:sz w:val="24"/>
        </w:rPr>
        <w:t>ΔRa — change in Ra (after − before)</w:t>
      </w:r>
    </w:p>
    <w:p>
      <w:pPr>
        <w:spacing w:before="0" w:after="0"/>
      </w:pPr>
      <w:r>
        <w:br w:type="page"/>
      </w:r>
    </w:p>
    <w:p>
      <w:pPr>
        <w:spacing w:before="120" w:after="120" w:line="480" w:lineRule="auto"/>
        <w:ind w:firstLine="0"/>
        <w:jc w:val="center"/>
      </w:pPr>
      <w:r>
        <w:rPr>
          <w:rFonts w:ascii="Times New Roman" w:hAnsi="Times New Roman" w:eastAsia="Times New Roman"/>
          <w:b/>
          <w:i w:val="0"/>
          <w:color w:val="000000"/>
          <w:sz w:val="32"/>
        </w:rPr>
        <w:t>Chapter 1</w:t>
      </w:r>
    </w:p>
    <w:p>
      <w:pPr>
        <w:spacing w:before="120" w:after="120" w:line="480" w:lineRule="auto"/>
        <w:ind w:firstLine="0"/>
        <w:jc w:val="center"/>
      </w:pPr>
      <w:r>
        <w:rPr>
          <w:rFonts w:ascii="Times New Roman" w:hAnsi="Times New Roman" w:eastAsia="Times New Roman"/>
          <w:b/>
          <w:i w:val="0"/>
          <w:color w:val="000000"/>
          <w:sz w:val="32"/>
        </w:rPr>
        <w:t>Introduction</w:t>
      </w:r>
    </w:p>
    <w:p>
      <w:pPr>
        <w:spacing w:before="0" w:after="0" w:line="480" w:lineRule="auto"/>
        <w:ind w:firstLine="709"/>
        <w:jc w:val="both"/>
      </w:pPr>
      <w:r>
        <w:rPr>
          <w:rFonts w:ascii="Times New Roman" w:hAnsi="Times New Roman" w:eastAsia="Times New Roman"/>
          <w:b w:val="0"/>
          <w:i w:val="0"/>
          <w:color w:val="000000"/>
          <w:sz w:val="24"/>
        </w:rPr>
        <w:t>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(1,2).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(3,4).</w:t>
      </w:r>
    </w:p>
    <w:p>
      <w:pPr>
        <w:spacing w:before="0" w:after="0" w:line="480" w:lineRule="auto"/>
        <w:ind w:firstLine="709"/>
        <w:jc w:val="both"/>
      </w:pPr>
      <w:r>
        <w:rPr>
          <w:rFonts w:ascii="Times New Roman" w:hAnsi="Times New Roman" w:eastAsia="Times New Roman"/>
          <w:b w:val="0"/>
          <w:i w:val="0"/>
          <w:color w:val="000000"/>
          <w:sz w:val="24"/>
        </w:rPr>
        <w:t>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(5). A later generation of highly filled injectable composites was formulated to close that gap. By combining a higher inorganic load, a smaller mean particle size and improved silane treatment, manufacturers produced pastes that can still be injected from a syringe yet are offered for use in Class I and II restorations (6). Two such products, G-ænial Universal Injectable (GC Corporation, Tokyo, Japan) and Beautifil Flow Plus X F00 (Shofu Inc., Kyoto, Japan), are now in routine clinical use. Beautifil II LS (Shofu Inc.), a sculptable low-shrinkage nanohybrid giomer, remains a representative conventional paste and was chosen as the control material for the present work.</w:t>
      </w:r>
    </w:p>
    <w:p>
      <w:pPr>
        <w:spacing w:before="0" w:after="0" w:line="480" w:lineRule="auto"/>
        <w:ind w:firstLine="709"/>
        <w:jc w:val="both"/>
      </w:pPr>
      <w:r>
        <w:rPr>
          <w:rFonts w:ascii="Times New Roman" w:hAnsi="Times New Roman" w:eastAsia="Times New Roman"/>
          <w:b w:val="0"/>
          <w:i w:val="0"/>
          <w:color w:val="000000"/>
          <w:sz w:val="24"/>
        </w:rPr>
        <w:t>The laboratory literature on these products is uneven. Two-body chewing-simulator studies, in which a steatite antagonist is loaded at about 49 N, have reported favourable volumetric wear and flexural strength for highly filled injectables (6). Those data describe occlusal-contact wear. They do not describe the three-body abrasion produced by a toothbrush and a dentifrice slurry, which is the wear mode that acts on free cleanable surfaces and on margins throughout the life of a restoration. Toothbrushing tests conducted according to ISO/TR 14569-1, at a load of 2 N and for 10 000 strokes, are conventionally treated as the laboratory equivalent of one year of twice-daily brushing (3,7,8). Direct comparison of Beautifil Flow Plus X F00, G-ænial Universal Injectable and Beautifil II LS under that protocol has not been published.</w:t>
      </w:r>
    </w:p>
    <w:p>
      <w:pPr>
        <w:spacing w:before="0" w:after="0" w:line="480" w:lineRule="auto"/>
        <w:ind w:firstLine="709"/>
        <w:jc w:val="both"/>
      </w:pPr>
      <w:r>
        <w:rPr>
          <w:rFonts w:ascii="Times New Roman" w:hAnsi="Times New Roman" w:eastAsia="Times New Roman"/>
          <w:b w:val="0"/>
          <w:i w:val="0"/>
          <w:color w:val="000000"/>
          <w:sz w:val="24"/>
        </w:rPr>
        <w:t>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(1). Jones, Billington and Pearson later showed that volunteers can detect roughness with the tip of the tongue once Ra lies between 0.25 µm and 0.50 µm, and they advised finishing restorations to no more than 0.50 µm (2). These two figures provide the frame within which the roughness results of the present study are interpreted.</w:t>
      </w:r>
    </w:p>
    <w:p>
      <w:pPr>
        <w:spacing w:before="0" w:after="0" w:line="480" w:lineRule="auto"/>
        <w:ind w:firstLine="709"/>
        <w:jc w:val="both"/>
      </w:pPr>
      <w:r>
        <w:rPr>
          <w:rFonts w:ascii="Times New Roman" w:hAnsi="Times New Roman" w:eastAsia="Times New Roman"/>
          <w:b w:val="0"/>
          <w:i w:val="0"/>
          <w:color w:val="000000"/>
          <w:sz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spacing w:before="240" w:after="120" w:line="480" w:lineRule="auto"/>
        <w:ind w:firstLine="0"/>
        <w:jc w:val="left"/>
      </w:pPr>
      <w:r>
        <w:rPr>
          <w:rFonts w:ascii="Times New Roman" w:hAnsi="Times New Roman" w:eastAsia="Times New Roman"/>
          <w:b/>
          <w:i w:val="0"/>
          <w:color w:val="000000"/>
          <w:sz w:val="26"/>
        </w:rPr>
        <w:t>1.1 Aim of the study</w:t>
      </w:r>
    </w:p>
    <w:p>
      <w:pPr>
        <w:spacing w:before="0" w:after="0" w:line="480" w:lineRule="auto"/>
        <w:ind w:firstLine="709"/>
        <w:jc w:val="both"/>
      </w:pPr>
      <w:r>
        <w:rPr>
          <w:rFonts w:ascii="Times New Roman" w:hAnsi="Times New Roman" w:eastAsia="Times New Roman"/>
          <w:b w:val="0"/>
          <w:i w:val="0"/>
          <w:color w:val="000000"/>
          <w:sz w:val="24"/>
        </w:rPr>
        <w:t>To compare wear resistance, expressed as percentage weight loss, and surface roughness (Ra) of two highly filled injectable composites with a conventional nanohybrid composite after standardised toothbrushing.</w:t>
      </w:r>
    </w:p>
    <w:p>
      <w:pPr>
        <w:spacing w:before="240" w:after="120" w:line="480" w:lineRule="auto"/>
        <w:ind w:firstLine="0"/>
        <w:jc w:val="left"/>
      </w:pPr>
      <w:r>
        <w:rPr>
          <w:rFonts w:ascii="Times New Roman" w:hAnsi="Times New Roman" w:eastAsia="Times New Roman"/>
          <w:b/>
          <w:i w:val="0"/>
          <w:color w:val="000000"/>
          <w:sz w:val="26"/>
        </w:rPr>
        <w:t>1.2 Objectives</w:t>
      </w:r>
    </w:p>
    <w:p>
      <w:pPr>
        <w:spacing w:before="0" w:after="0" w:line="480" w:lineRule="auto"/>
        <w:ind w:firstLine="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spacing w:before="0" w:after="0" w:line="480" w:lineRule="auto"/>
        <w:ind w:firstLine="0"/>
        <w:jc w:val="both"/>
      </w:pPr>
      <w:r>
        <w:rPr>
          <w:rFonts w:ascii="Times New Roman" w:hAnsi="Times New Roman" w:eastAsia="Times New Roman"/>
          <w:b w:val="0"/>
          <w:i w:val="0"/>
          <w:color w:val="000000"/>
          <w:sz w:val="24"/>
        </w:rPr>
        <w:t>2. To measure Ra before and after the same abrasion and to calculate ΔRa.</w:t>
      </w:r>
    </w:p>
    <w:p>
      <w:pPr>
        <w:spacing w:before="0" w:after="0" w:line="480" w:lineRule="auto"/>
        <w:ind w:firstLine="0"/>
        <w:jc w:val="both"/>
      </w:pPr>
      <w:r>
        <w:rPr>
          <w:rFonts w:ascii="Times New Roman" w:hAnsi="Times New Roman" w:eastAsia="Times New Roman"/>
          <w:b w:val="0"/>
          <w:i w:val="0"/>
          <w:color w:val="000000"/>
          <w:sz w:val="24"/>
        </w:rPr>
        <w:t>3. To compare the three materials using the statistical tests appropriate to each outcome.</w:t>
      </w:r>
    </w:p>
    <w:p>
      <w:pPr>
        <w:spacing w:before="240" w:after="120" w:line="480" w:lineRule="auto"/>
        <w:ind w:firstLine="0"/>
        <w:jc w:val="left"/>
      </w:pPr>
      <w:r>
        <w:rPr>
          <w:rFonts w:ascii="Times New Roman" w:hAnsi="Times New Roman" w:eastAsia="Times New Roman"/>
          <w:b/>
          <w:i w:val="0"/>
          <w:color w:val="000000"/>
          <w:sz w:val="26"/>
        </w:rPr>
        <w:t>1.3 Null hypotheses</w:t>
      </w:r>
    </w:p>
    <w:p>
      <w:pPr>
        <w:spacing w:before="0" w:after="0" w:line="480" w:lineRule="auto"/>
        <w:ind w:firstLine="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spacing w:before="0" w:after="0" w:line="480" w:lineRule="auto"/>
        <w:ind w:firstLine="0"/>
        <w:jc w:val="both"/>
      </w:pPr>
      <w:r>
        <w:rPr>
          <w:rFonts w:ascii="Times New Roman" w:hAnsi="Times New Roman" w:eastAsia="Times New Roman"/>
          <w:b w:val="0"/>
          <w:i w:val="0"/>
          <w:color w:val="000000"/>
          <w:sz w:val="24"/>
        </w:rPr>
        <w:t>2. There is no significant difference in Ra after toothbrushing among the same three materials.</w:t>
      </w:r>
    </w:p>
    <w:p>
      <w:pPr>
        <w:spacing w:before="120" w:after="120" w:line="480" w:lineRule="auto"/>
        <w:ind w:firstLine="0"/>
        <w:jc w:val="center"/>
      </w:pPr>
      <w:r>
        <w:rPr>
          <w:rFonts w:ascii="Times New Roman" w:hAnsi="Times New Roman" w:eastAsia="Times New Roman"/>
          <w:b/>
          <w:i w:val="0"/>
          <w:color w:val="000000"/>
          <w:sz w:val="32"/>
        </w:rPr>
        <w:t>Chapter 2</w:t>
      </w:r>
    </w:p>
    <w:p>
      <w:pPr>
        <w:spacing w:before="120" w:after="120" w:line="480" w:lineRule="auto"/>
        <w:ind w:firstLine="0"/>
        <w:jc w:val="center"/>
      </w:pPr>
      <w:r>
        <w:rPr>
          <w:rFonts w:ascii="Times New Roman" w:hAnsi="Times New Roman" w:eastAsia="Times New Roman"/>
          <w:b/>
          <w:i w:val="0"/>
          <w:color w:val="000000"/>
          <w:sz w:val="32"/>
        </w:rPr>
        <w:t>Review of literature</w:t>
      </w:r>
    </w:p>
    <w:p>
      <w:pPr>
        <w:spacing w:before="240" w:after="120" w:line="480" w:lineRule="auto"/>
        <w:ind w:firstLine="0"/>
        <w:jc w:val="left"/>
      </w:pPr>
      <w:r>
        <w:rPr>
          <w:rFonts w:ascii="Times New Roman" w:hAnsi="Times New Roman" w:eastAsia="Times New Roman"/>
          <w:b/>
          <w:i w:val="0"/>
          <w:color w:val="000000"/>
          <w:sz w:val="26"/>
        </w:rPr>
        <w:t>2.1 Wear of restorative resins</w:t>
      </w:r>
    </w:p>
    <w:p>
      <w:pPr>
        <w:spacing w:before="0" w:after="0" w:line="480" w:lineRule="auto"/>
        <w:ind w:firstLine="709"/>
        <w:jc w:val="both"/>
      </w:pPr>
      <w:r>
        <w:rPr>
          <w:rFonts w:ascii="Times New Roman" w:hAnsi="Times New Roman" w:eastAsia="Times New Roman"/>
          <w:b w:val="0"/>
          <w:i w:val="0"/>
          <w:color w:val="000000"/>
          <w:sz w:val="24"/>
        </w:rPr>
        <w:t>Wear is the progressive loss of substance from two surfaces that are in relative motion (9).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(9,10). Laboratory tests isolate one or two of these mechanisms in order to rank materials. They do not reproduce the multifactorial environment of the mouth and therefore cannot be read as a clinical lifetime (10).</w:t>
      </w:r>
    </w:p>
    <w:p>
      <w:pPr>
        <w:spacing w:before="0" w:after="0" w:line="480" w:lineRule="auto"/>
        <w:ind w:firstLine="709"/>
        <w:jc w:val="both"/>
      </w:pPr>
      <w:r>
        <w:rPr>
          <w:rFonts w:ascii="Times New Roman" w:hAnsi="Times New Roman" w:eastAsia="Times New Roman"/>
          <w:b w:val="0"/>
          <w:i w:val="0"/>
          <w:color w:val="000000"/>
          <w:sz w:val="24"/>
        </w:rPr>
        <w:t>The wear resistance of a resin composite is governed by the filler, the matrix and the interface between them. Filler volume fraction, particle size and shape, inter-particle spacing, the degree of conversion of the resin and the quality of the silane coupling layer all contribute (11,12).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(12). Turssi, Ferracane and Vogel later showed, in a set of experimental composites, that reducing filler size improved three-body abrasion resistance for both spherical and irregular particles, provided that conversion was not compromised (24). The practical consequence of this work is that a well-coupled bed of small particles protects the resin from the abrasive and limits the size of the pits left when a particle is lost.</w:t>
      </w:r>
    </w:p>
    <w:p>
      <w:pPr>
        <w:spacing w:before="0" w:after="0" w:line="480" w:lineRule="auto"/>
        <w:ind w:firstLine="709"/>
        <w:jc w:val="both"/>
      </w:pPr>
      <w:r>
        <w:rPr>
          <w:rFonts w:ascii="Times New Roman" w:hAnsi="Times New Roman" w:eastAsia="Times New Roman"/>
          <w:b w:val="0"/>
          <w:i w:val="0"/>
          <w:color w:val="000000"/>
          <w:sz w:val="24"/>
        </w:rPr>
        <w:t>Classical flowable resins, filled at approximately 40–55 wt%, wear more rapidly than packable hybrids for precisely these reasons (5,13).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(6,12). Beautifil II LS is listed at 68 vol% (19).</w:t>
      </w:r>
    </w:p>
    <w:p>
      <w:pPr>
        <w:spacing w:before="0" w:after="0" w:line="480" w:lineRule="auto"/>
        <w:ind w:firstLine="709"/>
        <w:jc w:val="both"/>
      </w:pPr>
      <w:r>
        <w:rPr>
          <w:rFonts w:ascii="Times New Roman" w:hAnsi="Times New Roman" w:eastAsia="Times New Roman"/>
          <w:b w:val="0"/>
          <w:i w:val="0"/>
          <w:color w:val="000000"/>
          <w:sz w:val="24"/>
        </w:rPr>
        <w:t>Laboratory evaluation of toothbrush wear follows ISO/TR 14569-1 (3). The stated scope of that technical report is the wear of artificial teeth and veneering materials, but the recommended brush load (0.5–2.5 N) and the requirement that the dentifrice comply with ISO 11609 have been adopted widely for the screening of restorative composites (3,14). Sexson and Phillips estimated that a patient who makes about fifteen strokes per surface, twice daily, produces of the order of 10 000 strokes in a year (7). Most subsequent toothbrushing papers have used that figure, or a simple multiple of it, as the laboratory equivalent of one year of hygiene (8). The conversion is an estimate; brushing habits vary, and the laboratory brush does not reproduce the anatomy of a restoration. It remains, nevertheless, the convention against which the present cycle count is set.</w:t>
      </w:r>
    </w:p>
    <w:p>
      <w:pPr>
        <w:spacing w:before="0" w:after="0" w:line="480" w:lineRule="auto"/>
        <w:ind w:firstLine="709"/>
        <w:jc w:val="both"/>
      </w:pPr>
      <w:r>
        <w:rPr>
          <w:rFonts w:ascii="Times New Roman" w:hAnsi="Times New Roman" w:eastAsia="Times New Roman"/>
          <w:b w:val="0"/>
          <w:i w:val="0"/>
          <w:color w:val="000000"/>
          <w:sz w:val="24"/>
        </w:rPr>
        <w:t>Wear may be quantified as lost volume, as profilometric depth or as lost mass (10,15). Gravimetric loss is simple and repeatable when the balance reads to 0.1 mg and the specimen is dried in a consistent way. It does not describe the topography of the worn surface. Volumetric loss from a three-dimensional scan does, but requires equipment that was not used in this study. Heintze and colleagues compared three laboratory methods of wear quantification and showed that they do not always rank materials in the same order (15). The choice of a gravimetric outcome in the present work is therefore a methodological decision, not a claim that mass is equivalent to worn anatomy.</w:t>
      </w:r>
    </w:p>
    <w:p>
      <w:pPr>
        <w:spacing w:before="240" w:after="120" w:line="480" w:lineRule="auto"/>
        <w:ind w:firstLine="0"/>
        <w:jc w:val="left"/>
      </w:pPr>
      <w:r>
        <w:rPr>
          <w:rFonts w:ascii="Times New Roman" w:hAnsi="Times New Roman" w:eastAsia="Times New Roman"/>
          <w:b/>
          <w:i w:val="0"/>
          <w:color w:val="000000"/>
          <w:sz w:val="26"/>
        </w:rPr>
        <w:t>2.2 Surface roughness</w:t>
      </w:r>
    </w:p>
    <w:p>
      <w:pPr>
        <w:spacing w:before="0" w:after="0" w:line="480" w:lineRule="auto"/>
        <w:ind w:firstLine="709"/>
        <w:jc w:val="both"/>
      </w:pPr>
      <w:r>
        <w:rPr>
          <w:rFonts w:ascii="Times New Roman" w:hAnsi="Times New Roman" w:eastAsia="Times New Roman"/>
          <w:b w:val="0"/>
          <w:i w:val="0"/>
          <w:color w:val="000000"/>
          <w:sz w:val="24"/>
        </w:rPr>
        <w:t>The arithmetic mean roughness, Ra, is defined in ISO 4287 as the arithmetic mean of the absolute ordinate values of the roughness profile within the sampling length (16).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(4,16).</w:t>
      </w:r>
    </w:p>
    <w:p>
      <w:pPr>
        <w:spacing w:before="0" w:after="0" w:line="480" w:lineRule="auto"/>
        <w:ind w:firstLine="709"/>
        <w:jc w:val="both"/>
      </w:pPr>
      <w:r>
        <w:rPr>
          <w:rFonts w:ascii="Times New Roman" w:hAnsi="Times New Roman" w:eastAsia="Times New Roman"/>
          <w:b w:val="0"/>
          <w:i w:val="0"/>
          <w:color w:val="000000"/>
          <w:sz w:val="24"/>
        </w:rPr>
        <w:t>The clinical importance of Ra was established in two independent lines of work. Quirynen and Bollen showed that surface roughness and surface-free energy together determine the amount of plaque that accumulates on restorations (17). Bollen, Lambrechts and Quirynen then reviewed the available evidence and proposed 0.2 µm as the threshold above which bacterial adhesion increases to a clinically relevant degree; surfaces smoother than this showed no further reduction in plaque (1). Jones, Billington and Pearson asked volunteers to rank composite discs of known roughness with the tip of the tongue. Discrimination lay between 0.25 µm and 0.50 µm, and the authors recommended that restorations be finished to no more than 0.50 µm if they are not to be felt (2).</w:t>
      </w:r>
    </w:p>
    <w:p>
      <w:pPr>
        <w:spacing w:before="0" w:after="0" w:line="480" w:lineRule="auto"/>
        <w:ind w:firstLine="709"/>
        <w:jc w:val="both"/>
      </w:pPr>
      <w:r>
        <w:rPr>
          <w:rFonts w:ascii="Times New Roman" w:hAnsi="Times New Roman" w:eastAsia="Times New Roman"/>
          <w:b w:val="0"/>
          <w:i w:val="0"/>
          <w:color w:val="000000"/>
          <w:sz w:val="24"/>
        </w:rPr>
        <w:t>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(4). Nanofilled materials, whose particles are small enough to wear with the matrix, generally retain a smoother surface than nanohybrids, in which larger fillers are uncovered or lost (8,18).</w:t>
      </w:r>
    </w:p>
    <w:p>
      <w:pPr>
        <w:spacing w:before="0" w:after="0" w:line="480" w:lineRule="auto"/>
        <w:ind w:firstLine="709"/>
        <w:jc w:val="both"/>
      </w:pPr>
      <w:r>
        <w:rPr>
          <w:rFonts w:ascii="Times New Roman" w:hAnsi="Times New Roman" w:eastAsia="Times New Roman"/>
          <w:b w:val="0"/>
          <w:i w:val="0"/>
          <w:color w:val="000000"/>
          <w:sz w:val="24"/>
        </w:rPr>
        <w:t>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(25). Monteiro and Spohr, using a different set of dentifrices, also recorded an increase in Ra after simulated brushing but found that the manufacturer’s RDA value did not predict the roughness result in a simple way (8). A single dentifrice was therefore used in the present study, and the results apply to that paste.</w:t>
      </w:r>
    </w:p>
    <w:p>
      <w:pPr>
        <w:spacing w:before="240" w:after="120" w:line="480" w:lineRule="auto"/>
        <w:ind w:firstLine="0"/>
        <w:jc w:val="left"/>
      </w:pPr>
      <w:r>
        <w:rPr>
          <w:rFonts w:ascii="Times New Roman" w:hAnsi="Times New Roman" w:eastAsia="Times New Roman"/>
          <w:b/>
          <w:i w:val="0"/>
          <w:color w:val="000000"/>
          <w:sz w:val="26"/>
        </w:rPr>
        <w:t>2.3 Injectable composite resins</w:t>
      </w:r>
    </w:p>
    <w:p>
      <w:pPr>
        <w:spacing w:before="0" w:after="0" w:line="480" w:lineRule="auto"/>
        <w:ind w:firstLine="709"/>
        <w:jc w:val="both"/>
      </w:pPr>
      <w:r>
        <w:rPr>
          <w:rFonts w:ascii="Times New Roman" w:hAnsi="Times New Roman" w:eastAsia="Times New Roman"/>
          <w:b w:val="0"/>
          <w:i w:val="0"/>
          <w:color w:val="000000"/>
          <w:sz w:val="24"/>
        </w:rPr>
        <w:t>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(5,13). Baroudi and Rodrigues, in a systematic review, concluded that conventional flowables should not be used as sole restoratives in load-bearing situations (13).</w:t>
      </w:r>
    </w:p>
    <w:p>
      <w:pPr>
        <w:spacing w:before="0" w:after="0" w:line="480" w:lineRule="auto"/>
        <w:ind w:firstLine="709"/>
        <w:jc w:val="both"/>
      </w:pPr>
      <w:r>
        <w:rPr>
          <w:rFonts w:ascii="Times New Roman" w:hAnsi="Times New Roman" w:eastAsia="Times New Roman"/>
          <w:b w:val="0"/>
          <w:i w:val="0"/>
          <w:color w:val="000000"/>
          <w:sz w:val="24"/>
        </w:rPr>
        <w:t>Highly filled injectable resins are a later development. G-ænial Universal Injectable contains barium glass and silica at a filler load of 50 vol% in a dimethacrylate matrix (6,18,19). Beautifil Flow Plus X F00 is a zero-flow giomer injectable that incorporates nano-sized surface pre-reacted glass-ionomer (S-PRG) filler (19). It should not be confused with Beautifil Flow Plus F00, an earlier product that appears in several laboratory papers (6). The distinction matters when results are compared.</w:t>
      </w:r>
    </w:p>
    <w:p>
      <w:pPr>
        <w:spacing w:before="0" w:after="0" w:line="480" w:lineRule="auto"/>
        <w:ind w:firstLine="709"/>
        <w:jc w:val="both"/>
      </w:pPr>
      <w:r>
        <w:rPr>
          <w:rFonts w:ascii="Times New Roman" w:hAnsi="Times New Roman" w:eastAsia="Times New Roman"/>
          <w:b w:val="0"/>
          <w:i w:val="0"/>
          <w:color w:val="000000"/>
          <w:sz w:val="24"/>
        </w:rPr>
        <w:t>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(6). The finding is favourable to highly filled injectables, but the wear mode is two-body contact without toothpaste. It cannot be transferred to a toothbrushing assay.</w:t>
      </w:r>
    </w:p>
    <w:p>
      <w:pPr>
        <w:spacing w:before="0" w:after="0" w:line="480" w:lineRule="auto"/>
        <w:ind w:firstLine="709"/>
        <w:jc w:val="both"/>
      </w:pPr>
      <w:r>
        <w:rPr>
          <w:rFonts w:ascii="Times New Roman" w:hAnsi="Times New Roman" w:eastAsia="Times New Roman"/>
          <w:b w:val="0"/>
          <w:i w:val="0"/>
          <w:color w:val="000000"/>
          <w:sz w:val="24"/>
        </w:rPr>
        <w:t>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(18). That design is closer to the present study, although the nanohybrid control and the injectable giomer were not the products tested here.</w:t>
      </w:r>
    </w:p>
    <w:p>
      <w:pPr>
        <w:spacing w:before="0" w:after="0" w:line="480" w:lineRule="auto"/>
        <w:ind w:firstLine="709"/>
        <w:jc w:val="both"/>
      </w:pPr>
      <w:r>
        <w:rPr>
          <w:rFonts w:ascii="Times New Roman" w:hAnsi="Times New Roman" w:eastAsia="Times New Roman"/>
          <w:b w:val="0"/>
          <w:i w:val="0"/>
          <w:color w:val="000000"/>
          <w:sz w:val="24"/>
        </w:rPr>
        <w:t>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(20). Material-to-material scatter is the rule, and a toothbrushing comparison of Beautifil Flow Plus X F00 with Beautifil II LS was not among the studies they included.</w:t>
      </w:r>
    </w:p>
    <w:p>
      <w:pPr>
        <w:spacing w:before="240" w:after="120" w:line="480" w:lineRule="auto"/>
        <w:ind w:firstLine="0"/>
        <w:jc w:val="left"/>
      </w:pPr>
      <w:r>
        <w:rPr>
          <w:rFonts w:ascii="Times New Roman" w:hAnsi="Times New Roman" w:eastAsia="Times New Roman"/>
          <w:b/>
          <w:i w:val="0"/>
          <w:color w:val="000000"/>
          <w:sz w:val="26"/>
        </w:rPr>
        <w:t>2.4 Conventional nanohybrid resins and giomers</w:t>
      </w:r>
    </w:p>
    <w:p>
      <w:pPr>
        <w:spacing w:before="0" w:after="0" w:line="480" w:lineRule="auto"/>
        <w:ind w:firstLine="709"/>
        <w:jc w:val="both"/>
      </w:pPr>
      <w:r>
        <w:rPr>
          <w:rFonts w:ascii="Times New Roman" w:hAnsi="Times New Roman" w:eastAsia="Times New Roman"/>
          <w:b w:val="0"/>
          <w:i w:val="0"/>
          <w:color w:val="000000"/>
          <w:sz w:val="24"/>
        </w:rPr>
        <w:t>Nanohybrid composites combine nano-sized particles with larger submicron or micron fillers. The dual size distribution is intended to increase packing density, improve polishability and raise filler load, which commonly exceeds 70–80 wt% (11). Beautifil II LS belongs to this class. Its filler load is 68 vol%. The resin contains Bis-GMA, UDMA, Bis-EMA, PEGMA and TEGDMA, and the filler includes multifunctional glass and S-PRG particles (19).</w:t>
      </w:r>
    </w:p>
    <w:p>
      <w:pPr>
        <w:spacing w:before="0" w:after="0" w:line="480" w:lineRule="auto"/>
        <w:ind w:firstLine="709"/>
        <w:jc w:val="both"/>
      </w:pPr>
      <w:r>
        <w:rPr>
          <w:rFonts w:ascii="Times New Roman" w:hAnsi="Times New Roman" w:eastAsia="Times New Roman"/>
          <w:b w:val="0"/>
          <w:i w:val="0"/>
          <w:color w:val="000000"/>
          <w:sz w:val="24"/>
        </w:rPr>
        <w:t>S-PRG filler is a three-layered particle: a fluoro-boro-aluminosilicate glass core, a pre-reacted glass-ionomer hydrogel phase and an outer silica coating. It releases fluoride, strontium, borate, sodium, silicate and aluminium ions and can be recharged with fluoride (23). These ion-exchange properties are the basis of the giomer concept and are clinically attractive. They are not, however, a guarantee of surface stability. Yap and colleagues showed that chemical challenge can roughen composite surfaces by softening the matrix and exposing filler (21), and the same ion-exchange behaviour that buffers acid may leave a more irregular topography once the resin-rich layer has been brushed away. Larger and irregular fillers, once uncovered, produce a higher Ra than a uniform nanofilled injectable (18).</w:t>
      </w:r>
    </w:p>
    <w:p>
      <w:pPr>
        <w:spacing w:before="0" w:after="0" w:line="480" w:lineRule="auto"/>
        <w:ind w:firstLine="709"/>
        <w:jc w:val="both"/>
      </w:pPr>
      <w:r>
        <w:rPr>
          <w:rFonts w:ascii="Times New Roman" w:hAnsi="Times New Roman" w:eastAsia="Times New Roman"/>
          <w:b w:val="0"/>
          <w:i w:val="0"/>
          <w:color w:val="000000"/>
          <w:sz w:val="24"/>
        </w:rPr>
        <w:t>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(22). That series establishes that S-PRG pastes have been used as definitive restoratives for many years. It does not describe the toothbrush roughness of Beautifil II LS.</w:t>
      </w:r>
    </w:p>
    <w:p>
      <w:pPr>
        <w:spacing w:before="0" w:after="0" w:line="480" w:lineRule="auto"/>
        <w:ind w:firstLine="709"/>
        <w:jc w:val="both"/>
      </w:pPr>
      <w:r>
        <w:rPr>
          <w:rFonts w:ascii="Times New Roman" w:hAnsi="Times New Roman" w:eastAsia="Times New Roman"/>
          <w:b w:val="0"/>
          <w:i w:val="0"/>
          <w:color w:val="000000"/>
          <w:sz w:val="24"/>
        </w:rPr>
        <w:t>Packable nanohybrids remain the clinical reference for posterior direct work because of their handling familiarity and their documented wear record (11).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spacing w:before="240" w:after="120" w:line="480" w:lineRule="auto"/>
        <w:ind w:firstLine="0"/>
        <w:jc w:val="left"/>
      </w:pPr>
      <w:r>
        <w:rPr>
          <w:rFonts w:ascii="Times New Roman" w:hAnsi="Times New Roman" w:eastAsia="Times New Roman"/>
          <w:b/>
          <w:i w:val="0"/>
          <w:color w:val="000000"/>
          <w:sz w:val="26"/>
        </w:rPr>
        <w:t>2.5 Statement of the problem</w:t>
      </w:r>
    </w:p>
    <w:p>
      <w:pPr>
        <w:spacing w:before="0" w:after="0" w:line="480" w:lineRule="auto"/>
        <w:ind w:firstLine="709"/>
        <w:jc w:val="both"/>
      </w:pPr>
      <w:r>
        <w:rPr>
          <w:rFonts w:ascii="Times New Roman" w:hAnsi="Times New Roman" w:eastAsia="Times New Roman"/>
          <w:b w:val="0"/>
          <w:i w:val="0"/>
          <w:color w:val="000000"/>
          <w:sz w:val="24"/>
        </w:rPr>
        <w:t>Two-body wear of G-ænial Universal Injectable and Beautifil Flow Plus F00 is favourable in one recent laboratory study (6). Toothbrush roughness of G-ænial Universal Injectable is favourable against a different nanohybrid in another (18). Beautifil Flow Plus X F00 and Beautifil II LS have not been placed beside G-ænial Universal Injectable in a single protocol that records both gravimetric loss and Ra after 10 000 cycles at 2 N. That comparison is the subject of this thesis.</w:t>
      </w:r>
    </w:p>
    <w:p>
      <w:pPr>
        <w:spacing w:before="120" w:after="120" w:line="480" w:lineRule="auto"/>
        <w:ind w:firstLine="0"/>
        <w:jc w:val="center"/>
      </w:pPr>
      <w:r>
        <w:rPr>
          <w:rFonts w:ascii="Times New Roman" w:hAnsi="Times New Roman" w:eastAsia="Times New Roman"/>
          <w:b/>
          <w:i w:val="0"/>
          <w:color w:val="000000"/>
          <w:sz w:val="32"/>
        </w:rPr>
        <w:t>Chapter 3</w:t>
      </w:r>
    </w:p>
    <w:p>
      <w:pPr>
        <w:spacing w:before="120" w:after="120" w:line="480" w:lineRule="auto"/>
        <w:ind w:firstLine="0"/>
        <w:jc w:val="center"/>
      </w:pPr>
      <w:r>
        <w:rPr>
          <w:rFonts w:ascii="Times New Roman" w:hAnsi="Times New Roman" w:eastAsia="Times New Roman"/>
          <w:b/>
          <w:i w:val="0"/>
          <w:color w:val="000000"/>
          <w:sz w:val="32"/>
        </w:rPr>
        <w:t>Materials and methods</w:t>
      </w:r>
    </w:p>
    <w:p>
      <w:pPr>
        <w:spacing w:before="240" w:after="120" w:line="480" w:lineRule="auto"/>
        <w:ind w:firstLine="0"/>
        <w:jc w:val="left"/>
      </w:pPr>
      <w:r>
        <w:rPr>
          <w:rFonts w:ascii="Times New Roman" w:hAnsi="Times New Roman" w:eastAsia="Times New Roman"/>
          <w:b/>
          <w:i w:val="0"/>
          <w:color w:val="000000"/>
          <w:sz w:val="26"/>
        </w:rPr>
        <w:t>3.1 Study design and sample</w:t>
      </w:r>
    </w:p>
    <w:p>
      <w:pPr>
        <w:spacing w:before="0" w:after="0" w:line="480" w:lineRule="auto"/>
        <w:ind w:firstLine="709"/>
        <w:jc w:val="both"/>
      </w:pPr>
      <w:r>
        <w:rPr>
          <w:rFonts w:ascii="Times New Roman" w:hAnsi="Times New Roman" w:eastAsia="Times New Roman"/>
          <w:b w:val="0"/>
          <w:i w:val="0"/>
          <w:color w:val="000000"/>
          <w:sz w:val="24"/>
        </w:rPr>
        <w:t>The investigation was a comparative in-vitro study of three commercially available resin composites. Thirty-six disc-shaped specimens, 10 mm in diameter and 1 mm thick, were prepared in a CAD/CAM Teflon mould. The discs were allocated at random to three equal groups (n = 12) according to the restorative material. An initial sample-size calculation in G*Power had indicated ten specimens per group; twelve were prepared in order to increase the power of the subsequent comparisons.</w:t>
      </w:r>
    </w:p>
    <w:p>
      <w:pPr>
        <w:spacing w:before="240" w:after="120" w:line="480" w:lineRule="auto"/>
        <w:ind w:firstLine="0"/>
        <w:jc w:val="left"/>
      </w:pPr>
      <w:r>
        <w:rPr>
          <w:rFonts w:ascii="Times New Roman" w:hAnsi="Times New Roman" w:eastAsia="Times New Roman"/>
          <w:b/>
          <w:i w:val="0"/>
          <w:color w:val="000000"/>
          <w:sz w:val="26"/>
        </w:rPr>
        <w:t>3.2 Materials</w:t>
      </w:r>
    </w:p>
    <w:p>
      <w:pPr>
        <w:spacing w:before="0" w:after="0" w:line="480" w:lineRule="auto"/>
        <w:ind w:firstLine="709"/>
        <w:jc w:val="both"/>
      </w:pPr>
      <w:r>
        <w:rPr>
          <w:rFonts w:ascii="Times New Roman" w:hAnsi="Times New Roman" w:eastAsia="Times New Roman"/>
          <w:b w:val="0"/>
          <w:i w:val="0"/>
          <w:color w:val="000000"/>
          <w:sz w:val="24"/>
        </w:rPr>
        <w:t>The materials used were:</w:t>
      </w:r>
    </w:p>
    <w:p>
      <w:pPr>
        <w:spacing w:before="0" w:after="0" w:line="480" w:lineRule="auto"/>
        <w:ind w:firstLine="0"/>
        <w:jc w:val="both"/>
      </w:pPr>
      <w:r>
        <w:rPr>
          <w:rFonts w:ascii="Times New Roman" w:hAnsi="Times New Roman" w:eastAsia="Times New Roman"/>
          <w:b w:val="0"/>
          <w:i w:val="0"/>
          <w:color w:val="000000"/>
          <w:sz w:val="24"/>
        </w:rPr>
        <w:t>1. G-ænial Universal Injectable — highly filled nanofilled injectable composite (GC Corporation, Tokyo, Japan).</w:t>
      </w:r>
    </w:p>
    <w:p>
      <w:pPr>
        <w:spacing w:before="0" w:after="0" w:line="480" w:lineRule="auto"/>
        <w:ind w:firstLine="0"/>
        <w:jc w:val="both"/>
      </w:pPr>
      <w:r>
        <w:rPr>
          <w:rFonts w:ascii="Times New Roman" w:hAnsi="Times New Roman" w:eastAsia="Times New Roman"/>
          <w:b w:val="0"/>
          <w:i w:val="0"/>
          <w:color w:val="000000"/>
          <w:sz w:val="24"/>
        </w:rPr>
        <w:t>2. Beautifil Flow Plus X F00 — highly filled injectable giomer of zero-flow consistency (Shofu Inc., Kyoto, Japan).</w:t>
      </w:r>
    </w:p>
    <w:p>
      <w:pPr>
        <w:spacing w:before="0" w:after="0" w:line="480" w:lineRule="auto"/>
        <w:ind w:firstLine="0"/>
        <w:jc w:val="both"/>
      </w:pPr>
      <w:r>
        <w:rPr>
          <w:rFonts w:ascii="Times New Roman" w:hAnsi="Times New Roman" w:eastAsia="Times New Roman"/>
          <w:b w:val="0"/>
          <w:i w:val="0"/>
          <w:color w:val="000000"/>
          <w:sz w:val="24"/>
        </w:rPr>
        <w:t>3. Beautifil II LS — conventional low-shrinkage nanohybrid giomer (Shofu Inc., Kyoto, Japan).</w:t>
      </w:r>
    </w:p>
    <w:p>
      <w:pPr>
        <w:spacing w:before="0" w:after="0" w:line="480" w:lineRule="auto"/>
        <w:ind w:firstLine="0"/>
        <w:jc w:val="both"/>
      </w:pPr>
      <w:r>
        <w:rPr>
          <w:rFonts w:ascii="Times New Roman" w:hAnsi="Times New Roman" w:eastAsia="Times New Roman"/>
          <w:b w:val="0"/>
          <w:i w:val="0"/>
          <w:color w:val="000000"/>
          <w:sz w:val="24"/>
        </w:rPr>
        <w:t>4. Colgate Total toothpaste.</w:t>
      </w:r>
    </w:p>
    <w:p>
      <w:pPr>
        <w:spacing w:before="0" w:after="0" w:line="480" w:lineRule="auto"/>
        <w:ind w:firstLine="0"/>
        <w:jc w:val="both"/>
      </w:pPr>
      <w:r>
        <w:rPr>
          <w:rFonts w:ascii="Times New Roman" w:hAnsi="Times New Roman" w:eastAsia="Times New Roman"/>
          <w:b w:val="0"/>
          <w:i w:val="0"/>
          <w:color w:val="000000"/>
          <w:sz w:val="24"/>
        </w:rPr>
        <w:t>5. Distilled water.</w:t>
      </w:r>
    </w:p>
    <w:p>
      <w:pPr>
        <w:spacing w:before="0" w:after="0" w:line="480" w:lineRule="auto"/>
        <w:ind w:firstLine="709"/>
        <w:jc w:val="both"/>
      </w:pPr>
      <w:r>
        <w:rPr>
          <w:rFonts w:ascii="Times New Roman" w:hAnsi="Times New Roman" w:eastAsia="Times New Roman"/>
          <w:b w:val="0"/>
          <w:i w:val="0"/>
          <w:color w:val="000000"/>
          <w:sz w:val="24"/>
        </w:rPr>
        <w:t>The composition of the three resins, as stated by the manufacturers, is summarised in Table 3.1.</w:t>
      </w:r>
    </w:p>
    <w:p>
      <w:pPr>
        <w:spacing w:before="0" w:after="0" w:line="480" w:lineRule="auto"/>
        <w:ind w:firstLine="709"/>
        <w:jc w:val="both"/>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manufacturer, matrix, filler and load of the resin composites</w:t>
      </w:r>
    </w:p>
    <w:tbl>
      <w:tblPr>
        <w:tblW w:type="auto" w:w="0"/>
        <w:jc w:val="center"/>
        <w:tblLayout w:type="autofit"/>
        <w:tblLook w:firstColumn="1" w:firstRow="1" w:lastColumn="0" w:lastRow="0" w:noHBand="0" w:noVBand="1" w:val="04A0"/>
      </w:tblPr>
      <w:tblGrid>
        <w:gridCol w:w="1559"/>
        <w:gridCol w:w="1559"/>
        <w:gridCol w:w="1559"/>
        <w:gridCol w:w="1559"/>
        <w:gridCol w:w="1559"/>
        <w:gridCol w:w="1559"/>
      </w:tblGrid>
      <w:tr>
        <w:tc>
          <w:tcPr>
            <w:tcW w:type="dxa" w:w="1559"/>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w:t>
            </w:r>
          </w:p>
        </w:tc>
        <w:tc>
          <w:tcPr>
            <w:tcW w:type="dxa" w:w="1559"/>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Type</w:t>
            </w:r>
          </w:p>
        </w:tc>
        <w:tc>
          <w:tcPr>
            <w:tcW w:type="dxa" w:w="1559"/>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Matrix</w:t>
            </w:r>
          </w:p>
        </w:tc>
        <w:tc>
          <w:tcPr>
            <w:tcW w:type="dxa" w:w="1559"/>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Filler</w:t>
            </w:r>
          </w:p>
        </w:tc>
        <w:tc>
          <w:tcPr>
            <w:tcW w:type="dxa" w:w="1559"/>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Load</w:t>
            </w:r>
          </w:p>
        </w:tc>
        <w:tc>
          <w:tcPr>
            <w:tcW w:type="dxa" w:w="1559"/>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Manufacturer</w:t>
            </w:r>
          </w:p>
        </w:tc>
      </w:tr>
      <w:tr>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 (A2)</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injectable</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Dimethacrylate monomers</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Barium glass, silica</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50 vol%</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GC, Tokyo</w:t>
            </w:r>
          </w:p>
        </w:tc>
      </w:tr>
      <w:tr>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 (A2)</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injectable giomer</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Bis-GMA, TEGDMA</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Multifunctional glass and S-PRG filler</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47 vol%</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Shofu, Kyoto</w:t>
            </w:r>
          </w:p>
        </w:tc>
      </w:tr>
      <w:tr>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 (A2)</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conventional giomer</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Bis-GMA, UDMA, Bis-EMA, PEGMA, TEGDMA</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Multifunctional glass and S-PRG filler</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68 vol%</w:t>
            </w:r>
          </w:p>
        </w:tc>
        <w:tc>
          <w:tcPr>
            <w:tcW w:type="dxa" w:w="1559"/>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Shofu, Kyoto</w:t>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Colgate Total was selected as the dentifrice because it is a widely used daily paste of moderate abrasivity and because it has been employed as the low-RDA reference paste in previous toothbrushing studies of resin composites (25).</w:t>
      </w:r>
    </w:p>
    <w:p>
      <w:pPr>
        <w:spacing w:before="240" w:after="120" w:line="480" w:lineRule="auto"/>
        <w:ind w:firstLine="0"/>
        <w:jc w:val="left"/>
      </w:pPr>
      <w:r>
        <w:rPr>
          <w:rFonts w:ascii="Times New Roman" w:hAnsi="Times New Roman" w:eastAsia="Times New Roman"/>
          <w:b/>
          <w:i w:val="0"/>
          <w:color w:val="000000"/>
          <w:sz w:val="26"/>
        </w:rPr>
        <w:t>3.3 Specimen preparation</w:t>
      </w:r>
    </w:p>
    <w:p>
      <w:pPr>
        <w:spacing w:before="0" w:after="0" w:line="480" w:lineRule="auto"/>
        <w:ind w:firstLine="709"/>
        <w:jc w:val="both"/>
      </w:pPr>
      <w:r>
        <w:rPr>
          <w:rFonts w:ascii="Times New Roman" w:hAnsi="Times New Roman" w:eastAsia="Times New Roman"/>
          <w:b w:val="0"/>
          <w:i w:val="0"/>
          <w:color w:val="000000"/>
          <w:sz w:val="24"/>
        </w:rPr>
        <w:t>Each material was placed in the Teflon mould as a single increment. A Mylar strip and a transparent glass slide were applied to exclude air from the test face and to produce a flat surface of uniform thickness. Polymerisation was carried out with an LED curing unit (MiniS, Woodpecker, Guilin, China) for 20 seconds at 800 mW/cm², with the tip in contact with the glass slide, followed by three additional 20-second exposures from different directions to ensure complete polymerisation. Flash was removed with a no. 12 scalpel blade. The discs were identified by group and stored in distilled water at 37 °C for 24 hours before the baseline measurements were made.</w:t>
      </w:r>
    </w:p>
    <w:p>
      <w:pPr>
        <w:spacing w:before="240" w:after="120" w:line="480" w:lineRule="auto"/>
        <w:ind w:firstLine="0"/>
        <w:jc w:val="left"/>
      </w:pPr>
      <w:r>
        <w:rPr>
          <w:rFonts w:ascii="Times New Roman" w:hAnsi="Times New Roman" w:eastAsia="Times New Roman"/>
          <w:b/>
          <w:i w:val="0"/>
          <w:color w:val="000000"/>
          <w:sz w:val="26"/>
        </w:rPr>
        <w:t>3.4 Baseline measurements</w:t>
      </w:r>
    </w:p>
    <w:p>
      <w:pPr>
        <w:spacing w:before="0" w:after="0" w:line="480" w:lineRule="auto"/>
        <w:ind w:firstLine="709"/>
        <w:jc w:val="both"/>
      </w:pPr>
      <w:r>
        <w:rPr>
          <w:rFonts w:ascii="Times New Roman" w:hAnsi="Times New Roman" w:eastAsia="Times New Roman"/>
          <w:b w:val="0"/>
          <w:i w:val="0"/>
          <w:color w:val="000000"/>
          <w:sz w:val="24"/>
        </w:rPr>
        <w:t>Each disc was dried and weighed on an electronic analytical balance (RADWAG Wagi Elektroniczne AS 220-R2), which records to 0.0001 g. Surface roughness was measured on the test face with a contact profilometer (MarSurf PS10, Mahr). Five traces were taken at random sites on each disc; the value entered for analysis was the mean of those traces. Ra was determined according to the definition in ISO 4287 (16).</w:t>
      </w:r>
    </w:p>
    <w:p>
      <w:pPr>
        <w:spacing w:before="240" w:after="120" w:line="480" w:lineRule="auto"/>
        <w:ind w:firstLine="0"/>
        <w:jc w:val="left"/>
      </w:pPr>
      <w:r>
        <w:rPr>
          <w:rFonts w:ascii="Times New Roman" w:hAnsi="Times New Roman" w:eastAsia="Times New Roman"/>
          <w:b/>
          <w:i w:val="0"/>
          <w:color w:val="000000"/>
          <w:sz w:val="26"/>
        </w:rPr>
        <w:t>3.5 Toothbrushing protocol</w:t>
      </w:r>
    </w:p>
    <w:p>
      <w:pPr>
        <w:spacing w:before="0" w:after="0" w:line="480" w:lineRule="auto"/>
        <w:ind w:firstLine="709"/>
        <w:jc w:val="both"/>
      </w:pPr>
      <w:r>
        <w:rPr>
          <w:rFonts w:ascii="Times New Roman" w:hAnsi="Times New Roman" w:eastAsia="Times New Roman"/>
          <w:b w:val="0"/>
          <w:i w:val="0"/>
          <w:color w:val="000000"/>
          <w:sz w:val="24"/>
        </w:rPr>
        <w:t>The discs were mounted in a custom toothbrushing simulator (Dental Biomaterials Department, Faculty of Dentistry, Alexandria University). A slurry of Colgate Total (relative dentine abrasivity 70) and distilled water was prepared at 250 g of toothpaste per litre of water, in accordance with ISO 11609 and ISO/TR 14569-1 (3,14). The brush load was set at 2 N, which lies within the ISO range of 0.5–2.5 N (3). Each disc received 10 000 cycles. That count is the conventional laboratory equivalent of one year of twice-daily brushing, following the estimate of Sexson and Phillips (7,8). The slurry was replaced every 5 000 cycles. At the end of the run the discs were rinsed with a stream of water and dried.</w:t>
      </w:r>
    </w:p>
    <w:p>
      <w:pPr>
        <w:spacing w:before="240" w:after="120" w:line="480" w:lineRule="auto"/>
        <w:ind w:firstLine="0"/>
        <w:jc w:val="left"/>
      </w:pPr>
      <w:r>
        <w:rPr>
          <w:rFonts w:ascii="Times New Roman" w:hAnsi="Times New Roman" w:eastAsia="Times New Roman"/>
          <w:b/>
          <w:i w:val="0"/>
          <w:color w:val="000000"/>
          <w:sz w:val="26"/>
        </w:rPr>
        <w:t>3.6 Post-test measurements and calculations</w:t>
      </w:r>
    </w:p>
    <w:p>
      <w:pPr>
        <w:spacing w:before="0" w:after="0" w:line="480" w:lineRule="auto"/>
        <w:ind w:firstLine="709"/>
        <w:jc w:val="both"/>
      </w:pPr>
      <w:r>
        <w:rPr>
          <w:rFonts w:ascii="Times New Roman" w:hAnsi="Times New Roman" w:eastAsia="Times New Roman"/>
          <w:b w:val="0"/>
          <w:i w:val="0"/>
          <w:color w:val="000000"/>
          <w:sz w:val="24"/>
        </w:rPr>
        <w:t>Mass and Ra were recorded again with the same instruments and the same drying procedure as at baseline.</w:t>
      </w:r>
    </w:p>
    <w:p>
      <w:pPr>
        <w:spacing w:before="0" w:after="0" w:line="480" w:lineRule="auto"/>
        <w:ind w:firstLine="709"/>
        <w:jc w:val="both"/>
      </w:pPr>
      <w:r>
        <w:rPr>
          <w:rFonts w:ascii="Times New Roman" w:hAnsi="Times New Roman" w:eastAsia="Times New Roman"/>
          <w:b w:val="0"/>
          <w:i w:val="0"/>
          <w:color w:val="000000"/>
          <w:sz w:val="24"/>
        </w:rPr>
        <w:t>Percentage weight loss was calculated for each disc as</w:t>
      </w:r>
    </w:p>
    <w:p>
      <w:pPr>
        <w:spacing w:before="0" w:after="0" w:line="480" w:lineRule="auto"/>
        <w:ind w:firstLine="709"/>
        <w:jc w:val="both"/>
      </w:pPr>
      <w:r>
        <w:rPr>
          <w:rFonts w:ascii="Times New Roman" w:hAnsi="Times New Roman" w:eastAsia="Times New Roman"/>
          <w:b w:val="0"/>
          <w:i w:val="0"/>
          <w:color w:val="000000"/>
          <w:sz w:val="24"/>
        </w:rPr>
        <w:t>[(W₁ − W₂) / W₁] × 100</w:t>
      </w:r>
    </w:p>
    <w:p>
      <w:pPr>
        <w:spacing w:before="0" w:after="0" w:line="480" w:lineRule="auto"/>
        <w:ind w:firstLine="709"/>
        <w:jc w:val="both"/>
      </w:pPr>
      <w:r>
        <w:rPr>
          <w:rFonts w:ascii="Times New Roman" w:hAnsi="Times New Roman" w:eastAsia="Times New Roman"/>
          <w:b w:val="0"/>
          <w:i w:val="0"/>
          <w:color w:val="000000"/>
          <w:sz w:val="24"/>
        </w:rPr>
        <w:t>where W₁ and W₂ are the masses before and after brushing. The group value reported in Table 4.1 is the mean of these per-disc ratios, not the ratio of the group-mean masses. The distinction is material in a group that contains an outlier.</w:t>
      </w:r>
    </w:p>
    <w:p>
      <w:pPr>
        <w:spacing w:before="0" w:after="0" w:line="480" w:lineRule="auto"/>
        <w:ind w:firstLine="709"/>
        <w:jc w:val="both"/>
      </w:pPr>
      <w:r>
        <w:rPr>
          <w:rFonts w:ascii="Times New Roman" w:hAnsi="Times New Roman" w:eastAsia="Times New Roman"/>
          <w:b w:val="0"/>
          <w:i w:val="0"/>
          <w:color w:val="000000"/>
          <w:sz w:val="24"/>
        </w:rPr>
        <w:t>Absolute loss in milligrams was calculated as (W₁ − W₂) × 1000.</w:t>
      </w:r>
    </w:p>
    <w:p>
      <w:pPr>
        <w:spacing w:before="0" w:after="0" w:line="480" w:lineRule="auto"/>
        <w:ind w:firstLine="709"/>
        <w:jc w:val="both"/>
      </w:pPr>
      <w:r>
        <w:rPr>
          <w:rFonts w:ascii="Times New Roman" w:hAnsi="Times New Roman" w:eastAsia="Times New Roman"/>
          <w:b w:val="0"/>
          <w:i w:val="0"/>
          <w:color w:val="000000"/>
          <w:sz w:val="24"/>
        </w:rPr>
        <w:t>The change in roughness was calculated for each disc as</w:t>
      </w:r>
    </w:p>
    <w:p>
      <w:pPr>
        <w:spacing w:before="0" w:after="0" w:line="480" w:lineRule="auto"/>
        <w:ind w:firstLine="709"/>
        <w:jc w:val="both"/>
      </w:pPr>
      <w:r>
        <w:rPr>
          <w:rFonts w:ascii="Times New Roman" w:hAnsi="Times New Roman" w:eastAsia="Times New Roman"/>
          <w:b w:val="0"/>
          <w:i w:val="0"/>
          <w:color w:val="000000"/>
          <w:sz w:val="24"/>
        </w:rPr>
        <w:t>ΔRa (µm) = Ra after − Ra before.</w:t>
      </w:r>
    </w:p>
    <w:p>
      <w:pPr>
        <w:spacing w:before="240" w:after="120" w:line="480" w:lineRule="auto"/>
        <w:ind w:firstLine="0"/>
        <w:jc w:val="left"/>
      </w:pPr>
      <w:r>
        <w:rPr>
          <w:rFonts w:ascii="Times New Roman" w:hAnsi="Times New Roman" w:eastAsia="Times New Roman"/>
          <w:b/>
          <w:i w:val="0"/>
          <w:color w:val="000000"/>
          <w:sz w:val="26"/>
        </w:rPr>
        <w:t>3.7 Statistical analysis</w:t>
      </w:r>
    </w:p>
    <w:p>
      <w:pPr>
        <w:spacing w:before="0" w:after="0" w:line="480" w:lineRule="auto"/>
        <w:ind w:firstLine="709"/>
        <w:jc w:val="both"/>
      </w:pPr>
      <w:r>
        <w:rPr>
          <w:rFonts w:ascii="Times New Roman" w:hAnsi="Times New Roman" w:eastAsia="Times New Roman"/>
          <w:b w:val="0"/>
          <w:i w:val="0"/>
          <w:color w:val="000000"/>
          <w:sz w:val="24"/>
        </w:rPr>
        <w:t>Descriptive statistics are presented as mean ± standard deviation. Percentage weight loss was compared among the three groups by one-way analysis of variance. Ra after brushing was compared by the Kruskal–Wallis test, with pairwise post-hoc comparisons between groups. The choice of a parametric test for weight loss and a non-parametric test for roughness follows the distributions of the two outcomes in the experimental spreadsheet. The level of significance was set at α = 0.05.</w:t>
      </w:r>
    </w:p>
    <w:p>
      <w:pPr>
        <w:spacing w:before="120" w:after="120" w:line="480" w:lineRule="auto"/>
        <w:ind w:firstLine="0"/>
        <w:jc w:val="center"/>
      </w:pPr>
      <w:r>
        <w:rPr>
          <w:rFonts w:ascii="Times New Roman" w:hAnsi="Times New Roman" w:eastAsia="Times New Roman"/>
          <w:b/>
          <w:i w:val="0"/>
          <w:color w:val="000000"/>
          <w:sz w:val="32"/>
        </w:rPr>
        <w:t>Chapter 4</w:t>
      </w:r>
    </w:p>
    <w:p>
      <w:pPr>
        <w:spacing w:before="120" w:after="120" w:line="480" w:lineRule="auto"/>
        <w:ind w:firstLine="0"/>
        <w:jc w:val="center"/>
      </w:pPr>
      <w:r>
        <w:rPr>
          <w:rFonts w:ascii="Times New Roman" w:hAnsi="Times New Roman" w:eastAsia="Times New Roman"/>
          <w:b/>
          <w:i w:val="0"/>
          <w:color w:val="000000"/>
          <w:sz w:val="32"/>
        </w:rPr>
        <w:t>Results</w:t>
      </w:r>
    </w:p>
    <w:p>
      <w:pPr>
        <w:spacing w:before="0" w:after="0" w:line="480" w:lineRule="auto"/>
        <w:ind w:firstLine="709"/>
        <w:jc w:val="both"/>
      </w:pPr>
      <w:r>
        <w:rPr>
          <w:rFonts w:ascii="Times New Roman" w:hAnsi="Times New Roman" w:eastAsia="Times New Roman"/>
          <w:b w:val="0"/>
          <w:i w:val="0"/>
          <w:color w:val="000000"/>
          <w:sz w:val="24"/>
        </w:rPr>
        <w:t>Thirty-six discs were tested, twelve in each group. All discs completed 10 000 cycles at 2 N. Wear is reported as mass; roughness is reported as Ra.</w:t>
      </w:r>
    </w:p>
    <w:p>
      <w:pPr>
        <w:spacing w:before="240" w:after="120" w:line="480" w:lineRule="auto"/>
        <w:ind w:firstLine="0"/>
        <w:jc w:val="left"/>
      </w:pPr>
      <w:r>
        <w:rPr>
          <w:rFonts w:ascii="Times New Roman" w:hAnsi="Times New Roman" w:eastAsia="Times New Roman"/>
          <w:b/>
          <w:i w:val="0"/>
          <w:color w:val="000000"/>
          <w:sz w:val="26"/>
        </w:rPr>
        <w:t>4.1 Weight loss</w:t>
      </w:r>
    </w:p>
    <w:p>
      <w:pPr>
        <w:spacing w:before="0" w:after="0" w:line="480" w:lineRule="auto"/>
        <w:ind w:firstLine="709"/>
        <w:jc w:val="both"/>
      </w:pPr>
      <w:r>
        <w:rPr>
          <w:rFonts w:ascii="Times New Roman" w:hAnsi="Times New Roman" w:eastAsia="Times New Roman"/>
          <w:b w:val="0"/>
          <w:i w:val="0"/>
          <w:color w:val="000000"/>
          <w:sz w:val="24"/>
        </w:rPr>
        <w:t>Mean mass before and after brushing, and percentage loss, are given in Table 4.1 and illustrated in Figure 4.1.</w:t>
      </w:r>
    </w:p>
    <w:p>
      <w:pPr>
        <w:spacing w:before="0" w:after="0" w:line="480" w:lineRule="auto"/>
        <w:ind w:firstLine="709"/>
        <w:jc w:val="both"/>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871"/>
        <w:gridCol w:w="1871"/>
        <w:gridCol w:w="1871"/>
        <w:gridCol w:w="1871"/>
        <w:gridCol w:w="1871"/>
      </w:tblGrid>
      <w:tr>
        <w:tc>
          <w:tcPr>
            <w:tcW w:type="dxa" w:w="1871"/>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1871"/>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before (g) Mean ± SD</w:t>
            </w:r>
          </w:p>
        </w:tc>
        <w:tc>
          <w:tcPr>
            <w:tcW w:type="dxa" w:w="1871"/>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after (g) Mean ± SD</w:t>
            </w:r>
          </w:p>
        </w:tc>
        <w:tc>
          <w:tcPr>
            <w:tcW w:type="dxa" w:w="1871"/>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loss (%) Mean ± SD</w:t>
            </w:r>
          </w:p>
        </w:tc>
        <w:tc>
          <w:tcPr>
            <w:tcW w:type="dxa" w:w="1871"/>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p-value</w:t>
            </w:r>
          </w:p>
        </w:tc>
      </w:tr>
      <w:tr>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0.1602 ± 0.0074</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0.1576 ± 0.0031</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1.49 ± 3.14</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r>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0.1630 ± 0.0102</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0.1619 ± 0.0106</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0.65 ± 0.37</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0.329†</w:t>
            </w:r>
          </w:p>
        </w:tc>
      </w:tr>
      <w:tr>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0.2313 ± 0.0154</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0.2303 ± 0.0156</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0.41 ± 0.25</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 One-way ANOVA. Values are mean ± standard deviation.</w:t>
      </w:r>
    </w:p>
    <w:p>
      <w:pPr>
        <w:spacing w:before="120" w:after="120" w:line="480" w:lineRule="auto"/>
        <w:ind w:firstLine="0"/>
        <w:jc w:val="center"/>
      </w:pPr>
      <w:r>
        <w:drawing>
          <wp:inline xmlns:a="http://schemas.openxmlformats.org/drawingml/2006/main" xmlns:pic="http://schemas.openxmlformats.org/drawingml/2006/picture">
            <wp:extent cx="5212080" cy="3628734"/>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1"/>
                    <a:stretch>
                      <a:fillRect/>
                    </a:stretch>
                  </pic:blipFill>
                  <pic:spPr>
                    <a:xfrm>
                      <a:off x="0" y="0"/>
                      <a:ext cx="5212080" cy="3628734"/>
                    </a:xfrm>
                    <a:prstGeom prst="rect"/>
                  </pic:spPr>
                </pic:pic>
              </a:graphicData>
            </a:graphic>
          </wp:inline>
        </w:drawing>
      </w:r>
    </w:p>
    <w:p>
      <w:pPr>
        <w:spacing w:before="0" w:after="0" w:line="480" w:lineRule="auto"/>
        <w:ind w:firstLine="709"/>
        <w:jc w:val="both"/>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spacing w:before="0" w:after="0" w:line="480" w:lineRule="auto"/>
        <w:ind w:firstLine="709"/>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This follows from filler load and density, not from a difference in disc size.</w:t>
      </w:r>
    </w:p>
    <w:p>
      <w:pPr>
        <w:spacing w:before="0" w:after="0" w:line="480" w:lineRule="auto"/>
        <w:ind w:firstLine="709"/>
        <w:jc w:val="both"/>
      </w:pPr>
      <w:r>
        <w:rPr>
          <w:rFonts w:ascii="Times New Roman" w:hAnsi="Times New Roman" w:eastAsia="Times New Roman"/>
          <w:b w:val="0"/>
          <w:i w:val="0"/>
          <w:color w:val="000000"/>
          <w:sz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spacing w:before="0" w:after="0" w:line="480" w:lineRule="auto"/>
        <w:ind w:firstLine="709"/>
        <w:jc w:val="both"/>
      </w:pPr>
      <w:r>
        <w:rPr>
          <w:rFonts w:ascii="Times New Roman" w:hAnsi="Times New Roman" w:eastAsia="Times New Roman"/>
          <w:b w:val="0"/>
          <w:i w:val="0"/>
          <w:color w:val="000000"/>
          <w:sz w:val="24"/>
        </w:rPr>
        <w:t>Absolute loss is set out in Table 4.2 because percentage loss on a lighter disc can exaggerate a small mass change, and because the outlying specimen is easier to see in milligrams.</w:t>
      </w:r>
    </w:p>
    <w:p>
      <w:pPr>
        <w:spacing w:before="0" w:after="0" w:line="480" w:lineRule="auto"/>
        <w:ind w:firstLine="709"/>
        <w:jc w:val="both"/>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3118"/>
        <w:gridCol w:w="3118"/>
        <w:gridCol w:w="3118"/>
      </w:tblGrid>
      <w:tr>
        <w:tc>
          <w:tcPr>
            <w:tcW w:type="dxa" w:w="3118"/>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3118"/>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Absolute weight loss (mg) Mean ± SD</w:t>
            </w:r>
          </w:p>
        </w:tc>
        <w:tc>
          <w:tcPr>
            <w:tcW w:type="dxa" w:w="3118"/>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Range (mg)</w:t>
            </w:r>
          </w:p>
        </w:tc>
      </w:tr>
      <w:tr>
        <w:tc>
          <w:tcPr>
            <w:tcW w:type="dxa" w:w="3118"/>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3118"/>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2.58 ± 5.91</w:t>
            </w:r>
          </w:p>
        </w:tc>
        <w:tc>
          <w:tcPr>
            <w:tcW w:type="dxa" w:w="3118"/>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 – 20.7</w:t>
            </w:r>
          </w:p>
        </w:tc>
      </w:tr>
      <w:tr>
        <w:tc>
          <w:tcPr>
            <w:tcW w:type="dxa" w:w="3118"/>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3118"/>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1.07 ± 0.62</w:t>
            </w:r>
          </w:p>
        </w:tc>
        <w:tc>
          <w:tcPr>
            <w:tcW w:type="dxa" w:w="3118"/>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 – 1.9</w:t>
            </w:r>
          </w:p>
        </w:tc>
      </w:tr>
      <w:tr>
        <w:tc>
          <w:tcPr>
            <w:tcW w:type="dxa" w:w="3118"/>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3118"/>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0.95 ± 0.58</w:t>
            </w:r>
          </w:p>
        </w:tc>
        <w:tc>
          <w:tcPr>
            <w:tcW w:type="dxa" w:w="3118"/>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 – 1.8</w:t>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spacing w:before="0" w:after="0" w:line="480" w:lineRule="auto"/>
        <w:ind w:firstLine="709"/>
        <w:jc w:val="both"/>
      </w:pPr>
      <w:r>
        <w:rPr>
          <w:rFonts w:ascii="Times New Roman" w:hAnsi="Times New Roman" w:eastAsia="Times New Roman"/>
          <w:b w:val="0"/>
          <w:i w:val="0"/>
          <w:color w:val="000000"/>
          <w:sz w:val="24"/>
        </w:rPr>
        <w:t>The standard deviation of Beautifil Flow Plus X F00 mass fell from 7.4 mg before brushing to 3.1 mg after brushing. This is consistent with the heaviest disc in that group shedding 20.7 mg and landing near the group mean.</w:t>
      </w:r>
    </w:p>
    <w:p>
      <w:pPr>
        <w:spacing w:before="240" w:after="120" w:line="480" w:lineRule="auto"/>
        <w:ind w:firstLine="0"/>
        <w:jc w:val="left"/>
      </w:pPr>
      <w:r>
        <w:rPr>
          <w:rFonts w:ascii="Times New Roman" w:hAnsi="Times New Roman" w:eastAsia="Times New Roman"/>
          <w:b/>
          <w:i w:val="0"/>
          <w:color w:val="000000"/>
          <w:sz w:val="26"/>
        </w:rPr>
        <w:t>4.2 Surface roughness</w:t>
      </w:r>
    </w:p>
    <w:p>
      <w:pPr>
        <w:spacing w:before="0" w:after="0" w:line="480" w:lineRule="auto"/>
        <w:ind w:firstLine="709"/>
        <w:jc w:val="both"/>
      </w:pPr>
      <w:r>
        <w:rPr>
          <w:rFonts w:ascii="Times New Roman" w:hAnsi="Times New Roman" w:eastAsia="Times New Roman"/>
          <w:b w:val="0"/>
          <w:i w:val="0"/>
          <w:color w:val="000000"/>
          <w:sz w:val="24"/>
        </w:rPr>
        <w:t>Mean Ra before and after brushing, and ΔRa, are given in Table 4.3 and illustrated in Figures 4.2 and 4.3.</w:t>
      </w:r>
    </w:p>
    <w:p>
      <w:pPr>
        <w:spacing w:before="0" w:after="0" w:line="480" w:lineRule="auto"/>
        <w:ind w:firstLine="709"/>
        <w:jc w:val="both"/>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871"/>
        <w:gridCol w:w="1871"/>
        <w:gridCol w:w="1871"/>
        <w:gridCol w:w="1871"/>
        <w:gridCol w:w="1871"/>
      </w:tblGrid>
      <w:tr>
        <w:tc>
          <w:tcPr>
            <w:tcW w:type="dxa" w:w="1871"/>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1871"/>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 before (µm) Mean ± SD</w:t>
            </w:r>
          </w:p>
        </w:tc>
        <w:tc>
          <w:tcPr>
            <w:tcW w:type="dxa" w:w="1871"/>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 after (µm) Mean ± SD</w:t>
            </w:r>
          </w:p>
        </w:tc>
        <w:tc>
          <w:tcPr>
            <w:tcW w:type="dxa" w:w="1871"/>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ΔRa (µm) Mean ± SD</w:t>
            </w:r>
          </w:p>
        </w:tc>
        <w:tc>
          <w:tcPr>
            <w:tcW w:type="dxa" w:w="1871"/>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p-value</w:t>
            </w:r>
          </w:p>
        </w:tc>
      </w:tr>
      <w:tr>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0.038 ± 0.011</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0.104 ± 0.017</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0.066 ± 0.021</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r>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0.054 ± 0.010</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0.100 ± 0.023</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0.046 ± 0.023</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&lt; 0.001‡</w:t>
            </w:r>
          </w:p>
        </w:tc>
      </w:tr>
      <w:tr>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0.119 ± 0.054</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0.194 ± 0.050</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0.075 ± 0.066</w:t>
            </w:r>
          </w:p>
        </w:tc>
        <w:tc>
          <w:tcPr>
            <w:tcW w:type="dxa" w:w="1871"/>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 Kruskal–Wallis test. Pairwise comparisons: each injectable versus Beautifil II LS, p &lt; 0.001; the two injectables, not significant. Values are mean ± standard deviation.</w:t>
      </w:r>
    </w:p>
    <w:p>
      <w:pPr>
        <w:spacing w:before="120" w:after="120" w:line="480" w:lineRule="auto"/>
        <w:ind w:firstLine="0"/>
        <w:jc w:val="center"/>
      </w:pPr>
      <w:r>
        <w:drawing>
          <wp:inline xmlns:a="http://schemas.openxmlformats.org/drawingml/2006/main" xmlns:pic="http://schemas.openxmlformats.org/drawingml/2006/picture">
            <wp:extent cx="5212080" cy="3281774"/>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2"/>
                    <a:stretch>
                      <a:fillRect/>
                    </a:stretch>
                  </pic:blipFill>
                  <pic:spPr>
                    <a:xfrm>
                      <a:off x="0" y="0"/>
                      <a:ext cx="5212080" cy="3281774"/>
                    </a:xfrm>
                    <a:prstGeom prst="rect"/>
                  </pic:spPr>
                </pic:pic>
              </a:graphicData>
            </a:graphic>
          </wp:inline>
        </w:drawing>
      </w:r>
    </w:p>
    <w:p>
      <w:pPr>
        <w:spacing w:before="0" w:after="0" w:line="480" w:lineRule="auto"/>
        <w:ind w:firstLine="709"/>
        <w:jc w:val="both"/>
      </w:pPr>
      <w:r>
        <w:rPr>
          <w:rFonts w:ascii="Times New Roman" w:hAnsi="Times New Roman" w:eastAsia="Times New Roman"/>
          <w:b/>
          <w:i w:val="0"/>
          <w:color w:val="000000"/>
          <w:sz w:val="24"/>
        </w:rPr>
        <w:t>Figure 4.2</w:t>
      </w:r>
      <w:r>
        <w:rPr>
          <w:rFonts w:ascii="Times New Roman" w:hAnsi="Times New Roman" w:eastAsia="Times New Roman"/>
          <w:b w:val="0"/>
          <w:i w:val="0"/>
          <w:color w:val="000000"/>
          <w:sz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spacing w:before="0" w:after="0" w:line="480" w:lineRule="auto"/>
        <w:ind w:firstLine="709"/>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w:t>
      </w:r>
    </w:p>
    <w:p>
      <w:pPr>
        <w:spacing w:before="0" w:after="0" w:line="480" w:lineRule="auto"/>
        <w:ind w:firstLine="709"/>
        <w:jc w:val="both"/>
      </w:pPr>
      <w:r>
        <w:rPr>
          <w:rFonts w:ascii="Times New Roman" w:hAnsi="Times New Roman" w:eastAsia="Times New Roman"/>
          <w:b w:val="0"/>
          <w:i w:val="0"/>
          <w:color w:val="000000"/>
          <w:sz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w:t>
      </w:r>
    </w:p>
    <w:p>
      <w:pPr>
        <w:spacing w:before="120" w:after="120" w:line="480" w:lineRule="auto"/>
        <w:ind w:firstLine="0"/>
        <w:jc w:val="center"/>
      </w:pPr>
      <w:r>
        <w:drawing>
          <wp:inline xmlns:a="http://schemas.openxmlformats.org/drawingml/2006/main" xmlns:pic="http://schemas.openxmlformats.org/drawingml/2006/picture">
            <wp:extent cx="5212080" cy="3442945"/>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3"/>
                    <a:stretch>
                      <a:fillRect/>
                    </a:stretch>
                  </pic:blipFill>
                  <pic:spPr>
                    <a:xfrm>
                      <a:off x="0" y="0"/>
                      <a:ext cx="5212080" cy="3442945"/>
                    </a:xfrm>
                    <a:prstGeom prst="rect"/>
                  </pic:spPr>
                </pic:pic>
              </a:graphicData>
            </a:graphic>
          </wp:inline>
        </w:drawing>
      </w:r>
    </w:p>
    <w:p>
      <w:pPr>
        <w:spacing w:before="0" w:after="0" w:line="480" w:lineRule="auto"/>
        <w:ind w:firstLine="709"/>
        <w:jc w:val="both"/>
      </w:pPr>
      <w:r>
        <w:rPr>
          <w:rFonts w:ascii="Times New Roman" w:hAnsi="Times New Roman" w:eastAsia="Times New Roman"/>
          <w:b/>
          <w:i w:val="0"/>
          <w:color w:val="000000"/>
          <w:sz w:val="24"/>
        </w:rPr>
        <w:t>Figure 4.3</w:t>
      </w:r>
      <w:r>
        <w:rPr>
          <w:rFonts w:ascii="Times New Roman" w:hAnsi="Times New Roman" w:eastAsia="Times New Roman"/>
          <w:b w:val="0"/>
          <w:i w:val="0"/>
          <w:color w:val="000000"/>
          <w:sz w:val="24"/>
        </w:rPr>
        <w:t xml:space="preserve"> Mean change in surface roughness (ΔRa = Ra after − Ra before) of the three composite resins after 10 000 toothbrushing cycles at 2 N. Error bars represent one standard deviation (n = 12 per group).</w:t>
      </w:r>
    </w:p>
    <w:p>
      <w:pPr>
        <w:spacing w:before="0" w:after="0" w:line="480" w:lineRule="auto"/>
        <w:ind w:firstLine="709"/>
        <w:jc w:val="both"/>
      </w:pPr>
      <w:r>
        <w:rPr>
          <w:rFonts w:ascii="Times New Roman" w:hAnsi="Times New Roman" w:eastAsia="Times New Roman"/>
          <w:b w:val="0"/>
          <w:i w:val="0"/>
          <w:color w:val="000000"/>
          <w:sz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spacing w:before="0" w:after="0" w:line="480" w:lineRule="auto"/>
        <w:ind w:firstLine="709"/>
        <w:jc w:val="both"/>
      </w:pPr>
      <w:r>
        <w:rPr>
          <w:rFonts w:ascii="Times New Roman" w:hAnsi="Times New Roman" w:eastAsia="Times New Roman"/>
          <w:b w:val="0"/>
          <w:i w:val="0"/>
          <w:color w:val="000000"/>
          <w:sz w:val="24"/>
        </w:rPr>
        <w:t>Relative to the 0.2 µm plaque-retention threshold (1),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(2).</w:t>
      </w:r>
    </w:p>
    <w:p>
      <w:pPr>
        <w:spacing w:before="240" w:after="120" w:line="480" w:lineRule="auto"/>
        <w:ind w:firstLine="0"/>
        <w:jc w:val="left"/>
      </w:pPr>
      <w:r>
        <w:rPr>
          <w:rFonts w:ascii="Times New Roman" w:hAnsi="Times New Roman" w:eastAsia="Times New Roman"/>
          <w:b/>
          <w:i w:val="0"/>
          <w:color w:val="000000"/>
          <w:sz w:val="26"/>
        </w:rPr>
        <w:t>4.3 Summary of the findings</w:t>
      </w:r>
    </w:p>
    <w:p>
      <w:pPr>
        <w:spacing w:before="0" w:after="0" w:line="480" w:lineRule="auto"/>
        <w:ind w:firstLine="709"/>
        <w:jc w:val="both"/>
      </w:pPr>
      <w:r>
        <w:rPr>
          <w:rFonts w:ascii="Times New Roman" w:hAnsi="Times New Roman" w:eastAsia="Times New Roman"/>
          <w:b w:val="0"/>
          <w:i w:val="0"/>
          <w:color w:val="000000"/>
          <w:sz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spacing w:before="120" w:after="120" w:line="480" w:lineRule="auto"/>
        <w:ind w:firstLine="0"/>
        <w:jc w:val="center"/>
      </w:pPr>
      <w:r>
        <w:rPr>
          <w:rFonts w:ascii="Times New Roman" w:hAnsi="Times New Roman" w:eastAsia="Times New Roman"/>
          <w:b/>
          <w:i w:val="0"/>
          <w:color w:val="000000"/>
          <w:sz w:val="32"/>
        </w:rPr>
        <w:t>Chapter 5</w:t>
      </w:r>
    </w:p>
    <w:p>
      <w:pPr>
        <w:spacing w:before="120" w:after="120" w:line="480" w:lineRule="auto"/>
        <w:ind w:firstLine="0"/>
        <w:jc w:val="center"/>
      </w:pPr>
      <w:r>
        <w:rPr>
          <w:rFonts w:ascii="Times New Roman" w:hAnsi="Times New Roman" w:eastAsia="Times New Roman"/>
          <w:b/>
          <w:i w:val="0"/>
          <w:color w:val="000000"/>
          <w:sz w:val="32"/>
        </w:rPr>
        <w:t>Discussion</w:t>
      </w:r>
    </w:p>
    <w:p>
      <w:pPr>
        <w:spacing w:before="0" w:after="0" w:line="480" w:lineRule="auto"/>
        <w:ind w:firstLine="709"/>
        <w:jc w:val="both"/>
      </w:pPr>
      <w:r>
        <w:rPr>
          <w:rFonts w:ascii="Times New Roman" w:hAnsi="Times New Roman" w:eastAsia="Times New Roman"/>
          <w:b w:val="0"/>
          <w:i w:val="0"/>
          <w:color w:val="000000"/>
          <w:sz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spacing w:before="240" w:after="120" w:line="480" w:lineRule="auto"/>
        <w:ind w:firstLine="0"/>
        <w:jc w:val="left"/>
      </w:pPr>
      <w:r>
        <w:rPr>
          <w:rFonts w:ascii="Times New Roman" w:hAnsi="Times New Roman" w:eastAsia="Times New Roman"/>
          <w:b/>
          <w:i w:val="0"/>
          <w:color w:val="000000"/>
          <w:sz w:val="26"/>
        </w:rPr>
        <w:t>5.1 Interpretation of the weight-loss findings</w:t>
      </w:r>
    </w:p>
    <w:p>
      <w:pPr>
        <w:spacing w:before="0" w:after="0" w:line="480" w:lineRule="auto"/>
        <w:ind w:firstLine="709"/>
        <w:jc w:val="both"/>
      </w:pPr>
      <w:r>
        <w:rPr>
          <w:rFonts w:ascii="Times New Roman" w:hAnsi="Times New Roman" w:eastAsia="Times New Roman"/>
          <w:b w:val="0"/>
          <w:i w:val="0"/>
          <w:color w:val="000000"/>
          <w:sz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spacing w:before="0" w:after="0" w:line="480" w:lineRule="auto"/>
        <w:ind w:firstLine="709"/>
        <w:jc w:val="both"/>
      </w:pPr>
      <w:r>
        <w:rPr>
          <w:rFonts w:ascii="Times New Roman" w:hAnsi="Times New Roman" w:eastAsia="Times New Roman"/>
          <w:b w:val="0"/>
          <w:i w:val="0"/>
          <w:color w:val="000000"/>
          <w:sz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spacing w:before="0" w:after="0" w:line="480" w:lineRule="auto"/>
        <w:ind w:firstLine="709"/>
        <w:jc w:val="both"/>
      </w:pPr>
      <w:r>
        <w:rPr>
          <w:rFonts w:ascii="Times New Roman" w:hAnsi="Times New Roman" w:eastAsia="Times New Roman"/>
          <w:b w:val="0"/>
          <w:i w:val="0"/>
          <w:color w:val="000000"/>
          <w:sz w:val="24"/>
        </w:rPr>
        <w:t>The finding is consistent, in direction if not in method, with the two-body data of Rajabi et al., who reported lower volumetric wear for G-ænial Universal Injectable and Beautifil Flow Plus F00 than for a nanohybrid paste (6).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(12).</w:t>
      </w:r>
    </w:p>
    <w:p>
      <w:pPr>
        <w:spacing w:before="0" w:after="0" w:line="480" w:lineRule="auto"/>
        <w:ind w:firstLine="709"/>
        <w:jc w:val="both"/>
      </w:pPr>
      <w:r>
        <w:rPr>
          <w:rFonts w:ascii="Times New Roman" w:hAnsi="Times New Roman" w:eastAsia="Times New Roman"/>
          <w:b w:val="0"/>
          <w:i w:val="0"/>
          <w:color w:val="000000"/>
          <w:sz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spacing w:before="240" w:after="120" w:line="480" w:lineRule="auto"/>
        <w:ind w:firstLine="0"/>
        <w:jc w:val="left"/>
      </w:pPr>
      <w:r>
        <w:rPr>
          <w:rFonts w:ascii="Times New Roman" w:hAnsi="Times New Roman" w:eastAsia="Times New Roman"/>
          <w:b/>
          <w:i w:val="0"/>
          <w:color w:val="000000"/>
          <w:sz w:val="26"/>
        </w:rPr>
        <w:t>5.2 Interpretation of the roughness findings</w:t>
      </w:r>
    </w:p>
    <w:p>
      <w:pPr>
        <w:spacing w:before="0" w:after="0" w:line="480" w:lineRule="auto"/>
        <w:ind w:firstLine="709"/>
        <w:jc w:val="both"/>
      </w:pPr>
      <w:r>
        <w:rPr>
          <w:rFonts w:ascii="Times New Roman" w:hAnsi="Times New Roman" w:eastAsia="Times New Roman"/>
          <w:b w:val="0"/>
          <w:i w:val="0"/>
          <w:color w:val="000000"/>
          <w:sz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spacing w:before="0" w:after="0" w:line="480" w:lineRule="auto"/>
        <w:ind w:firstLine="709"/>
        <w:jc w:val="both"/>
      </w:pPr>
      <w:r>
        <w:rPr>
          <w:rFonts w:ascii="Times New Roman" w:hAnsi="Times New Roman" w:eastAsia="Times New Roman"/>
          <w:b w:val="0"/>
          <w:i w:val="0"/>
          <w:color w:val="000000"/>
          <w:sz w:val="24"/>
        </w:rPr>
        <w:t>This order is the order predicted by filler geometry. A nanofilled injectable whose particles are of the order of 150 nm wears more uniformly, because the particles are small enough to be lost with the matrix rather than to stand proud of it (6,18,24). A nanohybrid that contains larger S-PRG and pre-polymerised particles loses the resin-rich surface first; the larger fillers are then uncovered or plucked, leaving a coarser profile (4,18). Hasan, Eltoukhy and Zaghloul recorded the same ranking after simulated brushing of G-ænial Universal Injectable against a nanofilled paste and a nanohybrid: the injectable was the smoothest, the nanohybrid the roughest, and the two nanofilled resins did not differ (18). Heintze et al. had already shown that hybrid and microhybrid pastes deteriorate more with load and time than microfilled resins (4), and da Costa et al. found that composites with smaller average fillers lost less gloss and gained less roughness when brushed with Colgate Total (25). The present results sit within that literature rather than against it.</w:t>
      </w:r>
    </w:p>
    <w:p>
      <w:pPr>
        <w:spacing w:before="0" w:after="0" w:line="480" w:lineRule="auto"/>
        <w:ind w:firstLine="709"/>
        <w:jc w:val="both"/>
      </w:pPr>
      <w:r>
        <w:rPr>
          <w:rFonts w:ascii="Times New Roman" w:hAnsi="Times New Roman" w:eastAsia="Times New Roman"/>
          <w:b w:val="0"/>
          <w:i w:val="0"/>
          <w:color w:val="000000"/>
          <w:sz w:val="24"/>
        </w:rPr>
        <w:t>The 0.2 µm threshold of Bollen, Lambrechts and Quirynen remains the clinically useful reference (1,17).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(2). Patients would not be expected to feel these surfaces after one laboratory year of this brushing model. The distinction that matters is biofilm risk, and it applies to the nanohybrid group.</w:t>
      </w:r>
    </w:p>
    <w:p>
      <w:pPr>
        <w:spacing w:before="0" w:after="0" w:line="480" w:lineRule="auto"/>
        <w:ind w:firstLine="709"/>
        <w:jc w:val="both"/>
      </w:pPr>
      <w:r>
        <w:rPr>
          <w:rFonts w:ascii="Times New Roman" w:hAnsi="Times New Roman" w:eastAsia="Times New Roman"/>
          <w:b w:val="0"/>
          <w:i w:val="0"/>
          <w:color w:val="000000"/>
          <w:sz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spacing w:before="240" w:after="120" w:line="480" w:lineRule="auto"/>
        <w:ind w:firstLine="0"/>
        <w:jc w:val="left"/>
      </w:pPr>
      <w:r>
        <w:rPr>
          <w:rFonts w:ascii="Times New Roman" w:hAnsi="Times New Roman" w:eastAsia="Times New Roman"/>
          <w:b/>
          <w:i w:val="0"/>
          <w:color w:val="000000"/>
          <w:sz w:val="26"/>
        </w:rPr>
        <w:t>5.3 Clinical implications</w:t>
      </w:r>
    </w:p>
    <w:p>
      <w:pPr>
        <w:spacing w:before="0" w:after="0" w:line="480" w:lineRule="auto"/>
        <w:ind w:firstLine="709"/>
        <w:jc w:val="both"/>
      </w:pPr>
      <w:r>
        <w:rPr>
          <w:rFonts w:ascii="Times New Roman" w:hAnsi="Times New Roman" w:eastAsia="Times New Roman"/>
          <w:b w:val="0"/>
          <w:i w:val="0"/>
          <w:color w:val="000000"/>
          <w:sz w:val="24"/>
        </w:rPr>
        <w:t>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(1,17).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(20).</w:t>
      </w:r>
    </w:p>
    <w:p>
      <w:pPr>
        <w:spacing w:before="0" w:after="0" w:line="480" w:lineRule="auto"/>
        <w:ind w:firstLine="709"/>
        <w:jc w:val="both"/>
      </w:pPr>
      <w:r>
        <w:rPr>
          <w:rFonts w:ascii="Times New Roman" w:hAnsi="Times New Roman" w:eastAsia="Times New Roman"/>
          <w:b w:val="0"/>
          <w:i w:val="0"/>
          <w:color w:val="000000"/>
          <w:sz w:val="24"/>
        </w:rPr>
        <w:t>Beautifil II LS remains a reasonable packable control. Its higher baseline Ra may reflect the size and distribution of its fillers, the finishing of the disc, or both. If the nanohybrid was left with a coarser as-cured or as-finished surface, part of the after-brushing difference was already present at baseline. The comparison after abrasion is nevertheless valid: the three groups were treated identically and were compared as they stood at the end of the test.</w:t>
      </w:r>
    </w:p>
    <w:p>
      <w:pPr>
        <w:spacing w:before="240" w:after="120" w:line="480" w:lineRule="auto"/>
        <w:ind w:firstLine="0"/>
        <w:jc w:val="left"/>
      </w:pPr>
      <w:r>
        <w:rPr>
          <w:rFonts w:ascii="Times New Roman" w:hAnsi="Times New Roman" w:eastAsia="Times New Roman"/>
          <w:b/>
          <w:i w:val="0"/>
          <w:color w:val="000000"/>
          <w:sz w:val="26"/>
        </w:rPr>
        <w:t>5.4 Strengths of the study</w:t>
      </w:r>
    </w:p>
    <w:p>
      <w:pPr>
        <w:spacing w:before="0" w:after="0" w:line="480" w:lineRule="auto"/>
        <w:ind w:firstLine="709"/>
        <w:jc w:val="both"/>
      </w:pPr>
      <w:r>
        <w:rPr>
          <w:rFonts w:ascii="Times New Roman" w:hAnsi="Times New Roman" w:eastAsia="Times New Roman"/>
          <w:b w:val="0"/>
          <w:i w:val="0"/>
          <w:color w:val="000000"/>
          <w:sz w:val="24"/>
        </w:rPr>
        <w:t>The three products are current commercial materials, and the Shofu injectable is the X-generation Flow Plus rather than the earlier F00 formulation used by Rajabi et al. (6). Twelve specimens were tested in each group rather than the ten indicated by the original power calculation. Mass and Ra were recorded on the same discs, so the two outcomes describe the same surfaces. The brushing load and the cycle count follow published ISO guidance and the Sexson–Phillips estimate (3,7). The statistical tests were chosen to match the distributions of the two outcomes. The outlying specimen was retained and identified rather than discarded.</w:t>
      </w:r>
    </w:p>
    <w:p>
      <w:pPr>
        <w:spacing w:before="240" w:after="120" w:line="480" w:lineRule="auto"/>
        <w:ind w:firstLine="0"/>
        <w:jc w:val="left"/>
      </w:pPr>
      <w:r>
        <w:rPr>
          <w:rFonts w:ascii="Times New Roman" w:hAnsi="Times New Roman" w:eastAsia="Times New Roman"/>
          <w:b/>
          <w:i w:val="0"/>
          <w:color w:val="000000"/>
          <w:sz w:val="26"/>
        </w:rPr>
        <w:t>5.5 Limitations of the study</w:t>
      </w:r>
    </w:p>
    <w:p>
      <w:pPr>
        <w:spacing w:before="0" w:after="0" w:line="480" w:lineRule="auto"/>
        <w:ind w:firstLine="709"/>
        <w:jc w:val="both"/>
      </w:pPr>
      <w:r>
        <w:rPr>
          <w:rFonts w:ascii="Times New Roman" w:hAnsi="Times New Roman" w:eastAsia="Times New Roman"/>
          <w:b w:val="0"/>
          <w:i w:val="0"/>
          <w:color w:val="000000"/>
          <w:sz w:val="24"/>
        </w:rPr>
        <w:t>The investigation is an in-vitro abrasion test. Saliva, pH cycling, enzymatic activity and occlusal load are absent, and the ranking obtained here may change when those factors are added (10). Gravimetric loss is not worn volume and is not worn anatomy (15). A single dentifrice of moderate abrasivity was used; a whitening paste of higher RDA might enlarge the roughness differences (8,25). Brush stiffness and the exact slurry ratio were not fully specified. Scanning electron microscopy was not performed, so the inference that larger fillers are uncovered or plucked rests on the roughness numbers and on the published literature rather than on micrographs of these discs. Ten thousand cycles represent one conventional laboratory year, not a year of any particular patient’s hygiene. Disc geometry is not a Class II cavity, and the results should not be read as a prediction of wear at an occlusal contact or at a gingival margin.</w:t>
      </w:r>
    </w:p>
    <w:p>
      <w:pPr>
        <w:spacing w:before="240" w:after="120" w:line="480" w:lineRule="auto"/>
        <w:ind w:firstLine="0"/>
        <w:jc w:val="left"/>
      </w:pPr>
      <w:r>
        <w:rPr>
          <w:rFonts w:ascii="Times New Roman" w:hAnsi="Times New Roman" w:eastAsia="Times New Roman"/>
          <w:b/>
          <w:i w:val="0"/>
          <w:color w:val="000000"/>
          <w:sz w:val="26"/>
        </w:rPr>
        <w:t>5.6 Concluding remarks of the discussion</w:t>
      </w:r>
    </w:p>
    <w:p>
      <w:pPr>
        <w:spacing w:before="0" w:after="0" w:line="480" w:lineRule="auto"/>
        <w:ind w:firstLine="709"/>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spacing w:before="120" w:after="120" w:line="480" w:lineRule="auto"/>
        <w:ind w:firstLine="0"/>
        <w:jc w:val="center"/>
      </w:pPr>
      <w:r>
        <w:rPr>
          <w:rFonts w:ascii="Times New Roman" w:hAnsi="Times New Roman" w:eastAsia="Times New Roman"/>
          <w:b/>
          <w:i w:val="0"/>
          <w:color w:val="000000"/>
          <w:sz w:val="32"/>
        </w:rPr>
        <w:t>Chapter 6</w:t>
      </w:r>
    </w:p>
    <w:p>
      <w:pPr>
        <w:spacing w:before="120" w:after="120" w:line="480" w:lineRule="auto"/>
        <w:ind w:firstLine="0"/>
        <w:jc w:val="center"/>
      </w:pPr>
      <w:r>
        <w:rPr>
          <w:rFonts w:ascii="Times New Roman" w:hAnsi="Times New Roman" w:eastAsia="Times New Roman"/>
          <w:b/>
          <w:i w:val="0"/>
          <w:color w:val="000000"/>
          <w:sz w:val="32"/>
        </w:rPr>
        <w:t>Conclusions and recommendations</w:t>
      </w:r>
    </w:p>
    <w:p>
      <w:pPr>
        <w:spacing w:before="240" w:after="120" w:line="480" w:lineRule="auto"/>
        <w:ind w:firstLine="0"/>
        <w:jc w:val="left"/>
      </w:pPr>
      <w:r>
        <w:rPr>
          <w:rFonts w:ascii="Times New Roman" w:hAnsi="Times New Roman" w:eastAsia="Times New Roman"/>
          <w:b/>
          <w:i w:val="0"/>
          <w:color w:val="000000"/>
          <w:sz w:val="26"/>
        </w:rPr>
        <w:t>6.1 Conclusions</w:t>
      </w:r>
    </w:p>
    <w:p>
      <w:pPr>
        <w:spacing w:before="0" w:after="0" w:line="480" w:lineRule="auto"/>
        <w:ind w:firstLine="709"/>
        <w:jc w:val="both"/>
      </w:pPr>
      <w:r>
        <w:rPr>
          <w:rFonts w:ascii="Times New Roman" w:hAnsi="Times New Roman" w:eastAsia="Times New Roman"/>
          <w:b w:val="0"/>
          <w:i w:val="0"/>
          <w:color w:val="000000"/>
          <w:sz w:val="24"/>
        </w:rPr>
        <w:t>Under the conditions of this in-vitro study:</w:t>
      </w:r>
    </w:p>
    <w:p>
      <w:pPr>
        <w:spacing w:before="0" w:after="0" w:line="480" w:lineRule="auto"/>
        <w:ind w:firstLine="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spacing w:before="0" w:after="0" w:line="480" w:lineRule="auto"/>
        <w:ind w:firstLine="0"/>
        <w:jc w:val="both"/>
      </w:pPr>
      <w:r>
        <w:rPr>
          <w:rFonts w:ascii="Times New Roman" w:hAnsi="Times New Roman" w:eastAsia="Times New Roman"/>
          <w:b w:val="0"/>
          <w:i w:val="0"/>
          <w:color w:val="000000"/>
          <w:sz w:val="24"/>
        </w:rPr>
        <w:t>2. Ra after the same abrasion did differ (p &lt; 0.001). Both injectable resins were significantly smoother than Beautifil II LS. The two injectable resins did not differ from each other.</w:t>
      </w:r>
    </w:p>
    <w:p>
      <w:pPr>
        <w:spacing w:before="0" w:after="0" w:line="480" w:lineRule="auto"/>
        <w:ind w:firstLine="0"/>
        <w:jc w:val="both"/>
      </w:pPr>
      <w:r>
        <w:rPr>
          <w:rFonts w:ascii="Times New Roman" w:hAnsi="Times New Roman" w:eastAsia="Times New Roman"/>
          <w:b w:val="0"/>
          <w:i w:val="0"/>
          <w:color w:val="000000"/>
          <w:sz w:val="24"/>
        </w:rPr>
        <w:t>3. Mean Ra of both injectable resins remained below 0.2 µm. Mean Ra of Beautifil II LS was 0.194 µm.</w:t>
      </w:r>
    </w:p>
    <w:p>
      <w:pPr>
        <w:spacing w:before="0" w:after="0" w:line="480" w:lineRule="auto"/>
        <w:ind w:firstLine="0"/>
        <w:jc w:val="both"/>
      </w:pPr>
      <w:r>
        <w:rPr>
          <w:rFonts w:ascii="Times New Roman" w:hAnsi="Times New Roman" w:eastAsia="Times New Roman"/>
          <w:b w:val="0"/>
          <w:i w:val="0"/>
          <w:color w:val="000000"/>
          <w:sz w:val="24"/>
        </w:rPr>
        <w:t>4. One Beautifil Flow Plus X F00 disc lost approximately 11.4 % of its mass and is the source of that group’s large standard deviation.</w:t>
      </w:r>
    </w:p>
    <w:p>
      <w:pPr>
        <w:spacing w:before="0" w:after="0" w:line="480" w:lineRule="auto"/>
        <w:ind w:firstLine="0"/>
        <w:jc w:val="both"/>
      </w:pPr>
      <w:r>
        <w:rPr>
          <w:rFonts w:ascii="Times New Roman" w:hAnsi="Times New Roman" w:eastAsia="Times New Roman"/>
          <w:b w:val="0"/>
          <w:i w:val="0"/>
          <w:color w:val="000000"/>
          <w:sz w:val="24"/>
        </w:rPr>
        <w:t>5. The first null hypothesis is retained. The second is rejected.</w:t>
      </w:r>
    </w:p>
    <w:p>
      <w:pPr>
        <w:spacing w:before="240" w:after="120" w:line="480" w:lineRule="auto"/>
        <w:ind w:firstLine="0"/>
        <w:jc w:val="left"/>
      </w:pPr>
      <w:r>
        <w:rPr>
          <w:rFonts w:ascii="Times New Roman" w:hAnsi="Times New Roman" w:eastAsia="Times New Roman"/>
          <w:b/>
          <w:i w:val="0"/>
          <w:color w:val="000000"/>
          <w:sz w:val="26"/>
        </w:rPr>
        <w:t>6.2 Recommendations</w:t>
      </w:r>
    </w:p>
    <w:p>
      <w:pPr>
        <w:spacing w:before="0" w:after="0" w:line="480" w:lineRule="auto"/>
        <w:ind w:firstLine="709"/>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spacing w:before="0" w:after="0" w:line="480" w:lineRule="auto"/>
        <w:ind w:firstLine="709"/>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finishing sequence, the brush and the slurry ratio should be stated in full. A second dentifrice of higher relative dentine abrasivity, or a higher cycle count, would show whether the roughness difference persists under a more aggressive challenge.</w:t>
      </w:r>
    </w:p>
    <w:p>
      <w:pPr>
        <w:spacing w:before="0" w:after="0" w:line="480" w:lineRule="auto"/>
        <w:ind w:firstLine="709"/>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determine whether the difference between approximately 0.10 µm and 0.19 µm after a laboratory year is associated with a difference in plaque accumulation, staining or restoration survival.</w:t>
      </w:r>
    </w:p>
    <w:p>
      <w:pPr>
        <w:spacing w:before="120" w:after="120" w:line="480" w:lineRule="auto"/>
        <w:ind w:firstLine="0"/>
        <w:jc w:val="center"/>
      </w:pPr>
      <w:r>
        <w:rPr>
          <w:rFonts w:ascii="Times New Roman" w:hAnsi="Times New Roman" w:eastAsia="Times New Roman"/>
          <w:b/>
          <w:i w:val="0"/>
          <w:color w:val="000000"/>
          <w:sz w:val="32"/>
        </w:rPr>
        <w:t>Chapter 7</w:t>
      </w:r>
    </w:p>
    <w:p>
      <w:pPr>
        <w:spacing w:before="120" w:after="120" w:line="480" w:lineRule="auto"/>
        <w:ind w:firstLine="0"/>
        <w:jc w:val="center"/>
      </w:pPr>
      <w:r>
        <w:rPr>
          <w:rFonts w:ascii="Times New Roman" w:hAnsi="Times New Roman" w:eastAsia="Times New Roman"/>
          <w:b/>
          <w:i w:val="0"/>
          <w:color w:val="000000"/>
          <w:sz w:val="32"/>
        </w:rPr>
        <w:t>References</w:t>
      </w:r>
    </w:p>
    <w:p>
      <w:pPr>
        <w:spacing w:before="0" w:after="0" w:line="480" w:lineRule="auto"/>
        <w:ind w:firstLine="0"/>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1997;13(4):258-269.</w:t>
      </w:r>
    </w:p>
    <w:p>
      <w:pPr>
        <w:spacing w:before="0" w:after="0" w:line="480" w:lineRule="auto"/>
        <w:ind w:firstLine="0"/>
        <w:jc w:val="both"/>
      </w:pPr>
      <w:r>
        <w:rPr>
          <w:rFonts w:ascii="Times New Roman" w:hAnsi="Times New Roman" w:eastAsia="Times New Roman"/>
          <w:b w:val="0"/>
          <w:i w:val="0"/>
          <w:color w:val="000000"/>
          <w:sz w:val="24"/>
        </w:rPr>
        <w:t>2. Jones CS, Billington RW, Pearson GJ. The in vivo perception of roughness of restorations. Br Dent J. 2004;196(1):42-45.</w:t>
      </w:r>
    </w:p>
    <w:p>
      <w:pPr>
        <w:spacing w:before="0" w:after="0" w:line="480" w:lineRule="auto"/>
        <w:ind w:firstLine="0"/>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spacing w:before="0" w:after="0" w:line="480" w:lineRule="auto"/>
        <w:ind w:firstLine="0"/>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2010;26(4):306-319.</w:t>
      </w:r>
    </w:p>
    <w:p>
      <w:pPr>
        <w:spacing w:before="0" w:after="0" w:line="480" w:lineRule="auto"/>
        <w:ind w:firstLine="0"/>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1998;129(5):567-577.</w:t>
      </w:r>
    </w:p>
    <w:p>
      <w:pPr>
        <w:spacing w:before="0" w:after="0" w:line="480" w:lineRule="auto"/>
        <w:ind w:firstLine="0"/>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2024;17(19):4749.</w:t>
      </w:r>
    </w:p>
    <w:p>
      <w:pPr>
        <w:spacing w:before="0" w:after="0" w:line="480" w:lineRule="auto"/>
        <w:ind w:firstLine="0"/>
        <w:jc w:val="both"/>
      </w:pPr>
      <w:r>
        <w:rPr>
          <w:rFonts w:ascii="Times New Roman" w:hAnsi="Times New Roman" w:eastAsia="Times New Roman"/>
          <w:b w:val="0"/>
          <w:i w:val="0"/>
          <w:color w:val="000000"/>
          <w:sz w:val="24"/>
        </w:rPr>
        <w:t>7. Sexson JC, Phillips RW. Studies on the effects of abrasives on acrylic resins. J Prosthet Dent. 1951;1(4):454-471.</w:t>
      </w:r>
    </w:p>
    <w:p>
      <w:pPr>
        <w:spacing w:before="0" w:after="0" w:line="480" w:lineRule="auto"/>
        <w:ind w:firstLine="0"/>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2015;7(7):1-5.</w:t>
      </w:r>
    </w:p>
    <w:p>
      <w:pPr>
        <w:spacing w:before="0" w:after="0" w:line="480" w:lineRule="auto"/>
        <w:ind w:firstLine="0"/>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spacing w:before="0" w:after="0" w:line="480" w:lineRule="auto"/>
        <w:ind w:firstLine="0"/>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2006;22(8):693-701.</w:t>
      </w:r>
    </w:p>
    <w:p>
      <w:pPr>
        <w:spacing w:before="0" w:after="0" w:line="480" w:lineRule="auto"/>
        <w:ind w:firstLine="0"/>
        <w:jc w:val="both"/>
      </w:pPr>
      <w:r>
        <w:rPr>
          <w:rFonts w:ascii="Times New Roman" w:hAnsi="Times New Roman" w:eastAsia="Times New Roman"/>
          <w:b w:val="0"/>
          <w:i w:val="0"/>
          <w:color w:val="000000"/>
          <w:sz w:val="24"/>
        </w:rPr>
        <w:t>11. Ferracane JL. Resin composite—state of the art. Dent Mater. 2011;27(1):29-38.</w:t>
      </w:r>
    </w:p>
    <w:p>
      <w:pPr>
        <w:spacing w:before="0" w:after="0" w:line="480" w:lineRule="auto"/>
        <w:ind w:firstLine="0"/>
        <w:jc w:val="both"/>
      </w:pPr>
      <w:r>
        <w:rPr>
          <w:rFonts w:ascii="Times New Roman" w:hAnsi="Times New Roman" w:eastAsia="Times New Roman"/>
          <w:b w:val="0"/>
          <w:i w:val="0"/>
          <w:color w:val="000000"/>
          <w:sz w:val="24"/>
        </w:rPr>
        <w:t>12. Condon JR, Ferracane JL. In vitro wear of composite with varied cure, filler level, and filler treatment. J Dent Res. 1997;76(7):1405-1411.</w:t>
      </w:r>
    </w:p>
    <w:p>
      <w:pPr>
        <w:spacing w:before="0" w:after="0" w:line="480" w:lineRule="auto"/>
        <w:ind w:firstLine="0"/>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2015;9(6):ZE18-ZE24.</w:t>
      </w:r>
    </w:p>
    <w:p>
      <w:pPr>
        <w:spacing w:before="0" w:after="0" w:line="480" w:lineRule="auto"/>
        <w:ind w:firstLine="0"/>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spacing w:before="0" w:after="0" w:line="480" w:lineRule="auto"/>
        <w:ind w:firstLine="0"/>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2006;22(11):1051-1062.</w:t>
      </w:r>
    </w:p>
    <w:p>
      <w:pPr>
        <w:spacing w:before="0" w:after="0" w:line="480" w:lineRule="auto"/>
        <w:ind w:firstLine="0"/>
        <w:jc w:val="both"/>
      </w:pPr>
      <w:r>
        <w:rPr>
          <w:rFonts w:ascii="Times New Roman" w:hAnsi="Times New Roman" w:eastAsia="Times New Roman"/>
          <w:b w:val="0"/>
          <w:i w:val="0"/>
          <w:color w:val="000000"/>
          <w:sz w:val="24"/>
        </w:rPr>
        <w:t>16. International Organization for Standardization. ISO 4287:1997. Geometrical product specifications (GPS) — Surface texture: Profile method — Terms, definitions and surface texture parameters. Geneva: ISO; 1997.</w:t>
      </w:r>
    </w:p>
    <w:p>
      <w:pPr>
        <w:spacing w:before="0" w:after="0" w:line="480" w:lineRule="auto"/>
        <w:ind w:firstLine="0"/>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1995;22(1):1-14.</w:t>
      </w:r>
    </w:p>
    <w:p>
      <w:pPr>
        <w:spacing w:before="0" w:after="0" w:line="480" w:lineRule="auto"/>
        <w:ind w:firstLine="0"/>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spacing w:before="0" w:after="0" w:line="480" w:lineRule="auto"/>
        <w:ind w:firstLine="0"/>
        <w:jc w:val="both"/>
      </w:pPr>
      <w:r>
        <w:rPr>
          <w:rFonts w:ascii="Times New Roman" w:hAnsi="Times New Roman" w:eastAsia="Times New Roman"/>
          <w:b w:val="0"/>
          <w:i w:val="0"/>
          <w:color w:val="000000"/>
          <w:sz w:val="24"/>
        </w:rPr>
        <w:t>19. Shofu Inc. Beautifil II LS product information; Beautifil Flow Plus X product information. Kyoto: Shofu; [accessed 2026].</w:t>
      </w:r>
    </w:p>
    <w:p>
      <w:pPr>
        <w:spacing w:before="0" w:after="0" w:line="480" w:lineRule="auto"/>
        <w:ind w:firstLine="0"/>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2025;18(14):3370.</w:t>
      </w:r>
    </w:p>
    <w:p>
      <w:pPr>
        <w:spacing w:before="0" w:after="0" w:line="480" w:lineRule="auto"/>
        <w:ind w:firstLine="0"/>
        <w:jc w:val="both"/>
      </w:pPr>
      <w:r>
        <w:rPr>
          <w:rFonts w:ascii="Times New Roman" w:hAnsi="Times New Roman" w:eastAsia="Times New Roman"/>
          <w:b w:val="0"/>
          <w:i w:val="0"/>
          <w:color w:val="000000"/>
          <w:sz w:val="24"/>
        </w:rPr>
        <w:t>21. Yap AU, Tan SH, Wee SS, Lee CW, Lim EL, Zeng KY. Chemical degradation of composite restoratives. J Oral Rehabil. 2001;28(11):1015-1021.</w:t>
      </w:r>
    </w:p>
    <w:p>
      <w:pPr>
        <w:spacing w:before="0" w:after="0" w:line="480" w:lineRule="auto"/>
        <w:ind w:firstLine="0"/>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2007;138(5):621-627.</w:t>
      </w:r>
    </w:p>
    <w:p>
      <w:pPr>
        <w:spacing w:before="0" w:after="0" w:line="480" w:lineRule="auto"/>
        <w:ind w:firstLine="0"/>
        <w:jc w:val="both"/>
      </w:pPr>
      <w:r>
        <w:rPr>
          <w:rFonts w:ascii="Times New Roman" w:hAnsi="Times New Roman" w:eastAsia="Times New Roman"/>
          <w:b w:val="0"/>
          <w:i w:val="0"/>
          <w:color w:val="000000"/>
          <w:sz w:val="24"/>
        </w:rPr>
        <w:t>23. Imazato S, Nakatsuka T, Kitagawa H, Sasaki JI, Yamaguchi S. Multiple-ion releasing bioactive surface pre-reacted glass-ionomer (S-PRG) filler: innovative technology for dental treatment and care. J Funct Biomater. 2023;14(4):236.</w:t>
      </w:r>
    </w:p>
    <w:p>
      <w:pPr>
        <w:spacing w:before="0" w:after="0" w:line="480" w:lineRule="auto"/>
        <w:ind w:firstLine="0"/>
        <w:jc w:val="both"/>
      </w:pPr>
      <w:r>
        <w:rPr>
          <w:rFonts w:ascii="Times New Roman" w:hAnsi="Times New Roman" w:eastAsia="Times New Roman"/>
          <w:b w:val="0"/>
          <w:i w:val="0"/>
          <w:color w:val="000000"/>
          <w:sz w:val="24"/>
        </w:rPr>
        <w:t>24. Turssi CP, Ferracane JL, Vogel K. Filler features and their effects on wear and degree of conversion of particulate dental resin composites. Biomaterials. 2005;26(24):4932-4937.</w:t>
      </w:r>
    </w:p>
    <w:p>
      <w:pPr>
        <w:spacing w:before="0" w:after="0" w:line="480" w:lineRule="auto"/>
        <w:ind w:firstLine="0"/>
        <w:jc w:val="both"/>
      </w:pPr>
      <w:r>
        <w:rPr>
          <w:rFonts w:ascii="Times New Roman" w:hAnsi="Times New Roman" w:eastAsia="Times New Roman"/>
          <w:b w:val="0"/>
          <w:i w:val="0"/>
          <w:color w:val="000000"/>
          <w:sz w:val="24"/>
        </w:rPr>
        <w:t>25. da Costa J, Adams-Belusko A, Riley K, Ferracane JL. The effect of various dentifrices on surface roughness and gloss of resin composites. J Dent. 2010;38(Suppl 2):e123-e128.</w:t>
      </w:r>
    </w:p>
    <w:sectPr w:rsidR="00FC693F" w:rsidRPr="0006063C" w:rsidSect="00034616">
      <w:headerReference w:type="default" r:id="rId9"/>
      <w:footerReference w:type="default" r:id="rId10"/>
      <w:pgSz w:w="11906" w:h="16838"/>
      <w:pgMar w:top="1928" w:right="1134" w:bottom="2041" w:left="1417" w:header="283"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40" w:lineRule="auto"/>
      <w:jc w:val="center"/>
      <w:pBdr>
        <w:top w:val="single" w:sz="12" w:space="4" w:color="000000"/>
      </w:pBdr>
    </w:pPr>
    <w:r>
      <w:rPr>
        <w:rFonts w:ascii="Times New Roman" w:hAnsi="Times New Roman" w:eastAsia="Times New Roman"/>
        <w:b w:val="0"/>
        <w:i w:val="0"/>
        <w:color w:val="000000"/>
        <w:sz w:val="16"/>
      </w:rPr>
      <w:t>Address: P.O. Box 37, Sidi Gaber, Canal El Mahmoudia Street, Smouha, Alexandria, Egypt</w:t>
    </w:r>
  </w:p>
  <w:p>
    <w:pPr>
      <w:spacing w:before="0" w:after="0" w:line="240" w:lineRule="auto"/>
      <w:jc w:val="center"/>
    </w:pPr>
    <w:r>
      <w:rPr>
        <w:rFonts w:ascii="Times New Roman" w:hAnsi="Times New Roman" w:eastAsia="Times New Roman"/>
        <w:b w:val="0"/>
        <w:i w:val="0"/>
        <w:color w:val="000000"/>
        <w:sz w:val="16"/>
      </w:rPr>
      <w:t>العنوان: صندوق بريد ٣٧ سيدي جابر – شارع قناة المحمودية – سموحة – الإسكندرية – مصر</w:t>
    </w:r>
  </w:p>
  <w:p>
    <w:pPr>
      <w:spacing w:before="0" w:after="0" w:line="240" w:lineRule="auto"/>
      <w:jc w:val="center"/>
    </w:pPr>
    <w:r>
      <w:rPr>
        <w:rFonts w:ascii="Times New Roman" w:hAnsi="Times New Roman" w:eastAsia="Times New Roman"/>
        <w:b w:val="0"/>
        <w:i w:val="0"/>
        <w:color w:val="000000"/>
        <w:sz w:val="16"/>
      </w:rPr>
      <w:t>Phone: +(203) 38 77 026     Fax: +(203) 383 0249</w:t>
    </w:r>
  </w:p>
  <w:p>
    <w:pPr>
      <w:spacing w:before="0" w:after="0" w:line="240" w:lineRule="auto"/>
      <w:jc w:val="center"/>
    </w:pPr>
    <w:r>
      <w:rPr>
        <w:rFonts w:ascii="Times New Roman" w:hAnsi="Times New Roman" w:eastAsia="Times New Roman"/>
        <w:b w:val="0"/>
        <w:i w:val="0"/>
        <w:color w:val="000000"/>
        <w:sz w:val="16"/>
      </w:rPr>
      <w:t>E-mail: Dentistry@pua.edu.eg     Web Site: www.pua.edu.eg</w:t>
    </w:r>
  </w:p>
  <w:p>
    <w:pPr>
      <w:spacing w:before="40" w:after="0" w:line="240" w:lineRule="auto"/>
      <w:jc w:val="center"/>
    </w:pPr>
    <w:r>
      <w:rPr>
        <w:rFonts w:ascii="Times New Roman" w:hAnsi="Times New Roman" w:eastAsia="Times New Roman"/>
        <w:b w:val="0"/>
        <w:i w:val="0"/>
        <w:color w:val="000000"/>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center"/>
      <w:pBdr>
        <w:bottom w:val="single" w:sz="12" w:space="4" w:color="000000"/>
      </w:pBdr>
    </w:pPr>
    <w:r>
      <w:drawing>
        <wp:inline xmlns:a="http://schemas.openxmlformats.org/drawingml/2006/main" xmlns:pic="http://schemas.openxmlformats.org/drawingml/2006/picture">
          <wp:extent cx="5760000" cy="7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5760000" cy="768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