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ustomTitle"/>
        <w:jc w:val="right"/>
        <w:bidi w:val="1"/>
      </w:pPr>
      <w:r>
        <w:rPr>
          <w:rFonts w:ascii="Arial" w:hAnsi="Arial" w:cs="Arial"/>
          <w:b/>
          <w:color w:val="0F4C81"/>
          <w:sz w:val="44"/>
        </w:rPr>
        <w:t>Fayed — الرؤية الجديدة والخطة الموازية</w:t>
      </w:r>
    </w:p>
    <w:p>
      <w:pPr>
        <w:jc w:val="right"/>
        <w:bidi w:val="1"/>
      </w:pPr>
      <w:r>
        <w:rPr>
          <w:rFonts w:ascii="Arial" w:hAnsi="Arial" w:cs="Arial"/>
          <w:b w:val="0"/>
          <w:color w:val="4B5563"/>
          <w:sz w:val="22"/>
        </w:rPr>
        <w:t>وثيقة عمل تنفيذية تجمع بين roadmap المنصة الأساسية وطبقة تجربة الرعاية الجديدة المستلهمة من دراسة Shezlong.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/>
        <w:tc>
          <w:tcPr>
            <w:tcW w:type="dxa" w:w="9638"/>
            <w:shd w:fill="EEF4FB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0F4C81"/>
                <w:sz w:val="22"/>
              </w:rPr>
              <w:t>الخلاصة التنفيذية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F2937"/>
                <w:sz w:val="22"/>
              </w:rPr>
              <w:t>الخطة القديمة تظل مسؤولة عن بناء الـ platform core. الخطة الجديدة تضيف فوقها Care Experience Layer: guided matching، اختبارات، support كنظام منتج، و patient area أقرب إلى "رحلتي العلاجية" بدل dashboard تقليدي.</w:t>
            </w:r>
          </w:p>
        </w:tc>
      </w:tr>
    </w:tbl>
    <w:p/>
    <w:p>
      <w:pPr>
        <w:pStyle w:val="CustomH1"/>
        <w:jc w:val="right"/>
        <w:bidi w:val="1"/>
      </w:pPr>
      <w:r>
        <w:rPr>
          <w:rFonts w:ascii="Arial" w:hAnsi="Arial" w:cs="Arial"/>
          <w:b/>
          <w:color w:val="0F4C81"/>
          <w:sz w:val="30"/>
        </w:rPr>
        <w:t>1) الرؤية الجديدة: من منصة حجز إلى منصة ترشد المستخدم</w:t>
      </w:r>
    </w:p>
    <w:p>
      <w:pPr>
        <w:jc w:val="right"/>
        <w:bidi w:val="1"/>
      </w:pPr>
      <w:r>
        <w:rPr>
          <w:rFonts w:ascii="Arial" w:hAnsi="Arial" w:cs="Arial"/>
          <w:b w:val="0"/>
          <w:color w:val="222222"/>
          <w:sz w:val="22"/>
        </w:rPr>
        <w:t>الرؤية الجديدة لا تستبدل roadmap الحالية، بل تعيد توجيهها product-wise. الهدف أن تصبح Fayed منصة تساعد المستخدم على فهم احتياجه، اختيار الطريق المناسب، بدء العلاج، ثم متابعة رحلته العلاجية.</w:t>
      </w:r>
    </w:p>
    <w:p>
      <w:pPr>
        <w:ind w:left="0"/>
        <w:jc w:val="right"/>
        <w:bidi w:val="1"/>
      </w:pPr>
      <w:r>
        <w:rPr>
          <w:rFonts w:ascii="Arial" w:hAnsi="Arial" w:cs="Arial"/>
          <w:b w:val="0"/>
          <w:color w:val="222222"/>
          <w:sz w:val="22"/>
        </w:rPr>
        <w:t>• المنصة يجب أن تقدم أكثر من باب دخول: معالج مناسب، اختبار، حجز، دعم، أو متابعة الرحلة العلاجية.</w:t>
      </w:r>
    </w:p>
    <w:p>
      <w:pPr>
        <w:ind w:left="0"/>
        <w:jc w:val="right"/>
        <w:bidi w:val="1"/>
      </w:pPr>
      <w:r>
        <w:rPr>
          <w:rFonts w:ascii="Arial" w:hAnsi="Arial" w:cs="Arial"/>
          <w:b w:val="0"/>
          <w:color w:val="222222"/>
          <w:sz w:val="22"/>
        </w:rPr>
        <w:t>• القيمة الأساسية ليست في الشكل فقط، بل في decision scaffolding وتقليل الحمل المعرفي على المستخدم المتردد أو القلق.</w:t>
      </w:r>
    </w:p>
    <w:p>
      <w:pPr>
        <w:ind w:left="0"/>
        <w:jc w:val="right"/>
        <w:bidi w:val="1"/>
      </w:pPr>
      <w:r>
        <w:rPr>
          <w:rFonts w:ascii="Arial" w:hAnsi="Arial" w:cs="Arial"/>
          <w:b w:val="0"/>
          <w:color w:val="222222"/>
          <w:sz w:val="22"/>
        </w:rPr>
        <w:t>• كل خطوة رئيسية يجب أن تكون task-specific: discovery، matching، booking، payment، support، ثم continuity.</w:t>
      </w:r>
    </w:p>
    <w:p>
      <w:pPr>
        <w:pStyle w:val="CustomH1"/>
        <w:jc w:val="right"/>
        <w:bidi w:val="1"/>
      </w:pPr>
      <w:r>
        <w:rPr>
          <w:rFonts w:ascii="Arial" w:hAnsi="Arial" w:cs="Arial"/>
          <w:b/>
          <w:color w:val="0F4C81"/>
          <w:sz w:val="30"/>
        </w:rPr>
        <w:t>2) كيف تندمج مع الخطة القديمة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5272"/>
      </w:tblGrid>
      <w:tr>
        <w:tc>
          <w:tcPr>
            <w:tcW w:type="dxa" w:w="4252"/>
            <w:shd w:fill="D9EAF7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0F4C81"/>
                <w:sz w:val="22"/>
              </w:rPr>
              <w:t>المسار</w:t>
            </w:r>
          </w:p>
        </w:tc>
        <w:tc>
          <w:tcPr>
            <w:tcW w:type="dxa" w:w="5272"/>
            <w:shd w:fill="D9EAF7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0F4C81"/>
                <w:sz w:val="22"/>
              </w:rPr>
              <w:t>الدور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222222"/>
                <w:sz w:val="21"/>
              </w:rPr>
              <w:t>Track A — Platform Core</w:t>
            </w:r>
          </w:p>
        </w:tc>
        <w:tc>
          <w:tcPr>
            <w:tcW w:type="dxa" w:w="5272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222222"/>
                <w:sz w:val="21"/>
              </w:rPr>
              <w:t>نكمل عليه كما هو: auth, practitioners, sessions, payments, financial operations, verification, support infra, content infra, admin, hardening.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222222"/>
                <w:sz w:val="21"/>
              </w:rPr>
              <w:t>Track B — Care Experience Layer</w:t>
            </w:r>
          </w:p>
        </w:tc>
        <w:tc>
          <w:tcPr>
            <w:tcW w:type="dxa" w:w="5272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222222"/>
                <w:sz w:val="21"/>
              </w:rPr>
              <w:t>المسار الجديد فوق الـ core: guided entry points، guided matching، assessments/tests، booking hardening، support as product، therapy journey، content tied to care intent.</w:t>
            </w:r>
          </w:p>
        </w:tc>
      </w:tr>
    </w:tbl>
    <w:p/>
    <w:p>
      <w:pPr>
        <w:pStyle w:val="CustomH1"/>
        <w:jc w:val="right"/>
        <w:bidi w:val="1"/>
      </w:pPr>
      <w:r>
        <w:rPr>
          <w:rFonts w:ascii="Arial" w:hAnsi="Arial" w:cs="Arial"/>
          <w:b/>
          <w:color w:val="0F4C81"/>
          <w:sz w:val="30"/>
        </w:rPr>
        <w:t>3) مبادئ الخطة الجديدة</w:t>
      </w:r>
    </w:p>
    <w:p>
      <w:pPr>
        <w:ind w:left="0"/>
        <w:jc w:val="right"/>
        <w:bidi w:val="1"/>
      </w:pPr>
      <w:r>
        <w:rPr>
          <w:rFonts w:ascii="Arial" w:hAnsi="Arial" w:cs="Arial"/>
          <w:b w:val="0"/>
          <w:color w:val="222222"/>
          <w:sz w:val="22"/>
        </w:rPr>
        <w:t>• Guided matching فوق practitioner listing، وليس مجرد فلاتر إضافية.</w:t>
      </w:r>
    </w:p>
    <w:p>
      <w:pPr>
        <w:ind w:left="0"/>
        <w:jc w:val="right"/>
        <w:bidi w:val="1"/>
      </w:pPr>
      <w:r>
        <w:rPr>
          <w:rFonts w:ascii="Arial" w:hAnsi="Arial" w:cs="Arial"/>
          <w:b w:val="0"/>
          <w:color w:val="222222"/>
          <w:sz w:val="22"/>
        </w:rPr>
        <w:t>• Assessments كمدخل funnel و self-discovery، لا كـ content جانبي.</w:t>
      </w:r>
    </w:p>
    <w:p>
      <w:pPr>
        <w:ind w:left="0"/>
        <w:jc w:val="right"/>
        <w:bidi w:val="1"/>
      </w:pPr>
      <w:r>
        <w:rPr>
          <w:rFonts w:ascii="Arial" w:hAnsi="Arial" w:cs="Arial"/>
          <w:b w:val="0"/>
          <w:color w:val="222222"/>
          <w:sz w:val="22"/>
        </w:rPr>
        <w:t>• Support كنظام منتج حي، لا صفحة FAQ صامتة.</w:t>
      </w:r>
    </w:p>
    <w:p>
      <w:pPr>
        <w:ind w:left="0"/>
        <w:jc w:val="right"/>
        <w:bidi w:val="1"/>
      </w:pPr>
      <w:r>
        <w:rPr>
          <w:rFonts w:ascii="Arial" w:hAnsi="Arial" w:cs="Arial"/>
          <w:b w:val="0"/>
          <w:color w:val="222222"/>
          <w:sz w:val="22"/>
        </w:rPr>
        <w:t>• Patient area يعاد تعريفها إلى "رحلتي العلاجية".</w:t>
      </w:r>
    </w:p>
    <w:p>
      <w:pPr>
        <w:ind w:left="0"/>
        <w:jc w:val="right"/>
        <w:bidi w:val="1"/>
      </w:pPr>
      <w:r>
        <w:rPr>
          <w:rFonts w:ascii="Arial" w:hAnsi="Arial" w:cs="Arial"/>
          <w:b w:val="0"/>
          <w:color w:val="222222"/>
          <w:sz w:val="22"/>
        </w:rPr>
        <w:t>• التحويل من التردد إلى الفعل أهم من زيادة عدد الشاشات أو العناصر البصرية.</w:t>
      </w:r>
    </w:p>
    <w:p>
      <w:pPr>
        <w:pStyle w:val="CustomH1"/>
        <w:jc w:val="right"/>
        <w:bidi w:val="1"/>
      </w:pPr>
      <w:r>
        <w:rPr>
          <w:rFonts w:ascii="Arial" w:hAnsi="Arial" w:cs="Arial"/>
          <w:b/>
          <w:color w:val="0F4C81"/>
          <w:sz w:val="30"/>
        </w:rPr>
        <w:t>4) الخطة التنفيذية الجديدة (Product Experience Roadmap)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2381"/>
        <w:gridCol w:w="3175"/>
        <w:gridCol w:w="1304"/>
        <w:gridCol w:w="1531"/>
      </w:tblGrid>
      <w:tr>
        <w:tc>
          <w:tcPr>
            <w:tcW w:type="dxa" w:w="1247"/>
            <w:shd w:fill="D9EAF7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0F4C81"/>
                <w:sz w:val="21"/>
              </w:rPr>
              <w:t>المرحلة</w:t>
            </w:r>
          </w:p>
        </w:tc>
        <w:tc>
          <w:tcPr>
            <w:tcW w:type="dxa" w:w="2381"/>
            <w:shd w:fill="D9EAF7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0F4C81"/>
                <w:sz w:val="21"/>
              </w:rPr>
              <w:t>المكوّن</w:t>
            </w:r>
          </w:p>
        </w:tc>
        <w:tc>
          <w:tcPr>
            <w:tcW w:type="dxa" w:w="3175"/>
            <w:shd w:fill="D9EAF7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0F4C81"/>
                <w:sz w:val="21"/>
              </w:rPr>
              <w:t>ما الذي سنبنيه</w:t>
            </w:r>
          </w:p>
        </w:tc>
        <w:tc>
          <w:tcPr>
            <w:tcW w:type="dxa" w:w="1304"/>
            <w:shd w:fill="D9EAF7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0F4C81"/>
                <w:sz w:val="21"/>
              </w:rPr>
              <w:t>الأثر</w:t>
            </w:r>
          </w:p>
        </w:tc>
        <w:tc>
          <w:tcPr>
            <w:tcW w:type="dxa" w:w="1531"/>
            <w:shd w:fill="D9EAF7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0F4C81"/>
                <w:sz w:val="21"/>
              </w:rPr>
              <w:t>الأولوية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 w:val="0"/>
                <w:color w:val="222222"/>
                <w:sz w:val="19"/>
              </w:rPr>
              <w:t>X1</w:t>
            </w:r>
          </w:p>
        </w:tc>
        <w:tc>
          <w:tcPr>
            <w:tcW w:type="dxa" w:w="2381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222222"/>
                <w:sz w:val="19"/>
              </w:rPr>
              <w:t>Guided entry points</w:t>
            </w:r>
          </w:p>
        </w:tc>
        <w:tc>
          <w:tcPr>
            <w:tcW w:type="dxa" w:w="3175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222222"/>
                <w:sz w:val="19"/>
              </w:rPr>
              <w:t>إعادة ترتيب أبواب الدخول: ساعدني أجد المعالج المناسب، احجز الآن، ابدأ باختبار، أحتاج مساعدة، رحلتي العلاجية.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 w:val="0"/>
                <w:color w:val="222222"/>
                <w:sz w:val="19"/>
              </w:rPr>
              <w:t>Trust + clarity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 w:val="0"/>
                <w:color w:val="222222"/>
                <w:sz w:val="19"/>
              </w:rPr>
              <w:t>عالية جدًا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 w:val="0"/>
                <w:color w:val="222222"/>
                <w:sz w:val="19"/>
              </w:rPr>
              <w:t>X1</w:t>
            </w:r>
          </w:p>
        </w:tc>
        <w:tc>
          <w:tcPr>
            <w:tcW w:type="dxa" w:w="2381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222222"/>
                <w:sz w:val="19"/>
              </w:rPr>
              <w:t>Guided matching</w:t>
            </w:r>
          </w:p>
        </w:tc>
        <w:tc>
          <w:tcPr>
            <w:tcW w:type="dxa" w:w="3175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222222"/>
                <w:sz w:val="19"/>
              </w:rPr>
              <w:t>Flow أسئلة قصيرة يخرج recommended practitioners مع rationale واضح وCTA للحجز.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 w:val="0"/>
                <w:color w:val="222222"/>
                <w:sz w:val="19"/>
              </w:rPr>
              <w:t>Conversion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 w:val="0"/>
                <w:color w:val="222222"/>
                <w:sz w:val="19"/>
              </w:rPr>
              <w:t>عالية جدًا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 w:val="0"/>
                <w:color w:val="222222"/>
                <w:sz w:val="19"/>
              </w:rPr>
              <w:t>X1</w:t>
            </w:r>
          </w:p>
        </w:tc>
        <w:tc>
          <w:tcPr>
            <w:tcW w:type="dxa" w:w="2381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222222"/>
                <w:sz w:val="19"/>
              </w:rPr>
              <w:t>Booking &amp; payment hardening</w:t>
            </w:r>
          </w:p>
        </w:tc>
        <w:tc>
          <w:tcPr>
            <w:tcW w:type="dxa" w:w="3175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222222"/>
                <w:sz w:val="19"/>
              </w:rPr>
              <w:t>تحويل discovery -&gt; booking -&gt; payment إلى رحلة task-specific بشاشات واضحة ووظيفة واحدة لكل خطوة.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 w:val="0"/>
                <w:color w:val="222222"/>
                <w:sz w:val="19"/>
              </w:rPr>
              <w:t>Conversion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 w:val="0"/>
                <w:color w:val="222222"/>
                <w:sz w:val="19"/>
              </w:rPr>
              <w:t>عالية جدًا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 w:val="0"/>
                <w:color w:val="222222"/>
                <w:sz w:val="19"/>
              </w:rPr>
              <w:t>X2</w:t>
            </w:r>
          </w:p>
        </w:tc>
        <w:tc>
          <w:tcPr>
            <w:tcW w:type="dxa" w:w="2381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222222"/>
                <w:sz w:val="19"/>
              </w:rPr>
              <w:t>Assessments / tests</w:t>
            </w:r>
          </w:p>
        </w:tc>
        <w:tc>
          <w:tcPr>
            <w:tcW w:type="dxa" w:w="3175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222222"/>
                <w:sz w:val="19"/>
              </w:rPr>
              <w:t>اختبارات قصيرة (stress, anxiety, depression, sleep, burnout...) كمدخل funnel وربطها بالتوصية.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 w:val="0"/>
                <w:color w:val="222222"/>
                <w:sz w:val="19"/>
              </w:rPr>
              <w:t>Trust + lead quality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 w:val="0"/>
                <w:color w:val="222222"/>
                <w:sz w:val="19"/>
              </w:rPr>
              <w:t>عالية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 w:val="0"/>
                <w:color w:val="222222"/>
                <w:sz w:val="19"/>
              </w:rPr>
              <w:t>X2</w:t>
            </w:r>
          </w:p>
        </w:tc>
        <w:tc>
          <w:tcPr>
            <w:tcW w:type="dxa" w:w="2381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222222"/>
                <w:sz w:val="19"/>
              </w:rPr>
              <w:t>Support as product</w:t>
            </w:r>
          </w:p>
        </w:tc>
        <w:tc>
          <w:tcPr>
            <w:tcW w:type="dxa" w:w="3175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222222"/>
                <w:sz w:val="19"/>
              </w:rPr>
              <w:t>مركز مساعدة حي: مشاكل الحجز، الدفع، الحساب، طلب المساعدة، escalation paths.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 w:val="0"/>
                <w:color w:val="222222"/>
                <w:sz w:val="19"/>
              </w:rPr>
              <w:t>Confidence + ops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 w:val="0"/>
                <w:color w:val="222222"/>
                <w:sz w:val="19"/>
              </w:rPr>
              <w:t>متوسطة/عالية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 w:val="0"/>
                <w:color w:val="222222"/>
                <w:sz w:val="19"/>
              </w:rPr>
              <w:t>X2</w:t>
            </w:r>
          </w:p>
        </w:tc>
        <w:tc>
          <w:tcPr>
            <w:tcW w:type="dxa" w:w="2381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222222"/>
                <w:sz w:val="19"/>
              </w:rPr>
              <w:t>Therapy journey area</w:t>
            </w:r>
          </w:p>
        </w:tc>
        <w:tc>
          <w:tcPr>
            <w:tcW w:type="dxa" w:w="3175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222222"/>
                <w:sz w:val="19"/>
              </w:rPr>
              <w:t>تحويل patient area إلى جلسات قادمة، جلسات سابقة، اختبارات، توصيات، مدفوعات، متابعة علاجية.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 w:val="0"/>
                <w:color w:val="222222"/>
                <w:sz w:val="19"/>
              </w:rPr>
              <w:t>Retention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 w:val="0"/>
                <w:color w:val="222222"/>
                <w:sz w:val="19"/>
              </w:rPr>
              <w:t>عالية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 w:val="0"/>
                <w:color w:val="222222"/>
                <w:sz w:val="19"/>
              </w:rPr>
              <w:t>X3</w:t>
            </w:r>
          </w:p>
        </w:tc>
        <w:tc>
          <w:tcPr>
            <w:tcW w:type="dxa" w:w="2381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222222"/>
                <w:sz w:val="19"/>
              </w:rPr>
              <w:t>Content tied to care intent</w:t>
            </w:r>
          </w:p>
        </w:tc>
        <w:tc>
          <w:tcPr>
            <w:tcW w:type="dxa" w:w="3175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222222"/>
                <w:sz w:val="19"/>
              </w:rPr>
              <w:t>مقالات ومحتوى مرتبط بالاختبارات والاحتياج والحجز وبعد الجلسات.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 w:val="0"/>
                <w:color w:val="222222"/>
                <w:sz w:val="19"/>
              </w:rPr>
              <w:t>Education + retention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 w:val="0"/>
                <w:color w:val="222222"/>
                <w:sz w:val="19"/>
              </w:rPr>
              <w:t>متوسطة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 w:val="0"/>
                <w:color w:val="222222"/>
                <w:sz w:val="19"/>
              </w:rPr>
              <w:t>X3</w:t>
            </w:r>
          </w:p>
        </w:tc>
        <w:tc>
          <w:tcPr>
            <w:tcW w:type="dxa" w:w="2381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222222"/>
                <w:sz w:val="19"/>
              </w:rPr>
              <w:t>Continuity features</w:t>
            </w:r>
          </w:p>
        </w:tc>
        <w:tc>
          <w:tcPr>
            <w:tcW w:type="dxa" w:w="3175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222222"/>
                <w:sz w:val="19"/>
              </w:rPr>
              <w:t>rebooking prompts, follow-up nudges, journey continuity signals.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 w:val="0"/>
                <w:color w:val="222222"/>
                <w:sz w:val="19"/>
              </w:rPr>
              <w:t>Retention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 w:val="0"/>
                <w:color w:val="222222"/>
                <w:sz w:val="19"/>
              </w:rPr>
              <w:t>متوسطة</w:t>
            </w:r>
          </w:p>
        </w:tc>
      </w:tr>
    </w:tbl>
    <w:p/>
    <w:p>
      <w:pPr>
        <w:pStyle w:val="CustomH1"/>
        <w:jc w:val="right"/>
        <w:bidi w:val="1"/>
      </w:pPr>
      <w:r>
        <w:rPr>
          <w:rFonts w:ascii="Arial" w:hAnsi="Arial" w:cs="Arial"/>
          <w:b/>
          <w:color w:val="0F4C81"/>
          <w:sz w:val="30"/>
        </w:rPr>
        <w:t>5) ترتيب التنفيذ المقترح</w:t>
      </w:r>
    </w:p>
    <w:p>
      <w:pPr>
        <w:pStyle w:val="CustomH2"/>
        <w:jc w:val="right"/>
        <w:bidi w:val="1"/>
      </w:pPr>
      <w:r>
        <w:rPr>
          <w:rFonts w:ascii="Arial" w:hAnsi="Arial" w:cs="Arial"/>
          <w:b/>
          <w:color w:val="1F2937"/>
          <w:sz w:val="24"/>
        </w:rPr>
        <w:t>الربع/الدورة الأولى</w:t>
      </w:r>
    </w:p>
    <w:p>
      <w:pPr>
        <w:ind w:left="0"/>
        <w:jc w:val="right"/>
        <w:bidi w:val="1"/>
      </w:pPr>
      <w:r>
        <w:rPr>
          <w:rFonts w:ascii="Arial" w:hAnsi="Arial" w:cs="Arial"/>
          <w:b w:val="0"/>
          <w:color w:val="222222"/>
          <w:sz w:val="22"/>
        </w:rPr>
        <w:t>• Guided matching كأعلى differentiator في المنتج.</w:t>
      </w:r>
    </w:p>
    <w:p>
      <w:pPr>
        <w:ind w:left="0"/>
        <w:jc w:val="right"/>
        <w:bidi w:val="1"/>
      </w:pPr>
      <w:r>
        <w:rPr>
          <w:rFonts w:ascii="Arial" w:hAnsi="Arial" w:cs="Arial"/>
          <w:b w:val="0"/>
          <w:color w:val="222222"/>
          <w:sz w:val="22"/>
        </w:rPr>
        <w:t>• Booking/payment hardening لأنهما أعلى أثرًا على التحويل الفعلي.</w:t>
      </w:r>
    </w:p>
    <w:p>
      <w:pPr>
        <w:ind w:left="0"/>
        <w:jc w:val="right"/>
        <w:bidi w:val="1"/>
      </w:pPr>
      <w:r>
        <w:rPr>
          <w:rFonts w:ascii="Arial" w:hAnsi="Arial" w:cs="Arial"/>
          <w:b w:val="0"/>
          <w:color w:val="222222"/>
          <w:sz w:val="22"/>
        </w:rPr>
        <w:t>• إعادة تصميم entry points في home / discovery / patient entry architecture.</w:t>
      </w:r>
    </w:p>
    <w:p>
      <w:pPr>
        <w:pStyle w:val="CustomH2"/>
        <w:jc w:val="right"/>
        <w:bidi w:val="1"/>
      </w:pPr>
      <w:r>
        <w:rPr>
          <w:rFonts w:ascii="Arial" w:hAnsi="Arial" w:cs="Arial"/>
          <w:b/>
          <w:color w:val="1F2937"/>
          <w:sz w:val="24"/>
        </w:rPr>
        <w:t>الربع/الدورة الثانية</w:t>
      </w:r>
    </w:p>
    <w:p>
      <w:pPr>
        <w:ind w:left="0"/>
        <w:jc w:val="right"/>
        <w:bidi w:val="1"/>
      </w:pPr>
      <w:r>
        <w:rPr>
          <w:rFonts w:ascii="Arial" w:hAnsi="Arial" w:cs="Arial"/>
          <w:b w:val="0"/>
          <w:color w:val="222222"/>
          <w:sz w:val="22"/>
        </w:rPr>
        <w:t>• Assessments/tests وربطها بالمatching.</w:t>
      </w:r>
    </w:p>
    <w:p>
      <w:pPr>
        <w:ind w:left="0"/>
        <w:jc w:val="right"/>
        <w:bidi w:val="1"/>
      </w:pPr>
      <w:r>
        <w:rPr>
          <w:rFonts w:ascii="Arial" w:hAnsi="Arial" w:cs="Arial"/>
          <w:b w:val="0"/>
          <w:color w:val="222222"/>
          <w:sz w:val="22"/>
        </w:rPr>
        <w:t>• Support system واضح داخل مسارات الحجز والدفع والحساب.</w:t>
      </w:r>
    </w:p>
    <w:p>
      <w:pPr>
        <w:ind w:left="0"/>
        <w:jc w:val="right"/>
        <w:bidi w:val="1"/>
      </w:pPr>
      <w:r>
        <w:rPr>
          <w:rFonts w:ascii="Arial" w:hAnsi="Arial" w:cs="Arial"/>
          <w:b w:val="0"/>
          <w:color w:val="222222"/>
          <w:sz w:val="22"/>
        </w:rPr>
        <w:t>• Therapy journey area baseline داخل patient side.</w:t>
      </w:r>
    </w:p>
    <w:p>
      <w:pPr>
        <w:pStyle w:val="CustomH2"/>
        <w:jc w:val="right"/>
        <w:bidi w:val="1"/>
      </w:pPr>
      <w:r>
        <w:rPr>
          <w:rFonts w:ascii="Arial" w:hAnsi="Arial" w:cs="Arial"/>
          <w:b/>
          <w:color w:val="1F2937"/>
          <w:sz w:val="24"/>
        </w:rPr>
        <w:t>الربع/الدورة الثالثة</w:t>
      </w:r>
    </w:p>
    <w:p>
      <w:pPr>
        <w:ind w:left="0"/>
        <w:jc w:val="right"/>
        <w:bidi w:val="1"/>
      </w:pPr>
      <w:r>
        <w:rPr>
          <w:rFonts w:ascii="Arial" w:hAnsi="Arial" w:cs="Arial"/>
          <w:b w:val="0"/>
          <w:color w:val="222222"/>
          <w:sz w:val="22"/>
        </w:rPr>
        <w:t>• Content integration المرتبط بالاحتياج والنتائج.</w:t>
      </w:r>
    </w:p>
    <w:p>
      <w:pPr>
        <w:ind w:left="0"/>
        <w:jc w:val="right"/>
        <w:bidi w:val="1"/>
      </w:pPr>
      <w:r>
        <w:rPr>
          <w:rFonts w:ascii="Arial" w:hAnsi="Arial" w:cs="Arial"/>
          <w:b w:val="0"/>
          <w:color w:val="222222"/>
          <w:sz w:val="22"/>
        </w:rPr>
        <w:t>• Continuity/rebooking/follow-up prompts.</w:t>
      </w:r>
    </w:p>
    <w:p>
      <w:pPr>
        <w:ind w:left="0"/>
        <w:jc w:val="right"/>
        <w:bidi w:val="1"/>
      </w:pPr>
      <w:r>
        <w:rPr>
          <w:rFonts w:ascii="Arial" w:hAnsi="Arial" w:cs="Arial"/>
          <w:b w:val="0"/>
          <w:color w:val="222222"/>
          <w:sz w:val="22"/>
        </w:rPr>
        <w:t>• تحسينات قياس الأثر: conversion، completion، retention.</w:t>
      </w:r>
    </w:p>
    <w:p>
      <w:pPr>
        <w:pStyle w:val="CustomH1"/>
        <w:jc w:val="right"/>
        <w:bidi w:val="1"/>
      </w:pPr>
      <w:r>
        <w:rPr>
          <w:rFonts w:ascii="Arial" w:hAnsi="Arial" w:cs="Arial"/>
          <w:b/>
          <w:color w:val="0F4C81"/>
          <w:sz w:val="30"/>
        </w:rPr>
        <w:t>6) ما الذي نأخذه من Shezlong وما الذي لا نأخذه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592"/>
      </w:tblGrid>
      <w:tr>
        <w:tc>
          <w:tcPr>
            <w:tcW w:type="dxa" w:w="4932"/>
            <w:shd w:fill="D9EAF7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0F4C81"/>
                <w:sz w:val="21"/>
              </w:rPr>
              <w:t>نأخذه</w:t>
            </w:r>
          </w:p>
        </w:tc>
        <w:tc>
          <w:tcPr>
            <w:tcW w:type="dxa" w:w="4592"/>
            <w:shd w:fill="D9EAF7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0F4C81"/>
                <w:sz w:val="21"/>
              </w:rPr>
              <w:t>لا نأخذه</w:t>
            </w:r>
          </w:p>
        </w:tc>
      </w:tr>
      <w:tr>
        <w:tc>
          <w:tcPr>
            <w:tcW w:type="dxa" w:w="4932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222222"/>
                <w:sz w:val="20"/>
              </w:rPr>
              <w:t>• فلسفة guided matching فوق الدليل.</w:t>
            </w:r>
          </w:p>
        </w:tc>
        <w:tc>
          <w:tcPr>
            <w:tcW w:type="dxa" w:w="4592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222222"/>
                <w:sz w:val="20"/>
              </w:rPr>
              <w:t>• الستايل البصري التقليدي أو crowded layouts.</w:t>
            </w:r>
          </w:p>
        </w:tc>
      </w:tr>
      <w:tr>
        <w:tc>
          <w:tcPr>
            <w:tcW w:type="dxa" w:w="4932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222222"/>
                <w:sz w:val="20"/>
              </w:rPr>
              <w:t>• الاختبارات كمدخل funnel وليس كـ blog feature.</w:t>
            </w:r>
          </w:p>
        </w:tc>
        <w:tc>
          <w:tcPr>
            <w:tcW w:type="dxa" w:w="4592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222222"/>
                <w:sz w:val="20"/>
              </w:rPr>
              <w:t>• أي تعقيد قديم في information architecture.</w:t>
            </w:r>
          </w:p>
        </w:tc>
      </w:tr>
      <w:tr>
        <w:tc>
          <w:tcPr>
            <w:tcW w:type="dxa" w:w="4932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222222"/>
                <w:sz w:val="20"/>
              </w:rPr>
              <w:t>• support/help كجزء حي من المنتج.</w:t>
            </w:r>
          </w:p>
        </w:tc>
        <w:tc>
          <w:tcPr>
            <w:tcW w:type="dxa" w:w="4592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222222"/>
                <w:sz w:val="20"/>
              </w:rPr>
              <w:t>• نقل نفس الواجهة أو نفس التسميات كما هي.</w:t>
            </w:r>
          </w:p>
        </w:tc>
      </w:tr>
      <w:tr>
        <w:tc>
          <w:tcPr>
            <w:tcW w:type="dxa" w:w="4932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222222"/>
                <w:sz w:val="20"/>
              </w:rPr>
              <w:t>• فكرة therapy journey account.</w:t>
            </w:r>
          </w:p>
        </w:tc>
        <w:tc>
          <w:tcPr>
            <w:tcW w:type="dxa" w:w="4592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222222"/>
                <w:sz w:val="20"/>
              </w:rPr>
              <w:t>• زيادة الشاشات بلا وضوح في next step.</w:t>
            </w:r>
          </w:p>
        </w:tc>
      </w:tr>
      <w:tr>
        <w:tc>
          <w:tcPr>
            <w:tcW w:type="dxa" w:w="4932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222222"/>
                <w:sz w:val="20"/>
              </w:rPr>
              <w:t>• task-specific transactional flows للحجز والدفع.</w:t>
            </w:r>
          </w:p>
        </w:tc>
        <w:tc>
          <w:tcPr>
            <w:tcW w:type="dxa" w:w="4592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222222"/>
                <w:sz w:val="20"/>
              </w:rPr>
              <w:t>• الاعتماد على listing/filter فقط دون decision support.</w:t>
            </w:r>
          </w:p>
        </w:tc>
      </w:tr>
    </w:tbl>
    <w:p/>
    <w:p>
      <w:pPr>
        <w:pStyle w:val="CustomH1"/>
        <w:jc w:val="right"/>
        <w:bidi w:val="1"/>
      </w:pPr>
      <w:r>
        <w:rPr>
          <w:rFonts w:ascii="Arial" w:hAnsi="Arial" w:cs="Arial"/>
          <w:b/>
          <w:color w:val="0F4C81"/>
          <w:sz w:val="30"/>
        </w:rPr>
        <w:t>7) قرارات product واضحة من الآن</w:t>
      </w:r>
    </w:p>
    <w:p>
      <w:pPr>
        <w:ind w:left="0"/>
        <w:jc w:val="right"/>
        <w:bidi w:val="1"/>
      </w:pPr>
      <w:r>
        <w:rPr>
          <w:rFonts w:ascii="Arial" w:hAnsi="Arial" w:cs="Arial"/>
          <w:b w:val="0"/>
          <w:color w:val="222222"/>
          <w:sz w:val="22"/>
        </w:rPr>
        <w:t>• Guided matching ليست nice-to-have؛ هي core differentiator.</w:t>
      </w:r>
    </w:p>
    <w:p>
      <w:pPr>
        <w:ind w:left="0"/>
        <w:jc w:val="right"/>
        <w:bidi w:val="1"/>
      </w:pPr>
      <w:r>
        <w:rPr>
          <w:rFonts w:ascii="Arial" w:hAnsi="Arial" w:cs="Arial"/>
          <w:b w:val="0"/>
          <w:color w:val="222222"/>
          <w:sz w:val="22"/>
        </w:rPr>
        <w:t>• Tests ليست content side feature؛ هي self-discovery + trust + recommendation input.</w:t>
      </w:r>
    </w:p>
    <w:p>
      <w:pPr>
        <w:ind w:left="0"/>
        <w:jc w:val="right"/>
        <w:bidi w:val="1"/>
      </w:pPr>
      <w:r>
        <w:rPr>
          <w:rFonts w:ascii="Arial" w:hAnsi="Arial" w:cs="Arial"/>
          <w:b w:val="0"/>
          <w:color w:val="222222"/>
          <w:sz w:val="22"/>
        </w:rPr>
        <w:t>• Patient dashboard يجب أن تتطور إلى Therapy Journey area.</w:t>
      </w:r>
    </w:p>
    <w:p>
      <w:pPr>
        <w:ind w:left="0"/>
        <w:jc w:val="right"/>
        <w:bidi w:val="1"/>
      </w:pPr>
      <w:r>
        <w:rPr>
          <w:rFonts w:ascii="Arial" w:hAnsi="Arial" w:cs="Arial"/>
          <w:b w:val="0"/>
          <w:color w:val="222222"/>
          <w:sz w:val="22"/>
        </w:rPr>
        <w:t>• Support يجب أن تدخل في المسارات الحرجة للحجز والدفع والحساب، لا أن تبقى صفحة ثانوية.</w:t>
      </w:r>
    </w:p>
    <w:p>
      <w:pPr>
        <w:ind w:left="0"/>
        <w:jc w:val="right"/>
        <w:bidi w:val="1"/>
      </w:pPr>
      <w:r>
        <w:rPr>
          <w:rFonts w:ascii="Arial" w:hAnsi="Arial" w:cs="Arial"/>
          <w:b w:val="0"/>
          <w:color w:val="222222"/>
          <w:sz w:val="22"/>
        </w:rPr>
        <w:t>• كل feature جديدة تقاس على: Conversion / Trust / Retention / Complexity قبل اعتمادها.</w:t>
      </w:r>
    </w:p>
    <w:p>
      <w:pPr>
        <w:pStyle w:val="CustomH1"/>
        <w:jc w:val="right"/>
        <w:bidi w:val="1"/>
      </w:pPr>
      <w:r>
        <w:rPr>
          <w:rFonts w:ascii="Arial" w:hAnsi="Arial" w:cs="Arial"/>
          <w:b/>
          <w:color w:val="0F4C81"/>
          <w:sz w:val="30"/>
        </w:rPr>
        <w:t>8) الخطة المختصرة المعتمدة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969"/>
        <w:gridCol w:w="3855"/>
      </w:tblGrid>
      <w:tr>
        <w:tc>
          <w:tcPr>
            <w:tcW w:type="dxa" w:w="3289"/>
            <w:shd w:fill="D9EAF7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0F4C81"/>
                <w:sz w:val="21"/>
              </w:rPr>
              <w:t>المسار</w:t>
            </w:r>
          </w:p>
        </w:tc>
        <w:tc>
          <w:tcPr>
            <w:tcW w:type="dxa" w:w="3289"/>
            <w:shd w:fill="D9EAF7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0F4C81"/>
                <w:sz w:val="21"/>
              </w:rPr>
              <w:t>الهدف</w:t>
            </w:r>
          </w:p>
        </w:tc>
        <w:tc>
          <w:tcPr>
            <w:tcW w:type="dxa" w:w="3289"/>
            <w:shd w:fill="D9EAF7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0F4C81"/>
                <w:sz w:val="21"/>
              </w:rPr>
              <w:t>المخرجات الرئيسية</w:t>
            </w:r>
          </w:p>
        </w:tc>
      </w:tr>
      <w:tr>
        <w:tc>
          <w:tcPr>
            <w:tcW w:type="dxa" w:w="1814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 w:val="0"/>
                <w:color w:val="222222"/>
                <w:sz w:val="20"/>
              </w:rPr>
              <w:t>Track A</w:t>
            </w:r>
          </w:p>
        </w:tc>
        <w:tc>
          <w:tcPr>
            <w:tcW w:type="dxa" w:w="3969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222222"/>
                <w:sz w:val="20"/>
              </w:rPr>
              <w:t>استكمال platform core</w:t>
            </w:r>
          </w:p>
        </w:tc>
        <w:tc>
          <w:tcPr>
            <w:tcW w:type="dxa" w:w="3855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222222"/>
                <w:sz w:val="20"/>
              </w:rPr>
              <w:t>backend domains, finance, support/content infra, admin, hardening</w:t>
            </w:r>
          </w:p>
        </w:tc>
      </w:tr>
      <w:tr>
        <w:tc>
          <w:tcPr>
            <w:tcW w:type="dxa" w:w="1814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 w:val="0"/>
                <w:color w:val="222222"/>
                <w:sz w:val="20"/>
              </w:rPr>
              <w:t>Track B / X1</w:t>
            </w:r>
          </w:p>
        </w:tc>
        <w:tc>
          <w:tcPr>
            <w:tcW w:type="dxa" w:w="3969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222222"/>
                <w:sz w:val="20"/>
              </w:rPr>
              <w:t>رفع التحويل</w:t>
            </w:r>
          </w:p>
        </w:tc>
        <w:tc>
          <w:tcPr>
            <w:tcW w:type="dxa" w:w="3855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222222"/>
                <w:sz w:val="20"/>
              </w:rPr>
              <w:t>entry points + guided matching + booking/payment hardening</w:t>
            </w:r>
          </w:p>
        </w:tc>
      </w:tr>
      <w:tr>
        <w:tc>
          <w:tcPr>
            <w:tcW w:type="dxa" w:w="1814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 w:val="0"/>
                <w:color w:val="222222"/>
                <w:sz w:val="20"/>
              </w:rPr>
              <w:t>Track B / X2</w:t>
            </w:r>
          </w:p>
        </w:tc>
        <w:tc>
          <w:tcPr>
            <w:tcW w:type="dxa" w:w="3969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222222"/>
                <w:sz w:val="20"/>
              </w:rPr>
              <w:t>رفع الثقة والإرشاد</w:t>
            </w:r>
          </w:p>
        </w:tc>
        <w:tc>
          <w:tcPr>
            <w:tcW w:type="dxa" w:w="3855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222222"/>
                <w:sz w:val="20"/>
              </w:rPr>
              <w:t>assessments + support + therapy journey</w:t>
            </w:r>
          </w:p>
        </w:tc>
      </w:tr>
      <w:tr>
        <w:tc>
          <w:tcPr>
            <w:tcW w:type="dxa" w:w="1814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 w:val="0"/>
                <w:color w:val="222222"/>
                <w:sz w:val="20"/>
              </w:rPr>
              <w:t>Track B / X3</w:t>
            </w:r>
          </w:p>
        </w:tc>
        <w:tc>
          <w:tcPr>
            <w:tcW w:type="dxa" w:w="3969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222222"/>
                <w:sz w:val="20"/>
              </w:rPr>
              <w:t>رفع الاستمرارية</w:t>
            </w:r>
          </w:p>
        </w:tc>
        <w:tc>
          <w:tcPr>
            <w:tcW w:type="dxa" w:w="3855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222222"/>
                <w:sz w:val="20"/>
              </w:rPr>
              <w:t>content integration + continuity prompts + rebooking</w:t>
            </w:r>
          </w:p>
        </w:tc>
      </w:tr>
    </w:tbl>
    <w:sectPr w:rsidR="00FC693F" w:rsidRPr="0006063C" w:rsidSect="00034616"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basedOn w:val="Title"/>
    <w:rPr>
      <w:rFonts w:ascii="Arial" w:hAnsi="Arial" w:cs="Arial"/>
      <w:b/>
      <w:color w:val="0F4C81"/>
      <w:sz w:val="44"/>
    </w:rPr>
  </w:style>
  <w:style w:type="paragraph" w:customStyle="1" w:styleId="CustomH1">
    <w:name w:val="CustomH1"/>
    <w:basedOn w:val="Heading1"/>
    <w:rPr>
      <w:rFonts w:ascii="Arial" w:hAnsi="Arial" w:cs="Arial"/>
      <w:b/>
      <w:color w:val="0F4C81"/>
      <w:sz w:val="30"/>
    </w:rPr>
  </w:style>
  <w:style w:type="paragraph" w:customStyle="1" w:styleId="CustomH2">
    <w:name w:val="CustomH2"/>
    <w:basedOn w:val="Heading2"/>
    <w:rPr>
      <w:rFonts w:ascii="Arial" w:hAnsi="Arial" w:cs="Arial"/>
      <w:b/>
      <w:color w:val="1F2937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