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62153B4D"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3FD9CB25" w:rsidR="174BC47C" w:rsidRPr="008F1FE4" w:rsidRDefault="15741671" w:rsidP="721B2024">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http://schemas.openxmlformats.org/drawingml/2006/main" xmlns:pic="http://schemas.openxmlformats.org/drawingml/2006/picture" xmlns:a14="http://schemas.microsoft.com/office/drawing/2010/main">
            <w:pict>
              <v:shapetype id="_x0000_t67" coordsize="21600,21600" o:spt="67" adj="16200,5400" path="m0@0l@1@0@1,0@2,0@2@0,21600@0,10800,21600xe" w14:anchorId="503C386A">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70ad47 [3209]" strokecolor="#10190a [489]" strokeweight="1pt" type="#_x0000_t67" adj="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id="0" w:name="OLE_LINK1"/>
    <w:p w14:paraId="506D51E9" w14:textId="6686959E" w:rsidR="00046A65" w:rsidRDefault="00087956" w:rsidP="003413B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v:shapetype id="_x0000_t66" coordsize="21600,21600" o:spt="66" adj="5400,5400" path="m@0,l@0@1,21600@1,21600@2@0@2@0,21600,,10800xe" w14:anchorId="4D35459D">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10190a [489]" strokeweight="1pt" type="#_x0000_t66" adj="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001041B2">
        <w:trPr>
          <w:cantSplit/>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567ABFE1" w14:textId="5E76DC58" w:rsidR="00662F84" w:rsidRDefault="00662F84" w:rsidP="2D343F8A">
            <w:pPr>
              <w:rPr>
                <w:b/>
                <w:bCs/>
              </w:rPr>
            </w:pPr>
          </w:p>
          <w:p w14:paraId="6F8A90A2" w14:textId="77777777" w:rsidR="002014D8" w:rsidRDefault="002014D8"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001041B2">
        <w:trPr>
          <w:cantSplit/>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BA2DBEF" w14:textId="0F4A8C47" w:rsidR="002014D8" w:rsidRPr="00573861" w:rsidRDefault="002014D8" w:rsidP="2D343F8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001041B2">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5D067D7F" w:rsidR="00CC7F39" w:rsidRDefault="00CC7F39" w:rsidP="00B36BDA">
            <w:pPr>
              <w:jc w:val="center"/>
              <w:rPr>
                <w:b/>
                <w:bCs/>
              </w:rPr>
            </w:pPr>
            <w:r w:rsidRPr="00814A27">
              <w:rPr>
                <w:b/>
                <w:bCs/>
              </w:rPr>
              <w:t>Throughput</w:t>
            </w:r>
            <w:r w:rsidR="002014D8">
              <w:rPr>
                <w:b/>
                <w:bCs/>
              </w:rPr>
              <w:t xml:space="preserve"> </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4C21CAA5" w14:textId="6B7F07A2" w:rsidR="002014D8" w:rsidRPr="003B7559" w:rsidRDefault="002014D8" w:rsidP="2D343F8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001041B2">
        <w:trPr>
          <w:cantSplit/>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5D095D55" w:rsidR="00CC7F39" w:rsidRDefault="00CC7F39" w:rsidP="00B36BDA">
            <w:pPr>
              <w:jc w:val="center"/>
              <w:rPr>
                <w:b/>
                <w:bCs/>
              </w:rPr>
            </w:pPr>
            <w:r w:rsidRPr="00814A27">
              <w:rPr>
                <w:b/>
                <w:bCs/>
              </w:rPr>
              <w:t>Defect Aging</w:t>
            </w:r>
            <w:r w:rsidR="002014D8">
              <w:rPr>
                <w:b/>
                <w:bCs/>
              </w:rPr>
              <w:t xml:space="preserve"> </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0210FD9" w14:textId="46F30BA3" w:rsidR="002014D8" w:rsidRDefault="002014D8" w:rsidP="2D343F8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001041B2">
        <w:trPr>
          <w:cantSplit/>
          <w:trHeight w:val="2805"/>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4509DBE3" w14:textId="59986042" w:rsidR="00F549FB" w:rsidRDefault="00F549FB" w:rsidP="2D343F8A">
            <w:pPr>
              <w:rPr>
                <w:b/>
                <w:bCs/>
              </w:rPr>
            </w:pPr>
          </w:p>
          <w:p w14:paraId="7C11282E" w14:textId="77777777" w:rsidR="002014D8" w:rsidRDefault="002014D8" w:rsidP="00B36BDA">
            <w:pPr>
              <w:rPr>
                <w:b/>
                <w:bCs/>
              </w:rPr>
            </w:pPr>
          </w:p>
          <w:p w14:paraId="2A24B66E" w14:textId="77777777" w:rsidR="002014D8" w:rsidRDefault="002014D8"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001041B2">
        <w:trPr>
          <w:cantSplit/>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892399" cy="1456734"/>
                  <wp:effectExtent l="57150" t="57150" r="80010" b="6731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rcRect/>
                          <a:stretch>
                            <a:fillRect/>
                          </a:stretch>
                        </pic:blipFill>
                        <pic:spPr>
                          <a:xfrm>
                            <a:off x="0" y="0"/>
                            <a:ext cx="2892399" cy="1456734"/>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0110870F" w14:textId="467C271C" w:rsidR="00662F84" w:rsidRDefault="00662F84" w:rsidP="2D343F8A"/>
          <w:p w14:paraId="0874AEE2" w14:textId="77777777" w:rsidR="002014D8" w:rsidRPr="003B7559" w:rsidRDefault="002014D8"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001041B2">
        <w:trPr>
          <w:cantSplit/>
          <w:trHeight w:val="1880"/>
        </w:trPr>
        <w:tc>
          <w:tcPr>
            <w:tcW w:w="1815" w:type="pct"/>
          </w:tcPr>
          <w:p w14:paraId="3C610F43" w14:textId="02F2F13E" w:rsidR="00CC7F39" w:rsidRDefault="5058E775" w:rsidP="0591935C">
            <w:pPr>
              <w:jc w:val="center"/>
              <w:rPr>
                <w:b/>
                <w:bCs/>
              </w:rPr>
            </w:pPr>
            <w:r w:rsidRPr="0591935C">
              <w:rPr>
                <w:b/>
                <w:bCs/>
              </w:rPr>
              <w:t>Feature Throughput (#)</w:t>
            </w:r>
            <w:r w:rsidR="132F14E5" w:rsidRPr="0591935C">
              <w:rPr>
                <w:b/>
                <w:bCs/>
              </w:rPr>
              <w:t xml:space="preserve">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90770"/>
                  <wp:effectExtent l="57150" t="57150" r="76200" b="8572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rcRect/>
                          <a:stretch>
                            <a:fillRect/>
                          </a:stretch>
                        </pic:blipFill>
                        <pic:spPr>
                          <a:xfrm>
                            <a:off x="0" y="0"/>
                            <a:ext cx="2895600" cy="159077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w:t>
            </w:r>
            <w:proofErr w:type="gramStart"/>
            <w:r w:rsidRPr="004C3D10">
              <w:t>in a given</w:t>
            </w:r>
            <w:proofErr w:type="gramEnd"/>
            <w:r w:rsidRPr="004C3D10">
              <w:t xml:space="preserve"> time period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22F88CD6" w14:textId="245C7C52" w:rsidR="002014D8" w:rsidRDefault="002014D8" w:rsidP="5B8F9C32">
            <w:pPr>
              <w:rPr>
                <w:b/>
                <w:bCs/>
              </w:rPr>
            </w:pPr>
          </w:p>
          <w:p w14:paraId="59A17F86" w14:textId="7CC3C148" w:rsidR="5B8F9C32" w:rsidRDefault="5B8F9C32" w:rsidP="5B8F9C32">
            <w:pPr>
              <w:rPr>
                <w:b/>
                <w:bCs/>
              </w:rPr>
            </w:pPr>
          </w:p>
          <w:p w14:paraId="4FECF05B" w14:textId="274DAF0D" w:rsidR="0034409B" w:rsidRDefault="0034409B" w:rsidP="2D343F8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001041B2">
        <w:trPr>
          <w:cantSplit/>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781E8116" w14:textId="33ADF568" w:rsidR="00662F84" w:rsidRDefault="00662F84" w:rsidP="2D343F8A">
            <w:pPr>
              <w:rPr>
                <w:b/>
                <w:bCs/>
              </w:rPr>
            </w:pPr>
          </w:p>
          <w:p w14:paraId="68942C2A" w14:textId="707629FB" w:rsidR="002014D8" w:rsidRDefault="002014D8" w:rsidP="00B36BDA">
            <w:pPr>
              <w:rPr>
                <w:b/>
                <w:bCs/>
              </w:rPr>
            </w:pPr>
          </w:p>
          <w:p w14:paraId="7B0FB9E7" w14:textId="2C86C2A5" w:rsidR="0034409B" w:rsidRDefault="0034409B"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001041B2">
        <w:trPr>
          <w:cantSplit/>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4E6C8E6B" w14:textId="24E172DB" w:rsidR="002014D8" w:rsidRDefault="002014D8" w:rsidP="2D343F8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001041B2">
        <w:trPr>
          <w:cantSplit/>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325880"/>
                  <wp:effectExtent l="57150" t="57150" r="82550" b="83820"/>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rcRect/>
                          <a:stretch>
                            <a:fillRect/>
                          </a:stretch>
                        </pic:blipFill>
                        <pic:spPr>
                          <a:xfrm>
                            <a:off x="0" y="0"/>
                            <a:ext cx="2889504" cy="132588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458CFE38" w14:textId="53D0BCE8" w:rsidR="002014D8" w:rsidRPr="005B3A18" w:rsidRDefault="002014D8" w:rsidP="2D343F8A"/>
          <w:p w14:paraId="178B0B71" w14:textId="37093C18" w:rsidR="00CC7F39" w:rsidRDefault="00CC7F39" w:rsidP="00B36BDA">
            <w:pPr>
              <w:rPr>
                <w:b/>
                <w:bCs/>
              </w:rPr>
            </w:pPr>
            <w:r>
              <w:rPr>
                <w:b/>
                <w:bCs/>
              </w:rPr>
              <w:t>Formula</w:t>
            </w:r>
            <w:r w:rsidR="00827736">
              <w:rPr>
                <w:b/>
                <w:bCs/>
              </w:rPr>
              <w:t>s</w:t>
            </w:r>
            <w:r>
              <w:rPr>
                <w:b/>
                <w:bCs/>
              </w:rPr>
              <w:t xml:space="preserve"> Description:</w:t>
            </w:r>
          </w:p>
          <w:p w14:paraId="543E9230" w14:textId="77777777" w:rsidR="00CC7F39" w:rsidRDefault="56BEB910"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5535DD6C" w:rsidRPr="004F1EC8">
              <w:rPr>
                <w:shd w:val="clear" w:color="auto" w:fill="E2EFD9" w:themeFill="accent6" w:themeFillTint="33"/>
              </w:rPr>
              <w:t xml:space="preserve">Average Days Features Spend </w:t>
            </w:r>
            <w:r w:rsidR="017F0509" w:rsidRPr="004F1EC8">
              <w:rPr>
                <w:shd w:val="clear" w:color="auto" w:fill="E2EFD9" w:themeFill="accent6" w:themeFillTint="33"/>
              </w:rPr>
              <w:t>f</w:t>
            </w:r>
            <w:r w:rsidR="5535DD6C" w:rsidRPr="004F1EC8">
              <w:rPr>
                <w:shd w:val="clear" w:color="auto" w:fill="E2EFD9" w:themeFill="accent6" w:themeFillTint="33"/>
              </w:rPr>
              <w:t>rom Solution D</w:t>
            </w:r>
            <w:r w:rsidR="1B11B690" w:rsidRPr="004F1EC8">
              <w:rPr>
                <w:shd w:val="clear" w:color="auto" w:fill="E2EFD9" w:themeFill="accent6" w:themeFillTint="33"/>
              </w:rPr>
              <w:t>esign</w:t>
            </w:r>
            <w:r w:rsidR="5535DD6C" w:rsidRPr="004F1EC8">
              <w:rPr>
                <w:shd w:val="clear" w:color="auto" w:fill="E2EFD9" w:themeFill="accent6" w:themeFillTint="33"/>
              </w:rPr>
              <w:t xml:space="preserve"> to C</w:t>
            </w:r>
            <w:r w:rsidR="1B11B690"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tc>
      </w:tr>
      <w:tr w:rsidR="005F1F52" w14:paraId="63EC6890" w14:textId="77777777" w:rsidTr="001041B2">
        <w:trPr>
          <w:cantSplit/>
          <w:trHeight w:val="2870"/>
        </w:trPr>
        <w:tc>
          <w:tcPr>
            <w:tcW w:w="1815" w:type="pct"/>
          </w:tcPr>
          <w:p w14:paraId="068948E4" w14:textId="1A645461" w:rsidR="005F1F52" w:rsidRDefault="005F1F52" w:rsidP="005F1F52">
            <w:pPr>
              <w:jc w:val="center"/>
              <w:rPr>
                <w:b/>
                <w:bCs/>
              </w:rPr>
            </w:pPr>
            <w:r w:rsidRPr="00FB43D9">
              <w:rPr>
                <w:b/>
                <w:bCs/>
              </w:rPr>
              <w:t>Feature</w:t>
            </w:r>
            <w:r w:rsidR="005C5325">
              <w:rPr>
                <w:b/>
                <w:bCs/>
              </w:rPr>
              <w:t>s</w:t>
            </w:r>
            <w:r w:rsidRPr="00FB43D9">
              <w:rPr>
                <w:b/>
                <w:bCs/>
              </w:rPr>
              <w:t xml:space="preserve"> </w:t>
            </w:r>
            <w:r w:rsidR="008B65A3">
              <w:rPr>
                <w:b/>
                <w:bCs/>
              </w:rPr>
              <w:t>Planned Vs. Delivered</w:t>
            </w:r>
            <w:r w:rsidR="002014D8">
              <w:rPr>
                <w:b/>
                <w:bCs/>
              </w:rPr>
              <w:t xml:space="preserve"> </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1152E713" w14:textId="4AE905B3" w:rsidR="0037133A" w:rsidRDefault="0037133A" w:rsidP="2D343F8A"/>
          <w:p w14:paraId="3CE14B7F" w14:textId="77777777" w:rsidR="002014D8" w:rsidRPr="003A2D39" w:rsidRDefault="002014D8"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001041B2">
        <w:trPr>
          <w:cantSplit/>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001041B2">
        <w:trPr>
          <w:cantSplit/>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1311616D" w14:textId="77777777" w:rsidR="002014D8" w:rsidRPr="003A2D39" w:rsidRDefault="002014D8"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001041B2">
        <w:trPr>
          <w:cantSplit/>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24C73E79">
                  <wp:extent cx="2989580" cy="1495425"/>
                  <wp:effectExtent l="57150" t="57150" r="96520" b="10477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49567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6D60A7A1" w14:textId="77777777" w:rsidR="00662F84" w:rsidRDefault="00662F84" w:rsidP="00AD20CB"/>
          <w:p w14:paraId="36D9D7F2" w14:textId="77777777" w:rsidR="002014D8" w:rsidRDefault="002014D8"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r w:rsidR="0591935C" w14:paraId="63076570" w14:textId="77777777" w:rsidTr="001041B2">
        <w:trPr>
          <w:cantSplit/>
          <w:trHeight w:val="2877"/>
        </w:trPr>
        <w:tc>
          <w:tcPr>
            <w:tcW w:w="5401" w:type="dxa"/>
          </w:tcPr>
          <w:p w14:paraId="58EA496E" w14:textId="1E500275" w:rsidR="0591935C" w:rsidRDefault="0591935C" w:rsidP="0591935C">
            <w:pPr>
              <w:jc w:val="center"/>
              <w:rPr>
                <w:b/>
                <w:bCs/>
              </w:rPr>
            </w:pPr>
            <w:r w:rsidRPr="0591935C">
              <w:rPr>
                <w:b/>
                <w:bCs/>
              </w:rPr>
              <w:t xml:space="preserve">Release Frequency (Average) </w:t>
            </w:r>
            <w:r>
              <w:rPr>
                <w:noProof/>
              </w:rPr>
              <w:drawing>
                <wp:inline distT="0" distB="0" distL="0" distR="0" wp14:anchorId="1E215AB6" wp14:editId="05BC7758">
                  <wp:extent cx="2884873" cy="1657350"/>
                  <wp:effectExtent l="57150" t="57150" r="86995" b="95250"/>
                  <wp:docPr id="124162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4873" cy="165735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9477" w:type="dxa"/>
          </w:tcPr>
          <w:p w14:paraId="42109C15" w14:textId="77777777" w:rsidR="0591935C" w:rsidRDefault="0591935C"/>
          <w:p w14:paraId="22B3522E" w14:textId="77777777" w:rsidR="0591935C" w:rsidRDefault="0591935C" w:rsidP="0591935C">
            <w:pPr>
              <w:rPr>
                <w:b/>
                <w:bCs/>
              </w:rPr>
            </w:pPr>
            <w:r w:rsidRPr="0591935C">
              <w:rPr>
                <w:b/>
                <w:bCs/>
              </w:rPr>
              <w:t>Metrics Description:</w:t>
            </w:r>
          </w:p>
          <w:p w14:paraId="5AEB82E4" w14:textId="77777777" w:rsidR="0591935C" w:rsidRDefault="0591935C">
            <w:r>
              <w:t xml:space="preserve">The </w:t>
            </w:r>
            <w:r w:rsidRPr="0591935C">
              <w:rPr>
                <w:rFonts w:ascii="Calibri" w:eastAsia="Calibri" w:hAnsi="Calibri" w:cs="Calibri"/>
                <w:b/>
                <w:bCs/>
                <w:color w:val="000000" w:themeColor="text1"/>
              </w:rPr>
              <w:t>Release Frequency</w:t>
            </w:r>
            <w:r>
              <w:t xml:space="preserve"> </w:t>
            </w:r>
            <w:r w:rsidRPr="0591935C">
              <w:rPr>
                <w:b/>
                <w:bCs/>
              </w:rPr>
              <w:t>(Average)</w:t>
            </w:r>
            <w:r>
              <w:t xml:space="preserve"> metric measures the ability of the team to deliver consistently month after month.</w:t>
            </w:r>
          </w:p>
          <w:p w14:paraId="3F665970" w14:textId="77777777" w:rsidR="0591935C" w:rsidRDefault="0591935C"/>
          <w:p w14:paraId="0264B6A9" w14:textId="77777777" w:rsidR="0591935C" w:rsidRDefault="0591935C"/>
          <w:p w14:paraId="2381021A" w14:textId="77777777" w:rsidR="0591935C" w:rsidRDefault="0591935C"/>
          <w:p w14:paraId="10080357" w14:textId="77777777" w:rsidR="0591935C" w:rsidRDefault="0591935C"/>
          <w:p w14:paraId="7A64574F" w14:textId="77777777" w:rsidR="0591935C" w:rsidRDefault="0591935C"/>
          <w:p w14:paraId="45CA2FB8" w14:textId="77777777" w:rsidR="0591935C" w:rsidRDefault="0591935C" w:rsidP="0591935C">
            <w:pPr>
              <w:rPr>
                <w:b/>
                <w:bCs/>
              </w:rPr>
            </w:pPr>
            <w:r w:rsidRPr="0591935C">
              <w:rPr>
                <w:b/>
                <w:bCs/>
              </w:rPr>
              <w:t>Formula Description:</w:t>
            </w:r>
          </w:p>
          <w:p w14:paraId="6760DA6D" w14:textId="708D3DE8" w:rsidR="0591935C" w:rsidRDefault="0591935C">
            <w:r>
              <w:t>Days From the First Feature in Progress to the Actual Release Date</w:t>
            </w:r>
          </w:p>
        </w:tc>
      </w:tr>
      <w:tr w:rsidR="0591935C" w14:paraId="71FC16BF" w14:textId="77777777" w:rsidTr="001041B2">
        <w:trPr>
          <w:cantSplit/>
          <w:trHeight w:val="2877"/>
        </w:trPr>
        <w:tc>
          <w:tcPr>
            <w:tcW w:w="5401" w:type="dxa"/>
          </w:tcPr>
          <w:p w14:paraId="2D1D0F0C" w14:textId="3AB44B1F" w:rsidR="47A43525" w:rsidRDefault="47A43525" w:rsidP="0591935C">
            <w:pPr>
              <w:jc w:val="center"/>
              <w:rPr>
                <w:b/>
                <w:bCs/>
              </w:rPr>
            </w:pPr>
            <w:r w:rsidRPr="0591935C">
              <w:rPr>
                <w:b/>
                <w:bCs/>
              </w:rPr>
              <w:t>Release Batch Size (Count &amp; Effort) Features</w:t>
            </w:r>
          </w:p>
          <w:p w14:paraId="507F9A5E" w14:textId="4C0C935B" w:rsidR="47A43525" w:rsidRDefault="47A43525" w:rsidP="0591935C">
            <w:pPr>
              <w:jc w:val="center"/>
              <w:rPr>
                <w:b/>
                <w:bCs/>
              </w:rPr>
            </w:pPr>
            <w:r>
              <w:rPr>
                <w:noProof/>
              </w:rPr>
              <w:drawing>
                <wp:inline distT="0" distB="0" distL="0" distR="0" wp14:anchorId="073E9618" wp14:editId="770E96CF">
                  <wp:extent cx="3084830" cy="1704775"/>
                  <wp:effectExtent l="57150" t="57150" r="96520" b="86360"/>
                  <wp:docPr id="143105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84830" cy="170477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9477" w:type="dxa"/>
          </w:tcPr>
          <w:p w14:paraId="4F403435" w14:textId="1E5E2B3C" w:rsidR="3B61583E" w:rsidRDefault="3B61583E" w:rsidP="0591935C">
            <w:pPr>
              <w:rPr>
                <w:b/>
                <w:bCs/>
              </w:rPr>
            </w:pPr>
            <w:r w:rsidRPr="0591935C">
              <w:rPr>
                <w:b/>
                <w:bCs/>
              </w:rPr>
              <w:t>Metrics Description:</w:t>
            </w:r>
          </w:p>
          <w:p w14:paraId="5A95A5F7" w14:textId="522C8A10" w:rsidR="3B61583E" w:rsidRDefault="3B61583E">
            <w:r>
              <w:t xml:space="preserve">The </w:t>
            </w:r>
            <w:r w:rsidRPr="0591935C">
              <w:rPr>
                <w:b/>
                <w:bCs/>
              </w:rPr>
              <w:t>Release Batch Size (Count &amp; Effort) Features</w:t>
            </w:r>
            <w:r>
              <w:t xml:space="preserve"> measure the average size of the releases for each month. The team's goal is to work on smaller backlog items to reduce the cost of changing requirements and provide incremental solutions to customers that can be validated early.</w:t>
            </w:r>
          </w:p>
          <w:p w14:paraId="668E949B" w14:textId="77777777" w:rsidR="0591935C" w:rsidRDefault="0591935C"/>
          <w:p w14:paraId="7401AD8D" w14:textId="77777777" w:rsidR="0591935C" w:rsidRDefault="0591935C"/>
          <w:p w14:paraId="6D37CB0A" w14:textId="77777777" w:rsidR="0591935C" w:rsidRDefault="0591935C"/>
          <w:p w14:paraId="46ABE3AD" w14:textId="77777777" w:rsidR="0591935C" w:rsidRDefault="0591935C"/>
          <w:p w14:paraId="0B887FFF" w14:textId="78533BDB" w:rsidR="3B61583E" w:rsidRDefault="3B61583E" w:rsidP="0591935C">
            <w:pPr>
              <w:rPr>
                <w:b/>
                <w:bCs/>
              </w:rPr>
            </w:pPr>
            <w:r w:rsidRPr="0591935C">
              <w:rPr>
                <w:b/>
                <w:bCs/>
              </w:rPr>
              <w:t>Formulas Description:</w:t>
            </w:r>
          </w:p>
          <w:p w14:paraId="31F844FA" w14:textId="12A7D97F" w:rsidR="3B61583E" w:rsidRDefault="3B61583E">
            <w:r>
              <w:t>Release Batch Size (Count): The Average Number of Features in a Release</w:t>
            </w:r>
          </w:p>
          <w:p w14:paraId="485752A1" w14:textId="7C424D58" w:rsidR="3B61583E" w:rsidRDefault="3B61583E">
            <w:r>
              <w:t>Release Batch Size (Effort): The Average Sum of Effort of Features in a Release</w:t>
            </w:r>
          </w:p>
          <w:p w14:paraId="01960E6F" w14:textId="71577BD7" w:rsidR="0591935C" w:rsidRDefault="0591935C" w:rsidP="0591935C"/>
        </w:tc>
      </w:tr>
    </w:tbl>
    <w:p w14:paraId="29B2E7A7" w14:textId="4F113AC7" w:rsidR="00BD6EDE" w:rsidRDefault="00BD6EDE"/>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251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41B2"/>
    <w:rsid w:val="0010550B"/>
    <w:rsid w:val="00114DF3"/>
    <w:rsid w:val="001159E8"/>
    <w:rsid w:val="00125983"/>
    <w:rsid w:val="001269A4"/>
    <w:rsid w:val="001306FF"/>
    <w:rsid w:val="00141A91"/>
    <w:rsid w:val="00143160"/>
    <w:rsid w:val="00150986"/>
    <w:rsid w:val="0015225A"/>
    <w:rsid w:val="00160AE3"/>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09B"/>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55538"/>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24E5"/>
    <w:rsid w:val="005C4D4C"/>
    <w:rsid w:val="005C5325"/>
    <w:rsid w:val="005D0190"/>
    <w:rsid w:val="005D279C"/>
    <w:rsid w:val="005D6588"/>
    <w:rsid w:val="005E3E1D"/>
    <w:rsid w:val="005F1F52"/>
    <w:rsid w:val="005F2F67"/>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7F0509"/>
    <w:rsid w:val="01EC5211"/>
    <w:rsid w:val="025C799D"/>
    <w:rsid w:val="02D0CAFC"/>
    <w:rsid w:val="0303C0D8"/>
    <w:rsid w:val="0352574D"/>
    <w:rsid w:val="03C234EF"/>
    <w:rsid w:val="03C6EAD4"/>
    <w:rsid w:val="04012E76"/>
    <w:rsid w:val="0456039C"/>
    <w:rsid w:val="0476E5C8"/>
    <w:rsid w:val="0513C007"/>
    <w:rsid w:val="05291333"/>
    <w:rsid w:val="0591935C"/>
    <w:rsid w:val="065A7A37"/>
    <w:rsid w:val="065C6516"/>
    <w:rsid w:val="06F04D26"/>
    <w:rsid w:val="07CFF789"/>
    <w:rsid w:val="07DD17A3"/>
    <w:rsid w:val="07E50A60"/>
    <w:rsid w:val="07F49603"/>
    <w:rsid w:val="084BE4EB"/>
    <w:rsid w:val="08A7FD9D"/>
    <w:rsid w:val="093E1442"/>
    <w:rsid w:val="095BBFDC"/>
    <w:rsid w:val="09AE5ED8"/>
    <w:rsid w:val="09BFBC38"/>
    <w:rsid w:val="09F01DF7"/>
    <w:rsid w:val="0A852384"/>
    <w:rsid w:val="0AC929B2"/>
    <w:rsid w:val="0B022548"/>
    <w:rsid w:val="0BECECD1"/>
    <w:rsid w:val="0C3111A0"/>
    <w:rsid w:val="0C71E01A"/>
    <w:rsid w:val="0C75F1D5"/>
    <w:rsid w:val="0CA7E617"/>
    <w:rsid w:val="0CB543C2"/>
    <w:rsid w:val="0CBE1FC9"/>
    <w:rsid w:val="0D0FCEEA"/>
    <w:rsid w:val="0D9CFBE5"/>
    <w:rsid w:val="0E3AD265"/>
    <w:rsid w:val="0E658C1C"/>
    <w:rsid w:val="0EBDAB6F"/>
    <w:rsid w:val="0EC8F212"/>
    <w:rsid w:val="0ED6D3CC"/>
    <w:rsid w:val="0EEDA167"/>
    <w:rsid w:val="0F519B60"/>
    <w:rsid w:val="0F6C23A5"/>
    <w:rsid w:val="0F745566"/>
    <w:rsid w:val="1026FB0C"/>
    <w:rsid w:val="107BA710"/>
    <w:rsid w:val="11D14603"/>
    <w:rsid w:val="11FE9E1E"/>
    <w:rsid w:val="120441CA"/>
    <w:rsid w:val="12CFD4D1"/>
    <w:rsid w:val="12F3C332"/>
    <w:rsid w:val="12FCBE14"/>
    <w:rsid w:val="132F14E5"/>
    <w:rsid w:val="13AB40F4"/>
    <w:rsid w:val="13D6B363"/>
    <w:rsid w:val="144D62A4"/>
    <w:rsid w:val="14D5EA0C"/>
    <w:rsid w:val="152B082B"/>
    <w:rsid w:val="15541585"/>
    <w:rsid w:val="15741671"/>
    <w:rsid w:val="164C1938"/>
    <w:rsid w:val="168CE1E0"/>
    <w:rsid w:val="174BC47C"/>
    <w:rsid w:val="1809FBA8"/>
    <w:rsid w:val="185A5AF1"/>
    <w:rsid w:val="186A9839"/>
    <w:rsid w:val="189FD99E"/>
    <w:rsid w:val="1980CFEC"/>
    <w:rsid w:val="19CBDF0F"/>
    <w:rsid w:val="19CDCA78"/>
    <w:rsid w:val="1A69A664"/>
    <w:rsid w:val="1B11B690"/>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8CD00A"/>
    <w:rsid w:val="21B22F62"/>
    <w:rsid w:val="21D7820D"/>
    <w:rsid w:val="2205A0F1"/>
    <w:rsid w:val="222F85C1"/>
    <w:rsid w:val="23A82D31"/>
    <w:rsid w:val="23BC4145"/>
    <w:rsid w:val="2486CA69"/>
    <w:rsid w:val="256D71DE"/>
    <w:rsid w:val="25703613"/>
    <w:rsid w:val="2595400A"/>
    <w:rsid w:val="25DBBD96"/>
    <w:rsid w:val="25DFE688"/>
    <w:rsid w:val="260062BD"/>
    <w:rsid w:val="2667407A"/>
    <w:rsid w:val="269AC83A"/>
    <w:rsid w:val="26DC9BE0"/>
    <w:rsid w:val="2705F0E7"/>
    <w:rsid w:val="279D0EB8"/>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343F8A"/>
    <w:rsid w:val="2D5E7794"/>
    <w:rsid w:val="2D823395"/>
    <w:rsid w:val="2DB3B2B0"/>
    <w:rsid w:val="2E5355A4"/>
    <w:rsid w:val="2E9221C8"/>
    <w:rsid w:val="2E9BEB4A"/>
    <w:rsid w:val="2EE7ADC5"/>
    <w:rsid w:val="2FCBE8CB"/>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A646285"/>
    <w:rsid w:val="3B61583E"/>
    <w:rsid w:val="3BA36AE4"/>
    <w:rsid w:val="3BF1F269"/>
    <w:rsid w:val="3C1B84B1"/>
    <w:rsid w:val="3C8AAD01"/>
    <w:rsid w:val="3D5974B3"/>
    <w:rsid w:val="3D7773BD"/>
    <w:rsid w:val="3FA6C375"/>
    <w:rsid w:val="406310FF"/>
    <w:rsid w:val="40913742"/>
    <w:rsid w:val="40C4186B"/>
    <w:rsid w:val="4103BC0E"/>
    <w:rsid w:val="417FD739"/>
    <w:rsid w:val="41A9DC88"/>
    <w:rsid w:val="424FC200"/>
    <w:rsid w:val="428178E8"/>
    <w:rsid w:val="42D38D05"/>
    <w:rsid w:val="43B1A0D3"/>
    <w:rsid w:val="44610C3B"/>
    <w:rsid w:val="44B6100C"/>
    <w:rsid w:val="453750CC"/>
    <w:rsid w:val="45FDDA10"/>
    <w:rsid w:val="462E854C"/>
    <w:rsid w:val="46F03F41"/>
    <w:rsid w:val="4718A127"/>
    <w:rsid w:val="472B5B00"/>
    <w:rsid w:val="4799A608"/>
    <w:rsid w:val="47A43525"/>
    <w:rsid w:val="47CA55AD"/>
    <w:rsid w:val="4823E2AF"/>
    <w:rsid w:val="498F7B15"/>
    <w:rsid w:val="49A47C7D"/>
    <w:rsid w:val="49E74383"/>
    <w:rsid w:val="4A531D75"/>
    <w:rsid w:val="4BB3D30E"/>
    <w:rsid w:val="4BBE9067"/>
    <w:rsid w:val="4BC8F19D"/>
    <w:rsid w:val="4BCB0DE2"/>
    <w:rsid w:val="4BCF1747"/>
    <w:rsid w:val="4BEEEDD6"/>
    <w:rsid w:val="4C4193C7"/>
    <w:rsid w:val="4C9DC6D0"/>
    <w:rsid w:val="4CADB097"/>
    <w:rsid w:val="4DE650F8"/>
    <w:rsid w:val="4E29D62A"/>
    <w:rsid w:val="4E2D8681"/>
    <w:rsid w:val="4E399731"/>
    <w:rsid w:val="4E9F48F9"/>
    <w:rsid w:val="4EAC9068"/>
    <w:rsid w:val="4F79646C"/>
    <w:rsid w:val="503379E8"/>
    <w:rsid w:val="504B1AA9"/>
    <w:rsid w:val="5058E775"/>
    <w:rsid w:val="50620B01"/>
    <w:rsid w:val="50767DEF"/>
    <w:rsid w:val="50FBC31F"/>
    <w:rsid w:val="5145693C"/>
    <w:rsid w:val="51792579"/>
    <w:rsid w:val="51C21E08"/>
    <w:rsid w:val="51C4FFDE"/>
    <w:rsid w:val="51D568D8"/>
    <w:rsid w:val="51D6E9BB"/>
    <w:rsid w:val="523171ED"/>
    <w:rsid w:val="52539B6F"/>
    <w:rsid w:val="52856B60"/>
    <w:rsid w:val="52BE2CF0"/>
    <w:rsid w:val="52DFDAF7"/>
    <w:rsid w:val="52F50836"/>
    <w:rsid w:val="5314F5DA"/>
    <w:rsid w:val="533EDEA3"/>
    <w:rsid w:val="5345AFA4"/>
    <w:rsid w:val="535C8A1B"/>
    <w:rsid w:val="5382BB6B"/>
    <w:rsid w:val="53FB9ED9"/>
    <w:rsid w:val="544A3D34"/>
    <w:rsid w:val="54773005"/>
    <w:rsid w:val="54906DAB"/>
    <w:rsid w:val="54B0C63B"/>
    <w:rsid w:val="54B90FF2"/>
    <w:rsid w:val="54FD0A53"/>
    <w:rsid w:val="551A6EDA"/>
    <w:rsid w:val="551E8BCC"/>
    <w:rsid w:val="552914E2"/>
    <w:rsid w:val="5535DD6C"/>
    <w:rsid w:val="55F0051F"/>
    <w:rsid w:val="56130066"/>
    <w:rsid w:val="564C969C"/>
    <w:rsid w:val="56A26E0D"/>
    <w:rsid w:val="56AF25F9"/>
    <w:rsid w:val="56BEB910"/>
    <w:rsid w:val="57E4F9FB"/>
    <w:rsid w:val="57E866FD"/>
    <w:rsid w:val="58692B6F"/>
    <w:rsid w:val="5869B530"/>
    <w:rsid w:val="58E48130"/>
    <w:rsid w:val="5A28AC60"/>
    <w:rsid w:val="5A9CA0E4"/>
    <w:rsid w:val="5ADF6E95"/>
    <w:rsid w:val="5B78AB09"/>
    <w:rsid w:val="5B7DC4BA"/>
    <w:rsid w:val="5B8F9C32"/>
    <w:rsid w:val="5C8A2F70"/>
    <w:rsid w:val="5CF804DC"/>
    <w:rsid w:val="5D054A0D"/>
    <w:rsid w:val="5D21B03E"/>
    <w:rsid w:val="5E129604"/>
    <w:rsid w:val="5E57A881"/>
    <w:rsid w:val="5E6BCFA9"/>
    <w:rsid w:val="5E824277"/>
    <w:rsid w:val="5EDF98F2"/>
    <w:rsid w:val="5F06FE0C"/>
    <w:rsid w:val="5F0AB7F5"/>
    <w:rsid w:val="5F11D53E"/>
    <w:rsid w:val="5FB6F900"/>
    <w:rsid w:val="5FDAA3E9"/>
    <w:rsid w:val="600AD1DD"/>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BB7F24C"/>
    <w:rsid w:val="6C07B65A"/>
    <w:rsid w:val="6C17E95C"/>
    <w:rsid w:val="6CA76C90"/>
    <w:rsid w:val="6CB465E1"/>
    <w:rsid w:val="6D0C9B78"/>
    <w:rsid w:val="6D47AF01"/>
    <w:rsid w:val="6E394487"/>
    <w:rsid w:val="6E7ABF38"/>
    <w:rsid w:val="6EE37F62"/>
    <w:rsid w:val="6F3CC106"/>
    <w:rsid w:val="6FD5267E"/>
    <w:rsid w:val="70652D3F"/>
    <w:rsid w:val="707F4FC3"/>
    <w:rsid w:val="708F8E7F"/>
    <w:rsid w:val="70B31673"/>
    <w:rsid w:val="70F02C6B"/>
    <w:rsid w:val="717CFD9B"/>
    <w:rsid w:val="71CB8CF5"/>
    <w:rsid w:val="71DD7552"/>
    <w:rsid w:val="721B2024"/>
    <w:rsid w:val="721F4EC7"/>
    <w:rsid w:val="7283574A"/>
    <w:rsid w:val="73217EE5"/>
    <w:rsid w:val="7362A63B"/>
    <w:rsid w:val="7501203D"/>
    <w:rsid w:val="75981E22"/>
    <w:rsid w:val="75E0FD6C"/>
    <w:rsid w:val="76042407"/>
    <w:rsid w:val="7630DB50"/>
    <w:rsid w:val="769F3879"/>
    <w:rsid w:val="7721D016"/>
    <w:rsid w:val="775DAB8A"/>
    <w:rsid w:val="7831BC36"/>
    <w:rsid w:val="790C4773"/>
    <w:rsid w:val="79B2B8C2"/>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F15B562A-C1E5-4A12-8C0F-828B8F02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852B7-3B9A-4E53-A2F9-629CA1441223}">
  <ds:schemaRefs>
    <ds:schemaRef ds:uri="http://schemas.microsoft.com/sharepoint/v3/contenttype/forms"/>
  </ds:schemaRefs>
</ds:datastoreItem>
</file>

<file path=customXml/itemProps4.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1528</Words>
  <Characters>8712</Characters>
  <Application>Microsoft Office Word</Application>
  <DocSecurity>4</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16</cp:revision>
  <cp:lastPrinted>2025-04-04T01:04:00Z</cp:lastPrinted>
  <dcterms:created xsi:type="dcterms:W3CDTF">2025-04-10T22:25:00Z</dcterms:created>
  <dcterms:modified xsi:type="dcterms:W3CDTF">2025-04-14T20:42:00Z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