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</w:r>
    </w:p>
    <w:p>
      <w:pPr>
        <w:spacing w:before="0" w:after="80" w:line="240" w:lineRule="auto"/>
        <w:jc w:val="center"/>
      </w:pPr>
      <w:r>
        <w:rPr>
          <w:rFonts w:ascii="Arial" w:hAnsi="Arial" w:cs="Arial" w:eastAsia="Arial"/>
          <w:b/>
          <w:i w:val="0"/>
          <w:color w:val="2E75B6"/>
          <w:sz w:val="40"/>
        </w:rPr>
        <w:t>MODULE 02</w:t>
      </w:r>
    </w:p>
    <w:p>
      <w:pPr>
        <w:spacing w:before="0" w:after="40" w:line="240" w:lineRule="auto"/>
        <w:jc w:val="center"/>
      </w:pPr>
      <w:r>
        <w:rPr>
          <w:rFonts w:ascii="Arial" w:hAnsi="Arial" w:cs="Arial" w:eastAsia="Arial"/>
          <w:b/>
          <w:i w:val="0"/>
          <w:color w:val="1F4E79"/>
          <w:sz w:val="56"/>
        </w:rPr>
        <w:t>The Statistical Landscape</w:t>
      </w:r>
    </w:p>
    <w:p>
      <w:pPr>
        <w:spacing w:before="0" w:after="400" w:line="240" w:lineRule="auto"/>
        <w:bidi w:val="true"/>
        <w:jc w:val="center"/>
      </w:pPr>
      <w:r>
        <w:rPr>
          <w:rFonts w:ascii="Arial" w:hAnsi="Arial" w:cs="Arial" w:eastAsia="Arial"/>
          <w:b/>
          <w:i w:val="0"/>
          <w:color w:val="1F4E79"/>
          <w:sz w:val="48"/>
          <w:rtl w:val="true"/>
          <w:szCs w:val="48"/>
        </w:rPr>
        <w:t>المشهد الإحصائى</w:t>
      </w:r>
    </w:p>
    <w:p>
      <w:pPr>
        <w:spacing w:before="0" w:after="40" w:line="240" w:lineRule="auto"/>
        <w:jc w:val="center"/>
      </w:pPr>
      <w:r>
        <w:rPr>
          <w:rFonts w:ascii="Arial" w:hAnsi="Arial" w:cs="Arial" w:eastAsia="Arial"/>
          <w:b w:val="0"/>
          <w:i/>
          <w:color w:val="1F1F1F"/>
          <w:sz w:val="26"/>
        </w:rPr>
        <w:t>Population vs Sample · Descriptive vs Inferential · The Flowchart</w:t>
      </w:r>
    </w:p>
    <w:p>
      <w:pPr>
        <w:spacing w:before="0" w:after="160" w:line="240" w:lineRule="auto"/>
        <w:bidi w:val="true"/>
        <w:jc w:val="center"/>
      </w:pPr>
      <w:r>
        <w:rPr>
          <w:rFonts w:ascii="Arial" w:hAnsi="Arial" w:cs="Arial" w:eastAsia="Arial"/>
          <w:b w:val="0"/>
          <w:i/>
          <w:color w:val="1F1F1F"/>
          <w:sz w:val="26"/>
          <w:rtl w:val="true"/>
          <w:szCs w:val="26"/>
        </w:rPr>
        <w:t>المجتمع والعينة · الوصفى والاستدلالى · مخطط اختيار التحليل</w:t>
      </w:r>
    </w:p>
    <w:p>
      <w:pPr>
        <w:spacing w:before="0" w:after="80" w:line="240" w:lineRule="auto"/>
        <w:pBdr>
          <w:bottom w:val="single" w:sz="6" w:space="1" w:color="2E75B6"/>
        </w:pBdr>
      </w:pPr>
    </w:p>
    <w:p>
      <w:pPr>
        <w:spacing w:before="200" w:after="80" w:line="240" w:lineRule="auto"/>
        <w:jc w:val="center"/>
      </w:pPr>
      <w:r>
        <w:rPr>
          <w:rFonts w:ascii="Arial" w:hAnsi="Arial" w:cs="Arial" w:eastAsia="Arial"/>
          <w:b w:val="0"/>
          <w:i/>
          <w:color w:val="2E75B6"/>
          <w:sz w:val="22"/>
        </w:rPr>
        <w:t>Ahmed Abd El Tawab — Statistics Course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