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F2E" w:val="clear"/>
          </w:tcPr>
          <w:p>
            <w:pPr>
              <w:spacing w:before="4092"/>
            </w:pPr>
          </w:p>
          <w:p>
            <w:pPr>
              <w:pBdr>
                <w:bottom w:val="single" w:color="E8A33D" w:sz="6" w:space="8"/>
              </w:pBdr>
              <w:bidi/>
              <w:spacing w:after="500" w:line="276"/>
              <w:ind w:left="800" w:right="1200"/>
              <w:jc w:val="start"/>
            </w:pPr>
            <w:r>
              <w:rPr>
                <w:rFonts w:ascii="Arial" w:cs="Arial" w:hAnsi="Arial"/>
                <w:color w:val="E8A33D"/>
                <w:spacing w:val="40"/>
                <w:sz w:val="18"/>
                <w:szCs w:val="18"/>
              </w:rPr>
              <w:t xml:space="preserve">S  U  P  P  L  Y     C  H  A  I  N     M  A  P     V  3</w:t>
            </w:r>
          </w:p>
          <w:p>
            <w:pPr>
              <w:bidi/>
              <w:spacing w:after="100" w:line="920" w:lineRule="atLeast"/>
              <w:ind w:right="1200"/>
              <w:jc w:val="start"/>
            </w:pPr>
            <w:r>
              <w:rPr>
                <w:rFonts w:ascii="Arial" w:cs="Arial" w:hAnsi="Arial"/>
                <w:b/>
                <w:bCs/>
                <w:color w:val="FFFFFF"/>
                <w:sz w:val="80"/>
                <w:szCs w:val="80"/>
                <w:rtl/>
              </w:rPr>
              <w:t xml:space="preserve">خريطة سلسلة التوريد</w:t>
            </w:r>
          </w:p>
          <w:p>
            <w:pPr>
              <w:bidi/>
              <w:spacing w:after="300" w:line="920" w:lineRule="atLeast"/>
              <w:ind w:right="1200"/>
              <w:jc w:val="start"/>
            </w:pPr>
            <w:r>
              <w:rPr>
                <w:rFonts w:ascii="Arial" w:cs="Arial" w:hAnsi="Arial"/>
                <w:b/>
                <w:bCs/>
                <w:color w:val="FFFFFF"/>
                <w:sz w:val="80"/>
                <w:szCs w:val="80"/>
                <w:rtl/>
              </w:rPr>
              <w:t xml:space="preserve">الموسعة v3</w:t>
            </w:r>
          </w:p>
          <w:p>
            <w:pPr>
              <w:bidi/>
              <w:spacing w:after="800" w:line="312"/>
              <w:ind w:right="1200"/>
              <w:jc w:val="start"/>
            </w:pPr>
            <w:r>
              <w:rPr>
                <w:rFonts w:ascii="Arial" w:cs="Arial" w:hAnsi="Arial"/>
                <w:color w:val="C9D1E0"/>
                <w:sz w:val="24"/>
                <w:szCs w:val="24"/>
                <w:rtl/>
              </w:rPr>
              <w:t xml:space="preserve">التفكيك النقدي للخريطة السابقة (أحد عشر عيبًا) + التعميق الرباعي: AISUBSID · مزارع Pixel · الطبقة الهندية · المصنعون الفيتناميون + روابط جميع الموثوقين</w:t>
            </w:r>
          </w:p>
          <w:p>
            <w:pPr>
              <w:pBdr>
                <w:right w:val="single" w:color="E8A33D" w:sz="8" w:space="12"/>
              </w:pBdr>
              <w:bidi/>
              <w:spacing w:after="80" w:line="312"/>
              <w:ind w:right="1400"/>
              <w:jc w:val="start"/>
            </w:pPr>
            <w:r>
              <w:rPr>
                <w:rFonts w:ascii="Arial" w:cs="Arial" w:hAnsi="Arial"/>
                <w:color w:val="A7B1C7"/>
                <w:sz w:val="24"/>
                <w:szCs w:val="24"/>
                <w:rtl/>
              </w:rPr>
              <w:t xml:space="preserve">القاعدة الدليلية: 358 رسالة مؤرخة مفحوصة في هذا الفحص وحده</w:t>
            </w:r>
          </w:p>
          <w:p>
            <w:pPr>
              <w:pBdr>
                <w:right w:val="single" w:color="E8A33D" w:sz="8" w:space="12"/>
              </w:pBdr>
              <w:bidi/>
              <w:spacing w:after="80" w:line="312"/>
              <w:ind w:right="1400"/>
              <w:jc w:val="start"/>
            </w:pPr>
            <w:r>
              <w:rPr>
                <w:rFonts w:ascii="Arial" w:cs="Arial" w:hAnsi="Arial"/>
                <w:color w:val="A7B1C7"/>
                <w:sz w:val="24"/>
                <w:szCs w:val="24"/>
                <w:rtl/>
              </w:rPr>
              <w:t xml:space="preserve">الفرضيات المصححة: 4 أخطاء تصنيف بنيوية + 3 فجوات منطقية + 4 أغفال</w:t>
            </w:r>
          </w:p>
          <w:p>
            <w:pPr>
              <w:pBdr>
                <w:right w:val="single" w:color="E8A33D" w:sz="8" w:space="12"/>
              </w:pBdr>
              <w:bidi/>
              <w:spacing w:after="80" w:line="312"/>
              <w:ind w:right="1400"/>
              <w:jc w:val="start"/>
            </w:pPr>
            <w:r>
              <w:rPr>
                <w:rFonts w:ascii="Arial" w:cs="Arial" w:hAnsi="Arial"/>
                <w:color w:val="A7B1C7"/>
                <w:sz w:val="24"/>
                <w:szCs w:val="24"/>
                <w:rtl/>
              </w:rPr>
              <w:t xml:space="preserve">الفحص الحي: 30/09/2026 — منهجية OSINT سلبي صرف (بلا أي تفاعل)</w:t>
            </w:r>
          </w:p>
          <w:p>
            <w:pPr>
              <w:pBdr>
                <w:right w:val="single" w:color="E8A33D" w:sz="8" w:space="12"/>
              </w:pBdr>
              <w:bidi/>
              <w:spacing w:after="80" w:line="312"/>
              <w:ind w:right="1400"/>
              <w:jc w:val="start"/>
            </w:pPr>
            <w:r>
              <w:rPr>
                <w:rFonts w:ascii="Arial" w:cs="Arial" w:hAnsi="Arial"/>
                <w:color w:val="A7B1C7"/>
                <w:sz w:val="24"/>
                <w:szCs w:val="24"/>
                <w:rtl/>
              </w:rPr>
              <w:t xml:space="preserve">التصنيف: ملف استخباري تشغيلي — للاستخدام الداخلي</w:t>
            </w:r>
          </w:p>
          <w:p>
            <w:pPr>
              <w:spacing w:before="4092"/>
            </w:pPr>
          </w:p>
          <w:p>
            <w:pPr>
              <w:pBdr>
                <w:top w:val="single" w:color="E8A33D" w:sz="2" w:space="8"/>
              </w:pBdr>
              <w:bidi/>
              <w:spacing w:before="200" w:line="276"/>
              <w:ind w:left="800" w:right="1200"/>
              <w:jc w:val="start"/>
            </w:pPr>
            <w:r>
              <w:rPr>
                <w:rFonts w:ascii="Arial" w:cs="Arial" w:hAnsi="Arial"/>
                <w:color w:val="7A849C"/>
                <w:sz w:val="16"/>
                <w:szCs w:val="16"/>
                <w:rtl/>
              </w:rPr>
              <w:t xml:space="preserve">2026-09-30</w:t>
            </w:r>
            <w:r>
              <w:rPr>
                <w:rFonts w:ascii="Arial" w:cs="Arial" w:hAnsi="Arial"/>
              </w:rPr>
              <w:t xml:space="preserve">                                        </w:t>
            </w:r>
            <w:r>
              <w:rPr>
                <w:rFonts w:ascii="Arial" w:cs="Arial" w:hAnsi="Arial"/>
                <w:color w:val="7A849C"/>
                <w:sz w:val="16"/>
                <w:szCs w:val="16"/>
              </w:rPr>
              <w:t xml:space="preserve">Live-verified OSINT — Read-only</w:t>
            </w:r>
          </w:p>
        </w:tc>
      </w:tr>
    </w:tbl>
    <w:p>
      <w:pPr>
        <w:sectPr>
          <w:pgSz w:w="11906" w:h="16838" w:orient="portrait"/>
          <w:pgMar w:top="0" w:right="0" w:bottom="0" w:left="0" w:header="708" w:footer="708" w:gutter="0"/>
          <w:pgNumType/>
          <w:docGrid w:linePitch="360"/>
        </w:sectPr>
      </w:pPr>
    </w:p>
    <w:p>
      <w:pPr>
        <w:spacing w:after="360" w:before="480"/>
        <w:jc w:val="center"/>
      </w:pPr>
      <w:r>
        <w:rPr>
          <w:rFonts w:ascii="Arial" w:cs="Arial" w:hAnsi="Arial"/>
          <w:b/>
          <w:bCs/>
          <w:color w:val="1A1F2E"/>
          <w:sz w:val="32"/>
          <w:szCs w:val="32"/>
          <w:rtl/>
        </w:rPr>
        <w:t xml:space="preserve">المحتويات</w:t>
      </w:r>
    </w:p>
    <w:sdt>
      <w:sdtPr>
        <w:alias w:val="Table of Contents"/>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1. المنهجية والقاعدة الدليلية لهذا الفحص</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التفكيك النقدي للخريطة السابقة — أحد عشر عيبًا موثقًا</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العيب 1 — خطأ جغرافي: منظومة fork/ver_pixel ليست صينية</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العيب 2 — التباس اتجاهي في عقدة AiVerseX وسعر غير ثابت</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العيب 3 — تناقض سعري غير معلَّم حول Richard AI</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العيب 4 — إسناد اقتصاد K12 إلى الهند بلا دليل</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العيب 5 — غياب فرضية AiVerseX ← Evo_Era رغم توفر دليلها السعري</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العيب 6 — سهم ProdSeller المبسّط يخفي تباين هوامش هائلًا</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العيب 7 — اقتصاد الأدوات غائب تمامًا</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العيب 8 — سكك الدفع مبعثرة والصورة الكاملة غير موجودة</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العيب 9 — AISUBSID موثق ناقصًا</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العيب 10 — نص مشوه في طبقة التمكين</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العيب 11 — غياب طبقة النمو المجتمعي والاعتمادات</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3. الفرع الأول — AISUBSID: مصنع طرق الدفع متعدد السكك</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دليل التصنيع الذاتي بلغة القناة نفسها</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محفظة السكك: UPI وBLIK وApple Pay وGoogle Play وفشل MoMo</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التموضع التنافسي والوعي السعري</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4. الفرع الثاني — مزارع أجهزة Pixel: تصحيح جغرافي واقتصاد أدوات</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المنظومة الفيتنامية fork: الدليل اللغوي والتجاري</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الاكتشاف الأهم: أدوات الاستخراج تُباع كسلعة مستقلة</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بصمة المنتج النهائي وضبط الجودة داخل الاقتصاد</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5. الفرع الثالث — الطبقة الهندية: من فوق من في سلّم الروابط</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سلم الجملة المتحرك وأدلة العمق الصناعي</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البوتات الهندية بلا قنوات: طبقة تجزئة صامتة</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Evo_Era: السجلات الآلية تحسم موقعه</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6. الفرع الرابع — المصنّعون الفيتناميون: عنقود البوابات والشوز</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بوابتان جديدتان تنضمان للعنقود</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HitMeow وfork: وجهان لنفس البيئة الصناعية</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7. الاكتشافات التسعيرية الحاسمة لستاك فولت</w:t>
            </w:r>
            <w:r>
              <w:tab/>
            </w:r>
            <w:r>
              <w:fldChar w:fldCharType="begin"/>
            </w:r>
            <w:r>
              <w:instrText xml:space="preserve"> PAGEREF _Toc100028 \h </w:instrText>
            </w:r>
            <w:r>
              <w:fldChar w:fldCharType="separate"/>
            </w:r>
            <w:r>
              <w:t>10</w:t>
            </w:r>
            <w:r>
              <w:fldChar w:fldCharType="end"/>
            </w:r>
          </w:hyperlink>
        </w:p>
        <w:p>
          <w:pPr>
            <w:pStyle w:val="9"/>
            <w:tabs>
              <w:tab w:val="right" w:leader="dot" w:pos="9026"/>
            </w:tabs>
            <w:spacing w:before="120" w:after="60"/>
          </w:pPr>
          <w:hyperlink w:anchor="_Toc100029" w:history="1">
            <w:r>
              <w:rPr>
                <w:rStyle w:val="Hyperlink"/>
              </w:rPr>
              <w:t>8. الخريطة الموحدة v3 — بعد التصحيح والتعميق</w:t>
            </w:r>
            <w:r>
              <w:tab/>
            </w:r>
            <w:r>
              <w:fldChar w:fldCharType="begin"/>
            </w:r>
            <w:r>
              <w:instrText xml:space="preserve"> PAGEREF _Toc100029 \h </w:instrText>
            </w:r>
            <w:r>
              <w:fldChar w:fldCharType="separate"/>
            </w:r>
            <w:r>
              <w:t>11</w:t>
            </w:r>
            <w:r>
              <w:fldChar w:fldCharType="end"/>
            </w:r>
          </w:hyperlink>
        </w:p>
        <w:p>
          <w:pPr>
            <w:pStyle w:val="9"/>
            <w:tabs>
              <w:tab w:val="right" w:leader="dot" w:pos="9026"/>
            </w:tabs>
            <w:spacing w:before="120" w:after="60"/>
          </w:pPr>
          <w:hyperlink w:anchor="_Toc100030" w:history="1">
            <w:r>
              <w:rPr>
                <w:rStyle w:val="Hyperlink"/>
              </w:rPr>
              <w:t>9. روابط جميع الكيانات الموثوقين — فحص حي 30/09/2026</w:t>
            </w:r>
            <w:r>
              <w:tab/>
            </w:r>
            <w:r>
              <w:fldChar w:fldCharType="begin"/>
            </w:r>
            <w:r>
              <w:instrText xml:space="preserve"> PAGEREF _Toc100030 \h </w:instrText>
            </w:r>
            <w:r>
              <w:fldChar w:fldCharType="separate"/>
            </w:r>
            <w:r>
              <w:t>11</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1A1F2E"/>
          <w:sz w:val="32"/>
          <w:szCs w:val="32"/>
          <w:rtl/>
        </w:rPr>
        <w:t xml:space="preserve">1. المنهجية والقاعدة الدليلية لهذا الفحص</w:t>
      </w:r>
      <w:bookmarkEnd w:id="100000"/>
    </w:p>
    <w:p>
      <w:pPr>
        <w:bidi/>
        <w:spacing w:after="120" w:line="312"/>
        <w:jc w:val="start"/>
      </w:pPr>
      <w:r>
        <w:rPr>
          <w:rFonts w:ascii="Arial" w:cs="Arial" w:hAnsi="Arial"/>
          <w:color w:val="000000"/>
          <w:sz w:val="24"/>
          <w:szCs w:val="24"/>
          <w:rtl/>
        </w:rPr>
        <w:t xml:space="preserve">يغطي هذا الملف الموجّه الرابع في سلسلة أبحاث سلسلة توريد StackVault، وهو ينفّذ مهمة مزدوجة: تفكيك نقدي صارم للخريطة التشغيلية السابقة (النسخة الثانية ذات الطبقات الأربع)، ثم تعميق استخباري في أربعة فروع طلبها صاحب القرار تحديدًا: المصنّعون الفيتناميون، والمنظومة الهندية، ومزارع أجهزة Pixel، وكيان AISUBSID. جرى كل العمل وفق منهجية OSINT السلبي الصرف: صفحات المعاينة العامة عبر t.me/s/ مع ترقيم الصفحات للخلف، وبيانات og العامة، وفحوص HTTP مباشرة للمواقع المرتبطة، دون أي تفاعل أو مراسلة مع أي كيان. جميع الفحوص منفّذة حيًّا بتاريخ 30/09/2026، وكل رقم في هذا التقرير مسنود برسالة مؤرخة أو فحص فعلي قابل لإعادة التحقق.</w:t>
      </w:r>
    </w:p>
    <w:p>
      <w:pPr>
        <w:bidi/>
        <w:spacing w:after="120" w:line="312"/>
        <w:jc w:val="start"/>
      </w:pPr>
      <w:r>
        <w:rPr>
          <w:rFonts w:ascii="Arial" w:cs="Arial" w:hAnsi="Arial"/>
          <w:color w:val="000000"/>
          <w:sz w:val="24"/>
          <w:szCs w:val="24"/>
          <w:rtl/>
        </w:rPr>
        <w:t xml:space="preserve">أضاف هذا الفحص أربعة مجاميع بيانات جديدة إلى القاعدة الدليلية: أولًا التاريخ الكامل لقناة AISUBSID بواقع 79 رسالة تمتد من 13/09 حتى 30/09 (14 صفحة كاملة). ثانيًا التاريخ الكامل لقناة fork_bot_channel بواقع 77 رسالة تمتد من 26/07 حتى 29/09. ثالثًا تعميق تاريخ قناة AiVerseXHub من 80 إلى 114 رسالة لتصل إلى بداية أغسطس، ما كشف سلم الأسعار المتحرك كاملًا. رابعًا التاريخ الحديث لقناة Evo_Era_updates بواقع 88 رسالة آلية من يومي 29 و30/09 وحدهما، وهي قناة سجلات مبيعات تكشف الأسعار الفعلية للتجزئة. إضافة إلى ذلك فُحصت هويات جديدة بالكامل (منها فاحص روابط AiVerseX الخاص @GoChecker_Bot وهوية مالك المنظومة الفيتنامية @leo_dfx)، وفُحصت ثلاث بوابات API فيتنامية حيًّا. بهذا يصل إجمالي الرسائل المفحوصة عبر جلسات البحث الأربع إلى ما يتجاوز 500 رسالة مؤرخة.</w:t>
      </w: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القاعدة الدليلية الحاكمة: 79 رسالة AISUBSID + 77 رسالة fork + 114 رسالة AiVerseX + 88 رسالة Evo_Era + 77 رسالة HitMeow + 62 رسالة gemini12pro + 14 رسالة teamsoclo + 48 رسالة ProdSeller — جميعها مؤرخة ومسحوبة من المعاينة العامة، وكل استنتاج أدناه مرتبط بمصدره.</w:t>
      </w:r>
    </w:p>
    <w:p>
      <w:pPr>
        <w:pStyle w:val="Heading1"/>
        <w:bidi/>
        <w:spacing w:after="160" w:before="360" w:line="312"/>
        <w:jc w:val="start"/>
      </w:pPr>
      <w:bookmarkStart w:id="100001" w:name="_Toc100001"/>
      <w:r>
        <w:rPr>
          <w:rFonts w:ascii="Arial" w:cs="Arial" w:hAnsi="Arial"/>
          <w:b/>
          <w:bCs/>
          <w:color w:val="1A1F2E"/>
          <w:sz w:val="32"/>
          <w:szCs w:val="32"/>
          <w:rtl/>
        </w:rPr>
        <w:t xml:space="preserve">2. التفكيك النقدي للخريطة السابقة — أحد عشر عيبًا موثقًا</w:t>
      </w:r>
      <w:bookmarkEnd w:id="100001"/>
    </w:p>
    <w:p>
      <w:pPr>
        <w:bidi/>
        <w:spacing w:after="120" w:line="312"/>
        <w:jc w:val="start"/>
      </w:pPr>
      <w:r>
        <w:rPr>
          <w:rFonts w:ascii="Arial" w:cs="Arial" w:hAnsi="Arial"/>
          <w:color w:val="000000"/>
          <w:sz w:val="24"/>
          <w:szCs w:val="24"/>
          <w:rtl/>
        </w:rPr>
        <w:t xml:space="preserve">خضعت الخريطة السابقة لاختبار صلابة قاسٍ: كل سهم فيها إما أن يحمل دليلًا نصيًا مباشرًا، أو دعمًا سعريًا قابلًا للقياس، أو يُخفَّض تصنيفه إلى فرضية. النتيجة: أحد عشر عيبًا جوهريًا، أربعة منها تصلح أخطاء تصنيف بنيوية والباقي فجوات منطقية. أُعيدت صياغة الخريطة كاملة في القسم الأخير بعد تصحيح كل عيب، ورُفِّع كل ادعاء بلا دليل إلى مستوى «فرضية مفتوحة» بدل تقديمه كحقيقة.</w:t>
      </w:r>
    </w:p>
    <w:p>
      <w:pPr>
        <w:pStyle w:val="Heading2"/>
        <w:bidi/>
        <w:spacing w:after="120" w:before="240" w:line="312"/>
        <w:jc w:val="start"/>
      </w:pPr>
      <w:bookmarkStart w:id="100002" w:name="_Toc100002"/>
      <w:r>
        <w:rPr>
          <w:rFonts w:ascii="Arial" w:cs="Arial" w:hAnsi="Arial"/>
          <w:b/>
          <w:bCs/>
          <w:color w:val="3A4368"/>
          <w:sz w:val="28"/>
          <w:szCs w:val="28"/>
          <w:rtl/>
        </w:rPr>
        <w:t xml:space="preserve">العيب 1 — خطأ جغرافي: منظومة fork/ver_pixel ليست صينية</w:t>
      </w:r>
      <w:bookmarkEnd w:id="100002"/>
    </w:p>
    <w:p>
      <w:pPr>
        <w:bidi/>
        <w:spacing w:after="120" w:line="312"/>
        <w:jc w:val="start"/>
      </w:pPr>
      <w:r>
        <w:rPr>
          <w:rFonts w:ascii="Arial" w:cs="Arial" w:hAnsi="Arial"/>
          <w:color w:val="000000"/>
          <w:sz w:val="24"/>
          <w:szCs w:val="24"/>
          <w:rtl/>
        </w:rPr>
        <w:t xml:space="preserve">وضعت الخريطة السابقة كل مزارع Pixel تحت عبارة «النواة صينية». الفحص العميق لقناة fork_bot_channel (77 رسالة) يدحض هذا التعميم: القناة تخاطب جمهورها بالفيتنامية صراحة (رسالة 26/07: «Các bác tranh thủ bem 1 con trải nghiệm cảm giác nhà giàu tí»)، وتسعّر كل منتجاتها بالدونغ الفيتنامي (27,000đ و40,000đ و66,000đ و130,000đ)، وصاحبها المتحقق منه علنًا يحمل اسمًا فيتناميًا صريحًا: @leo_dfx باسم العرض «La Ha». حتى هوية البوت الخاص بها (ver_pixel_bot) تحيل إلى نفس المنظومة الفيتنامية. أما القناة الصينية الأم gemini12pro فهي فعلًا صينية (تأسست 21/04 بلغة الماندرين وسياسة 公益 ثم تحولت لاحتكار إعلاني مدفوع)، لكن التقنية انتشرت عبر مشغلين فيتناميين يشغلون مزارع واستخراجًا موازيًا. التصحيح البنيوي: التقنية صينية المنشأ، والمشغّلون متعددو الجنسيات — الصين للقناة الأم والاستخراج الصناعي، وفيتنام لمنظومة CDK وأدوات الاستخراج التجارية.</w:t>
      </w:r>
    </w:p>
    <w:p>
      <w:pPr>
        <w:pStyle w:val="Heading2"/>
        <w:bidi/>
        <w:spacing w:after="120" w:before="240" w:line="312"/>
        <w:jc w:val="start"/>
      </w:pPr>
      <w:bookmarkStart w:id="100003" w:name="_Toc100003"/>
      <w:r>
        <w:rPr>
          <w:rFonts w:ascii="Arial" w:cs="Arial" w:hAnsi="Arial"/>
          <w:b/>
          <w:bCs/>
          <w:color w:val="3A4368"/>
          <w:sz w:val="28"/>
          <w:szCs w:val="28"/>
          <w:rtl/>
        </w:rPr>
        <w:t xml:space="preserve">العيب 2 — التباس اتجاهي في عقدة AiVerseX وسعر غير ثابت</w:t>
      </w:r>
      <w:bookmarkEnd w:id="100003"/>
    </w:p>
    <w:p>
      <w:pPr>
        <w:bidi/>
        <w:spacing w:after="120" w:line="312"/>
        <w:jc w:val="start"/>
      </w:pPr>
      <w:r>
        <w:rPr>
          <w:rFonts w:ascii="Arial" w:cs="Arial" w:hAnsi="Arial"/>
          <w:color w:val="000000"/>
          <w:sz w:val="24"/>
          <w:szCs w:val="24"/>
          <w:rtl/>
        </w:rPr>
        <w:t xml:space="preserve">تقول الخريطة إن AiVerseX «يورّد بالجملة بـ$0.33–0.36» وكأنها أرضية ثابتة. النص الأصلي لرسالة 31/08 (بالإنجليزية) هو: «Today, I supplied ~6k links at $0.33–0.36 to bulk buyers» — أي أنه باع/أورّد ستة آلاف رابط لمشتري الجملة بهذا النطاق السعري في ذلك اليوم تحديدًا، ثم رفع السعر إلى $0.40 بسبب نقص السوق. والأدق من ذلك: هذا النطاق ليس أرضية ثابتة بل نقطة في سلم سعري متحرك وثّقناه عبر أربعة تغييرات خلال أغسطس وحده: $0.38 فلاش (01/08)، ثم سلم $0.59/0.54/0.44 (03/08)، ثم $0.60/0.55/0.45 (07/08)، ثم $0.40/0.38/0.36 (26/08). فالسعر يتقلب أسبوعيًا مع المعروض، وأي قرار شراء يجب أن يُبنى على السلم المعروض يوم الصفقة لا على رقم أرشيفي.</w:t>
      </w:r>
    </w:p>
    <w:p>
      <w:pPr>
        <w:pStyle w:val="Heading2"/>
        <w:bidi/>
        <w:spacing w:after="120" w:before="240" w:line="312"/>
        <w:jc w:val="start"/>
      </w:pPr>
      <w:bookmarkStart w:id="100004" w:name="_Toc100004"/>
      <w:r>
        <w:rPr>
          <w:rFonts w:ascii="Arial" w:cs="Arial" w:hAnsi="Arial"/>
          <w:b/>
          <w:bCs/>
          <w:color w:val="3A4368"/>
          <w:sz w:val="28"/>
          <w:szCs w:val="28"/>
          <w:rtl/>
        </w:rPr>
        <w:t xml:space="preserve">العيب 3 — تناقض سعري غير معلَّم حول Richard AI</w:t>
      </w:r>
      <w:bookmarkEnd w:id="100004"/>
    </w:p>
    <w:p>
      <w:pPr>
        <w:bidi/>
        <w:spacing w:after="120" w:line="312"/>
        <w:jc w:val="start"/>
      </w:pPr>
      <w:r>
        <w:rPr>
          <w:rFonts w:ascii="Arial" w:cs="Arial" w:hAnsi="Arial"/>
          <w:color w:val="000000"/>
          <w:sz w:val="24"/>
          <w:szCs w:val="24"/>
          <w:rtl/>
        </w:rPr>
        <w:t xml:space="preserve">تعرض الخريطة Richard AI بوصفه «المصدر المباشر» بسعر $0.65 دون الإشارة إلى التناقض الصارخ: AiVerseX يبيع نفس فئة المنتج بالجملة بين $0.36 و$0.45. لو كان Richard مصدرًا مباشرًا فعليًا لاستحال على المشترين تحته البيع بأقل منه بنسبة 45%. التفسير الأرجح المدعوم بالسياق: ادعاء «المباشرية» جزء من تسويق بوتات التجزئة الهندية التي تعلن في القناة الصينية الأم، أو أنه مباشر لجودة/نوع منتج مختلف (روابط مضمونة مقابل روابط عادية). الخريطة الصحيحة يجب أن تعلّم هذا التناقض صراحة بدل عرض الادعاءين جنبًا إلى جنب كأنهما حقائق متسقة.</w:t>
      </w:r>
    </w:p>
    <w:p>
      <w:pPr>
        <w:pStyle w:val="Heading2"/>
        <w:bidi/>
        <w:spacing w:after="120" w:before="240" w:line="312"/>
        <w:jc w:val="start"/>
      </w:pPr>
      <w:bookmarkStart w:id="100005" w:name="_Toc100005"/>
      <w:r>
        <w:rPr>
          <w:rFonts w:ascii="Arial" w:cs="Arial" w:hAnsi="Arial"/>
          <w:b/>
          <w:bCs/>
          <w:color w:val="3A4368"/>
          <w:sz w:val="28"/>
          <w:szCs w:val="28"/>
          <w:rtl/>
        </w:rPr>
        <w:t xml:space="preserve">العيب 4 — إسناد اقتصاد K12 إلى الهند بلا دليل</w:t>
      </w:r>
      <w:bookmarkEnd w:id="100005"/>
    </w:p>
    <w:p>
      <w:pPr>
        <w:bidi/>
        <w:spacing w:after="120" w:line="312"/>
        <w:jc w:val="start"/>
      </w:pPr>
      <w:r>
        <w:rPr>
          <w:rFonts w:ascii="Arial" w:cs="Arial" w:hAnsi="Arial"/>
          <w:color w:val="000000"/>
          <w:sz w:val="24"/>
          <w:szCs w:val="24"/>
          <w:rtl/>
        </w:rPr>
        <w:t xml:space="preserve">وضعت الخريطة «مزارع أكواد K12 التعليمية + طرق بريد .edu» داخل المنظومة الهندية. الأدلة المتجمعة تشير إلى صورة أكثر تعقيدًا: AISUBSID الإندونيسي يقول نصًّا في 15/09: «K12 soon add, i still create» — أي أنه ينشئ حسابات K12 بنفسه؛ ومنظومة CDK (المصطلح نفسه، وفاحص redeem.teamsoclo.site المكتوب بالفيتنامية «Đổi mã CDK») فيتنامية بامتياز؛ وfork الفيتنامية تبيع CDK ترقية Pixel مباشرة. صحيح أن طرق بريد .edu عالمية/هندية وأن المزارع الهندية تنتج أجزاء من هذا الاقتصاد، لكن مركز ثقل K12/CDK تنظيميًا فيتنامي-إندونيسي. تصحيح الخريطة: K12 عقدة متعددة الجنسيات، وليست فرعًا هنديًا خالصًا.</w:t>
      </w:r>
    </w:p>
    <w:p>
      <w:pPr>
        <w:pStyle w:val="Heading2"/>
        <w:bidi/>
        <w:spacing w:after="120" w:before="240" w:line="312"/>
        <w:jc w:val="start"/>
      </w:pPr>
      <w:bookmarkStart w:id="100006" w:name="_Toc100006"/>
      <w:r>
        <w:rPr>
          <w:rFonts w:ascii="Arial" w:cs="Arial" w:hAnsi="Arial"/>
          <w:b/>
          <w:bCs/>
          <w:color w:val="3A4368"/>
          <w:sz w:val="28"/>
          <w:szCs w:val="28"/>
          <w:rtl/>
        </w:rPr>
        <w:t xml:space="preserve">العيب 5 — غياب فرضية AiVerseX ← Evo_Era رغم توفر دليلها السعري</w:t>
      </w:r>
      <w:bookmarkEnd w:id="100006"/>
    </w:p>
    <w:p>
      <w:pPr>
        <w:bidi/>
        <w:spacing w:after="120" w:line="312"/>
        <w:jc w:val="start"/>
      </w:pPr>
      <w:r>
        <w:rPr>
          <w:rFonts w:ascii="Arial" w:cs="Arial" w:hAnsi="Arial"/>
          <w:color w:val="000000"/>
          <w:sz w:val="24"/>
          <w:szCs w:val="24"/>
          <w:rtl/>
        </w:rPr>
        <w:t xml:space="preserve">وصفت الخريطة Evo_Era بأنه «يجمع الأكواد الترويجية الهندية يدويًا» — واليدوية هنا ادعاء بلا دليل. الدليل الأقوى المتاح الآن يذهب لاتجاه مختلف تمامًا: قناة سجلاته الآلية (88 رسالة من 29-30/09) تكشف أنه يبيع رابط Gemini AI Pro 18m في التجزئة بـ0.75 USDT، بينما نطاق شراء الجملة من AiVerseX يتراوح $0.36–0.45 — هامش تجزئة منطقي تمامًا لمشترٍ جملة. ويتعزز هذا بعائلة المنتجات: كتالوج Evo_Era (بادئة mr_) يطابق عائلة أكواد الاستبدال نفسها التي يبيعها AiVerseX علنًا، وبفارق سعري واضح (Adobe Express بـ$0.40 عند AiVerseX مقابل $0.50 تكلفة الشراء عبر Evo_Era لستاك فولت). الفرضية الأولى الآن: Evo_Era يشتري من طبقة AiVerseX أو من نفس مصادرها، لا أنه يجمع يدويًا.</w:t>
      </w:r>
    </w:p>
    <w:p>
      <w:pPr>
        <w:pStyle w:val="Heading2"/>
        <w:bidi/>
        <w:spacing w:after="120" w:before="240" w:line="312"/>
        <w:jc w:val="start"/>
      </w:pPr>
      <w:bookmarkStart w:id="100007" w:name="_Toc100007"/>
      <w:r>
        <w:rPr>
          <w:rFonts w:ascii="Arial" w:cs="Arial" w:hAnsi="Arial"/>
          <w:b/>
          <w:bCs/>
          <w:color w:val="3A4368"/>
          <w:sz w:val="28"/>
          <w:szCs w:val="28"/>
          <w:rtl/>
        </w:rPr>
        <w:t xml:space="preserve">العيب 6 — سهم ProdSeller المبسّط يخفي تباين هوامش هائلًا</w:t>
      </w:r>
      <w:bookmarkEnd w:id="100007"/>
    </w:p>
    <w:p>
      <w:pPr>
        <w:bidi/>
        <w:spacing w:after="120" w:line="312"/>
        <w:jc w:val="start"/>
      </w:pPr>
      <w:r>
        <w:rPr>
          <w:rFonts w:ascii="Arial" w:cs="Arial" w:hAnsi="Arial"/>
          <w:color w:val="000000"/>
          <w:sz w:val="24"/>
          <w:szCs w:val="24"/>
          <w:rtl/>
        </w:rPr>
        <w:t xml:space="preserve">قالت الخريطة إن ProdSeller «يشتري من طبقة الاستخراج» بسهم واحد. الفحص السعري يكشف أن هذا السهم يخفي صورتين متناقضتين: على روابط Gemini 18M يدفع ستاك فولت $0.39 عبر ProdSeller — وهو داخل نطاق جملة AiVerseX بالضبط ($0.36–0.44)، ما يعني هامش ProdSeller شبه صفري على هذا الصنف (أو أنه يشتري من نفس الطبقة ويمرر السعر)، بينما على ChatGPT Plus Apple Pay يدفع ستاك فولت $10.29–10.77 عبر ProdSeller والمنظومة الفيتنامية تبيع نفس الصنف بـ$2.65–4.60 والإندونيسية بـ$2.90–3.50 — أي فرق ستة إلى ثمانية دولارات للوحدة. سهم واحد مبسط إذن يحجب أهم حقيقة تشغيلية للشركة: ProdSeller شفاف سعريًا في بعض الأصناف ومبالغ بشدة في أخرى.</w:t>
      </w:r>
    </w:p>
    <w:p>
      <w:pPr>
        <w:pStyle w:val="Heading2"/>
        <w:bidi/>
        <w:spacing w:after="120" w:before="240" w:line="312"/>
        <w:jc w:val="start"/>
      </w:pPr>
      <w:bookmarkStart w:id="100008" w:name="_Toc100008"/>
      <w:r>
        <w:rPr>
          <w:rFonts w:ascii="Arial" w:cs="Arial" w:hAnsi="Arial"/>
          <w:b/>
          <w:bCs/>
          <w:color w:val="3A4368"/>
          <w:sz w:val="28"/>
          <w:szCs w:val="28"/>
          <w:rtl/>
        </w:rPr>
        <w:t xml:space="preserve">العيب 7 — اقتصاد الأدوات غائب تمامًا</w:t>
      </w:r>
      <w:bookmarkEnd w:id="100008"/>
    </w:p>
    <w:p>
      <w:pPr>
        <w:bidi/>
        <w:spacing w:after="120" w:line="312"/>
        <w:jc w:val="start"/>
      </w:pPr>
      <w:r>
        <w:rPr>
          <w:rFonts w:ascii="Arial" w:cs="Arial" w:hAnsi="Arial"/>
          <w:color w:val="000000"/>
          <w:sz w:val="24"/>
          <w:szCs w:val="24"/>
          <w:rtl/>
        </w:rPr>
        <w:t xml:space="preserve">ذكرت الخريطة «بائعي الطرق» كطبقة تمكين واحدة، لكنها أغفلت اقتصاد الأدوات الكامل الذي وثّقه هذا الفحص: أولًا @leo_dfx الفيتنامي يبيع علنًا أداة استخراج روابط Gemini عبر عرض Jio الهندي (رسالة 01/09: أداة «jio gemini extract link» تعمل، والمشتري يسترد استثماره في يوم واحد ما دام لديه عملاء). ثانيًا أربع منظومات فحص روابط مكتشفة الآن: فاحص AiVerseX الخاص @GoChecker_Bot (يستقبل ملفات txt وcsv وjson وjsonl للفحص الجماعي)، وفاحص teamsoclo المكتوب بالفيتنامية على redeem.teamsoclo.site، وفاحص acczone عبر @acczone_gemini_link_bot، وأداة fork لفحص الروابط المستخدمة من الحية. ثالثًا أداة Bookmarklet لربط البطاقات في المزرعة الصينية الأم. هذا الاقتصاد — بيع الأدوات أنفسها بدل بيع المنتجات — طبقة تمكين مستقلة تستحق عقدة خاصة لأنها تحدد من يستطيع دخول سوق الاستخراج أصلًا.</w:t>
      </w:r>
    </w:p>
    <w:p>
      <w:pPr>
        <w:pStyle w:val="Heading2"/>
        <w:bidi/>
        <w:spacing w:after="120" w:before="240" w:line="312"/>
        <w:jc w:val="start"/>
      </w:pPr>
      <w:bookmarkStart w:id="100009" w:name="_Toc100009"/>
      <w:r>
        <w:rPr>
          <w:rFonts w:ascii="Arial" w:cs="Arial" w:hAnsi="Arial"/>
          <w:b/>
          <w:bCs/>
          <w:color w:val="3A4368"/>
          <w:sz w:val="28"/>
          <w:szCs w:val="28"/>
          <w:rtl/>
        </w:rPr>
        <w:t xml:space="preserve">العيب 8 — سكك الدفع مبعثرة والصورة الكاملة غير موجودة</w:t>
      </w:r>
      <w:bookmarkEnd w:id="100009"/>
    </w:p>
    <w:p>
      <w:pPr>
        <w:bidi/>
        <w:spacing w:after="120" w:line="312"/>
        <w:jc w:val="start"/>
      </w:pPr>
      <w:r>
        <w:rPr>
          <w:rFonts w:ascii="Arial" w:cs="Arial" w:hAnsi="Arial"/>
          <w:color w:val="000000"/>
          <w:sz w:val="24"/>
          <w:szCs w:val="24"/>
          <w:rtl/>
        </w:rPr>
        <w:t xml:space="preserve">تفرقت طرق الدفع في الخريطة بين العقد بلا تجميع. الصورة الموحدة الموثقة الآن من رسائل هذا الفحص: سكك الإنتاج (التي تصنع بها الحسابات) أربع موثقة — Apple Pay (فيتنامية)، وMoMo (فيتنامية، جرّبها كل من fork وAISUBSID ورُقّعت «Momo patched» في 15/09)، وUPI (هندية)، وBLIK (بولندية — اكتشاف جديد كليًّا: AISUBSID يعلن أنه سيتبادل بين UPI وBLIK حسب أيهما «يُصاب» بنجاح)، إضافة إلى Google Play. وسكك الاستهلاك (التي يدفع بها المشتري النهائي): Alipay للجمهور الصيني، وGoPay/QRIS للإندونيسيين، وUSDT مع رفض صريح لعملة Solana (AiVerseX في 01/08 و09/08)، وBEP20 بعد إغلاق حسابات Binance (HitMeow مرتين). الخلاصة البنيوية: طرق الإنتاج قابلة للتبديل مثل خامات التصنيع — المصنع يبدّل السكة عند رقعةتها، وهذا وحده يفسر تقلب المعروض والأسعار.</w:t>
      </w:r>
    </w:p>
    <w:p>
      <w:pPr>
        <w:pStyle w:val="Heading2"/>
        <w:bidi/>
        <w:spacing w:after="120" w:before="240" w:line="312"/>
        <w:jc w:val="start"/>
      </w:pPr>
      <w:bookmarkStart w:id="100010" w:name="_Toc100010"/>
      <w:r>
        <w:rPr>
          <w:rFonts w:ascii="Arial" w:cs="Arial" w:hAnsi="Arial"/>
          <w:b/>
          <w:bCs/>
          <w:color w:val="3A4368"/>
          <w:sz w:val="28"/>
          <w:szCs w:val="28"/>
          <w:rtl/>
        </w:rPr>
        <w:t xml:space="preserve">العيب 9 — AISUBSID موثق ناقصًا</w:t>
      </w:r>
      <w:bookmarkEnd w:id="100010"/>
    </w:p>
    <w:p>
      <w:pPr>
        <w:bidi/>
        <w:spacing w:after="120" w:line="312"/>
        <w:jc w:val="start"/>
      </w:pPr>
      <w:r>
        <w:rPr>
          <w:rFonts w:ascii="Arial" w:cs="Arial" w:hAnsi="Arial"/>
          <w:color w:val="000000"/>
          <w:sz w:val="24"/>
          <w:szCs w:val="24"/>
          <w:rtl/>
        </w:rPr>
        <w:t xml:space="preserve">اختُصر AISUBSID في الخريطة إلى «مصنع Plus بطرق UPI الهندية موجه للسوق الإندونيسي». الوثق الكامل (79 رسالة) يظهر مصنعًا متعدد السكك لا أحاديها: يبيع Plus عبر UPI وBLIK وApple Pay وGoogle Play، وجرب MoMo ففشلت، وينشئ حسابات K12 بنفسه، ويقيس أحجام دفعاته بدقة (131 حسابًا في 24/09، و100 في 23/09، و250+ بطلب مسبق في 26/09)، ويتحدث بلغة الصناعة الخام (16/09: «Plus صعب الإصابة اليوم»، و25/09: «إنشاء الحسابات يزداد صعوبة وكل المحاولات تفشل — أظن أن UPI سيُرقّع قريبًا»). رقم «نجاح 1–2%» الذي حملته الخريطة بلا مصدر يجب إسقاطه أو ربطه برسالة محددة؛ ما هو موثق نصيًّا هو شكواه من تراجع نسبة الإصابة لا النسبة نفسها.</w:t>
      </w:r>
    </w:p>
    <w:p>
      <w:pPr>
        <w:pStyle w:val="Heading2"/>
        <w:bidi/>
        <w:spacing w:after="120" w:before="240" w:line="312"/>
        <w:jc w:val="start"/>
      </w:pPr>
      <w:bookmarkStart w:id="100011" w:name="_Toc100011"/>
      <w:r>
        <w:rPr>
          <w:rFonts w:ascii="Arial" w:cs="Arial" w:hAnsi="Arial"/>
          <w:b/>
          <w:bCs/>
          <w:color w:val="3A4368"/>
          <w:sz w:val="28"/>
          <w:szCs w:val="28"/>
          <w:rtl/>
        </w:rPr>
        <w:t xml:space="preserve">العيب 10 — نص مشوه في طبقة التمكين</w:t>
      </w:r>
      <w:bookmarkEnd w:id="100011"/>
    </w:p>
    <w:p>
      <w:pPr>
        <w:bidi/>
        <w:spacing w:after="120" w:line="312"/>
        <w:jc w:val="start"/>
      </w:pPr>
      <w:r>
        <w:rPr>
          <w:rFonts w:ascii="Arial" w:cs="Arial" w:hAnsi="Arial"/>
          <w:color w:val="000000"/>
          <w:sz w:val="24"/>
          <w:szCs w:val="24"/>
          <w:rtl/>
        </w:rPr>
        <w:t xml:space="preserve">وردت عبارة «Google Translate-أدوات البصمات» في طبقة التمكين بصيغة ملتبسة تبدو خطأ نسخ أو دمج نصوص. المقصود الموثق في المصادر الأصلية هو منظومة أدوات إدارة بصمات الأجهزة وتدوير عناوين IP (الموثقة في القناة الصينية الأم) وأدوات الترجمة/التخطي الجغرافي المساندة. صغناها في الخريطة المصححة بعقدة واحدة واضحة: «أدوات البصمات وتدوير IP» ضمن طبقة التمكين، وفصلناها عن أدوات الاستخراج والفحص.</w:t>
      </w:r>
    </w:p>
    <w:p>
      <w:pPr>
        <w:pStyle w:val="Heading2"/>
        <w:bidi/>
        <w:spacing w:after="120" w:before="240" w:line="312"/>
        <w:jc w:val="start"/>
      </w:pPr>
      <w:bookmarkStart w:id="100012" w:name="_Toc100012"/>
      <w:r>
        <w:rPr>
          <w:rFonts w:ascii="Arial" w:cs="Arial" w:hAnsi="Arial"/>
          <w:b/>
          <w:bCs/>
          <w:color w:val="3A4368"/>
          <w:sz w:val="28"/>
          <w:szCs w:val="28"/>
          <w:rtl/>
        </w:rPr>
        <w:t xml:space="preserve">العيب 11 — غياب طبقة النمو المجتمعي والاعتمادات</w:t>
      </w:r>
      <w:bookmarkEnd w:id="100012"/>
    </w:p>
    <w:p>
      <w:pPr>
        <w:bidi/>
        <w:spacing w:after="120" w:line="312"/>
        <w:jc w:val="start"/>
      </w:pPr>
      <w:r>
        <w:rPr>
          <w:rFonts w:ascii="Arial" w:cs="Arial" w:hAnsi="Arial"/>
          <w:color w:val="000000"/>
          <w:sz w:val="24"/>
          <w:szCs w:val="24"/>
          <w:rtl/>
        </w:rPr>
        <w:t xml:space="preserve">تدير منظومة fork اقتصاد اعتمادات وإحالات متكاملًا لم تذكره الخريطة: كل دعوة صديق تمنح اعتمادًا، وخمسة اعتمادات تساوي رابط Gemini 18 شهرًا، ومسابقات يومية لأكبر خمسة داعين بجوائز روابط فعلية (وثقنا رابط مكافأة حقيقي بصيغة serviceactivation.google.com في 29/08)، وتخفيضات أسعار هرمية حسب الرتبة (Starter ثم Elite ثم Diamond ثم Legend ثم Ultimate — وصولًا إلى $0.85 لقرص CDK بدل $1). Evo_Era يشغّل نظام إحالات موازيًا ($0.05 لكل صديق مستقطع من سجلاته الآلية). هذه طبقة توزيع مجتمعية تخفض كلفة اكتساب العملاء وتشرح جزءًا من فوارق الأسعار بين القنوات، ولها أثر مباشر على أي استراتيجية تسعير تنافسية.</w:t>
      </w: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الحصيلة النقدية: 4 أخطاء تصنيف بنيوية (جغرافية fork، واتجاه السعر، وإسناد K12، ووثاقة AISUBSID) + 3 فجوات منطقية (تناقض Richard، وسهم ProdSeller المبسط، والجمع اليدوي غير المثبت) + 4 أغفال بنيوية (الأدوات، وسكك الدفع، والفاحصات، والاعتمادات). الخريطة v3 في القسم الثامن تعالج الإحدى عشرة مجتمعة.</w:t>
      </w:r>
    </w:p>
    <w:p>
      <w:pPr>
        <w:pStyle w:val="Heading1"/>
        <w:bidi/>
        <w:spacing w:after="160" w:before="360" w:line="312"/>
        <w:jc w:val="start"/>
      </w:pPr>
      <w:bookmarkStart w:id="100013" w:name="_Toc100013"/>
      <w:r>
        <w:rPr>
          <w:rFonts w:ascii="Arial" w:cs="Arial" w:hAnsi="Arial"/>
          <w:b/>
          <w:bCs/>
          <w:color w:val="1A1F2E"/>
          <w:sz w:val="32"/>
          <w:szCs w:val="32"/>
          <w:rtl/>
        </w:rPr>
        <w:t xml:space="preserve">3. الفرع الأول — AISUBSID: مصنع طرق الدفع متعدد السكك</w:t>
      </w:r>
      <w:bookmarkEnd w:id="100013"/>
    </w:p>
    <w:p>
      <w:pPr>
        <w:bidi/>
        <w:spacing w:after="120" w:line="312"/>
        <w:jc w:val="start"/>
      </w:pPr>
      <w:r>
        <w:rPr>
          <w:rFonts w:ascii="Arial" w:cs="Arial" w:hAnsi="Arial"/>
          <w:color w:val="000000"/>
          <w:sz w:val="24"/>
          <w:szCs w:val="24"/>
          <w:rtl/>
        </w:rPr>
        <w:t xml:space="preserve">AISUBSID ليس «مستخدمًا هنديًا لطريقة UPI» كما اختصرته الخريطة السابقة، بل هو مصنع حسابات إندونيسي يدير محفظة طرق دفع دولية ويبدّل بينها بمنطق إدارة المخزون الصناعي. القناة (304 مشتركين) نشطة منذ 13/09 على الأقل بـ79 رسالة مفحوصة، وبوتها الرسمي هو @Aisubsglobalbot (مفحوص حيًّا: «AISUBS GLOBAL — Services for AI subscription»). النمط الإعلاني اليومي: إعلانات إعادة تخزين متكررة (RESTOCK) بأرقام دقيقة — 131 حساب Plus في 24/09 بسعر $3.10 أو 55 ألف روبية إندونيسية، ودفعة 100 حساب في 23/09، وطلب مسبق لـ250+ حساب بسعر $2.90 أو 52 ألف روبية بحد أدنى 20 حسابًا في 26/09. هذه أرقام مصنع صغير الحجم لا وسيط: الوسيط لا يعرف عدد الحسابات التي «ستُنشأ» غدًا.</w:t>
      </w:r>
    </w:p>
    <w:p>
      <w:pPr>
        <w:pStyle w:val="Heading2"/>
        <w:bidi/>
        <w:spacing w:after="120" w:before="240" w:line="312"/>
        <w:jc w:val="start"/>
      </w:pPr>
      <w:bookmarkStart w:id="100014" w:name="_Toc100014"/>
      <w:r>
        <w:rPr>
          <w:rFonts w:ascii="Arial" w:cs="Arial" w:hAnsi="Arial"/>
          <w:b/>
          <w:bCs/>
          <w:color w:val="3A4368"/>
          <w:sz w:val="28"/>
          <w:szCs w:val="28"/>
          <w:rtl/>
        </w:rPr>
        <w:t xml:space="preserve">دليل التصنيع الذاتي بلغة القناة نفسها</w:t>
      </w:r>
      <w:bookmarkEnd w:id="100014"/>
    </w:p>
    <w:p>
      <w:pPr>
        <w:bidi/>
        <w:spacing w:after="120" w:line="312"/>
        <w:jc w:val="start"/>
      </w:pPr>
      <w:r>
        <w:rPr>
          <w:rFonts w:ascii="Arial" w:cs="Arial" w:hAnsi="Arial"/>
          <w:color w:val="000000"/>
          <w:sz w:val="24"/>
          <w:szCs w:val="24"/>
          <w:rtl/>
        </w:rPr>
        <w:t xml:space="preserve">ثلاث رسائل تحسم المسألة لغويًّا. الأولى (15/09): «K12 soon add, i still create» — أنشئ حسابات K12 الآن. الثانية (16/09): «ChatGPT Plus is hard to hit today... I'm not sure I'll be able to get a large quantity again today» — الإصابة/الإنشاء صعبة اليوم، وغير متأكد من تأمين كمية كبيرة — وهي لغة من يدير عملية إنشاء فاشلة الاحتمال لا من يشتري كتالوجًا جاهزًا. الثالثة (25/09): «Creating accounts is becoming harder and there are many failures. I think UPI method will be patched soon, the signs are already visible» — إنشاء الحسابات يزداد صعوبة والمحاولات تفشل كثيرًا، وعلامات رقعة UPI ظاهرة — وهذا تنبؤ لا يستطيع صدوره إلا من يلمس نسب نجاح العملية من الداخل. وحين طالب مشترٍ في 14/09 بضمان شهر كامل بسعر 50 ألف روبية ردّ القائم على القناة بالإندونيسية: «اخرج من قناتي وامنع البوت — حتى OpenAI لا تستطيع المساعدة بسعر كهذا» — إقرار ضمني بأن العمر الافتراضي للمنتج مرتبط بمنطق المنصة لا بضمان البائع.</w:t>
      </w:r>
    </w:p>
    <w:p>
      <w:pPr>
        <w:pStyle w:val="Heading2"/>
        <w:bidi/>
        <w:spacing w:after="120" w:before="240" w:line="312"/>
        <w:jc w:val="start"/>
      </w:pPr>
      <w:bookmarkStart w:id="100015" w:name="_Toc100015"/>
      <w:r>
        <w:rPr>
          <w:rFonts w:ascii="Arial" w:cs="Arial" w:hAnsi="Arial"/>
          <w:b/>
          <w:bCs/>
          <w:color w:val="3A4368"/>
          <w:sz w:val="28"/>
          <w:szCs w:val="28"/>
          <w:rtl/>
        </w:rPr>
        <w:t xml:space="preserve">محفظة السكك: UPI وBLIK وApple Pay وGoogle Play وفشل MoMo</w:t>
      </w:r>
      <w:bookmarkEnd w:id="100015"/>
    </w:p>
    <w:p>
      <w:pPr>
        <w:bidi/>
        <w:spacing w:after="120" w:line="312"/>
        <w:jc w:val="start"/>
      </w:pPr>
      <w:r>
        <w:rPr>
          <w:rFonts w:ascii="Arial" w:cs="Arial" w:hAnsi="Arial"/>
          <w:color w:val="000000"/>
          <w:sz w:val="24"/>
          <w:szCs w:val="24"/>
          <w:rtl/>
        </w:rPr>
        <w:t xml:space="preserve">الاكتشاف الأبرز في هذا الفرع هو تعدد السكك وتعاقبها: في 16/09 أعلن الرفض الشعبي لطريقة BLIK البولندية (يتعطل بسهولة بحسب العملاء) فرّد بأنه سيبيع Plus عبر UPI أو طرق أخرى، وبعد دقائق أضاف Plus UPI للبوت بسعر $3.50 أو 63 ألف روبية ثم أعلن نفاد مخزونه في اليوم نفسه؛ وفي اليوم التالي صرّح بالقاعدة التشغيلية الحاكمة: «سأناوب بين UPI وBLIK حسب أيهما يمكن إصابته». سبق ذلك إعلانه في 15/09 أن «Momo patched» — أي أنه جرب السكة الفيتنامية وواجه الرقعة فخرج منها. كما يبيع منتجات عبر Apple Pay وGoogle Play (14/09: قد تدوم حتى 30 يومًا في بعض الحالات). المحصلة الاستخبارية: المصنع يعتبر طرق الدفع خامات قابلة للاستبدال، ويتحول بين الهند وبولندا وفيتنام حسب إنتاجية كل سكة — وأي خلل في سكة واحدة ينعكس فورًا على معروضه وأسعاره.</w:t>
      </w:r>
    </w:p>
    <w:p>
      <w:pPr>
        <w:pStyle w:val="Heading2"/>
        <w:bidi/>
        <w:spacing w:after="120" w:before="240" w:line="312"/>
        <w:jc w:val="start"/>
      </w:pPr>
      <w:bookmarkStart w:id="100016" w:name="_Toc100016"/>
      <w:r>
        <w:rPr>
          <w:rFonts w:ascii="Arial" w:cs="Arial" w:hAnsi="Arial"/>
          <w:b/>
          <w:bCs/>
          <w:color w:val="3A4368"/>
          <w:sz w:val="28"/>
          <w:szCs w:val="28"/>
          <w:rtl/>
        </w:rPr>
        <w:t xml:space="preserve">التموضع التنافسي والوعي السعري</w:t>
      </w:r>
      <w:bookmarkEnd w:id="100016"/>
    </w:p>
    <w:p>
      <w:pPr>
        <w:bidi/>
        <w:spacing w:after="120" w:line="312"/>
        <w:jc w:val="start"/>
      </w:pPr>
      <w:r>
        <w:rPr>
          <w:rFonts w:ascii="Arial" w:cs="Arial" w:hAnsi="Arial"/>
          <w:color w:val="000000"/>
          <w:sz w:val="24"/>
          <w:szCs w:val="24"/>
          <w:rtl/>
        </w:rPr>
        <w:t xml:space="preserve">يملك AISUBSID خريطة سعرية دقيقة لمنافسيه: في 15/09 شرح أن بعض البائعين يتقاضون 4–5 USDT على Plus بطريقة MoMo بضمان 12 ساعة فقط، وأن الساعات الاثنتي عشرة الأولى آمنة عادة ولهذا لا يجرؤون على ضمان يوم كامل — «والجواب تعرفه». هذا تحليل مُستَلّ من ملاحظة سوق حقيقية ويكشف أن حرب الضمانات جبهة تنافسية قائمة. وعلى صعيد العملاء، يعيد تشغيل GoPay للجمهور الإندونيسي (13/09: «GOPAY BACK! WELCOME INDONESIAN») ويسأل جمهوره في 19/09 عن بوابة دفع تتم تسويتها بسرعة — أي أن سكة الاستهلاك لديه قابلة للتحسين أيضًا. ولستاك فولت تحديدًا: سعره للوحدة ($2.90–3.50 بخصم الكميات) يقع تحت تكلفة Plus الحالية للشركة عبر ProdSeller ($10.29–10.77) بفارق كبير، مع تحفظ جوهري واحد: أحجام دفعاته صغيرة (100–250 حسابًا) وضماناته غير مصرّحة بوضوح، فأي تعاون يجب أن يبدأ بعينة اختبار محدودة.</w:t>
      </w:r>
    </w:p>
    <w:p>
      <w:pPr>
        <w:keepNext/>
        <w:bidi/>
        <w:spacing w:after="80" w:before="160" w:line="312"/>
        <w:jc w:val="start"/>
      </w:pPr>
      <w:r>
        <w:rPr>
          <w:rFonts w:ascii="Arial" w:cs="Arial" w:hAnsi="Arial"/>
          <w:b/>
          <w:bCs/>
          <w:color w:val="1A1F2E"/>
          <w:sz w:val="21"/>
          <w:szCs w:val="21"/>
          <w:rtl/>
        </w:rPr>
        <w:t xml:space="preserve">سجل أسعار AISUBSID الموثق (سبتمبر 2026)</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gridCol w:w="100"/>
      </w:tblGrid>
      <w:tr>
        <w:trPr>
          <w:cantSplit/>
          <w:tblHeader/>
        </w:trPr>
        <w:tc>
          <w:tcPr>
            <w:tcW w:type="pct" w:w="25%"/>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التاريخ</w:t>
            </w:r>
          </w:p>
        </w:tc>
        <w:tc>
          <w:tcPr>
            <w:tcW w:type="pct" w:w="25%"/>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 والسكة</w:t>
            </w:r>
          </w:p>
        </w:tc>
        <w:tc>
          <w:tcPr>
            <w:tcW w:type="pct" w:w="25%"/>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w:t>
            </w:r>
          </w:p>
        </w:tc>
        <w:tc>
          <w:tcPr>
            <w:tcW w:type="pct" w:w="25%"/>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الدلالة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21/09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(جملة مباشرة)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$3.35 أو 60k IDR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إعلان جملة لمشتري 5+</w:t>
            </w:r>
          </w:p>
        </w:tc>
      </w:tr>
      <w:tr>
        <w:trPr>
          <w:cantSplit/>
        </w:trPr>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24/09</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Plus — دفعة 131 حسابًا</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$3.10 أو 55k IDR</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تخفيض مع توسع الدفعة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25/09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Plus — رفع تدرجي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+$0.20 أو 4k IDR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تصاعد كلفة الإنشاء</w:t>
            </w:r>
          </w:p>
        </w:tc>
      </w:tr>
      <w:tr>
        <w:trPr>
          <w:cantSplit/>
        </w:trPr>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26/09</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Plus — طلب مسبق 250+</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$2.90 أو 52k IDR</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أرخص سعر بكمية 20+</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16/09</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Plus UPI</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$3.50 أو 63k IDR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نفد في اليوم نفسه</w:t>
            </w:r>
          </w:p>
        </w:tc>
      </w:tr>
      <w:tr>
        <w:trPr>
          <w:cantSplit/>
        </w:trPr>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16/09</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K12/Edu</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$3.40 أو 60k IDR</w:t>
            </w:r>
          </w:p>
        </w:tc>
        <w:tc>
          <w:tcPr>
            <w:tcW w:type="pct" w:w="25%"/>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ينشئها بنفسه نصًّا</w:t>
            </w:r>
          </w:p>
        </w:tc>
      </w:tr>
    </w:tbl>
    <w:p>
      <w:pPr>
        <w:spacing w:after="120"/>
      </w:pP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الخلاصة التشغيلية: AISUBSID مصنّع إندونيسي صغير الحجم متعدد السكك، يعمل بهوامش رقيقة وأسعار جملة تلامس $2.90، وينشئ K12 بنفسه. الأرجح أنه يشتري أدوات/طرق الإنتاج لا المنتجات النهائية — وتقاطع سككه (UPI الهندي وBLIK البولندي) مع مصالح ستاك فولت منخفض لأن حجمه لا يكفي لالتزامات إمداد كبيرة، لكنه مرجع سعري ممتاز لأرضية Plus.</w:t>
      </w:r>
    </w:p>
    <w:p>
      <w:pPr>
        <w:pStyle w:val="Heading1"/>
        <w:bidi/>
        <w:spacing w:after="160" w:before="360" w:line="312"/>
        <w:jc w:val="start"/>
      </w:pPr>
      <w:bookmarkStart w:id="100017" w:name="_Toc100017"/>
      <w:r>
        <w:rPr>
          <w:rFonts w:ascii="Arial" w:cs="Arial" w:hAnsi="Arial"/>
          <w:b/>
          <w:bCs/>
          <w:color w:val="1A1F2E"/>
          <w:sz w:val="32"/>
          <w:szCs w:val="32"/>
          <w:rtl/>
        </w:rPr>
        <w:t xml:space="preserve">4. الفرع الثاني — مزارع أجهزة Pixel: تصحيح جغرافي واقتصاد أدوات</w:t>
      </w:r>
      <w:bookmarkEnd w:id="100017"/>
    </w:p>
    <w:p>
      <w:pPr>
        <w:bidi/>
        <w:spacing w:after="120" w:line="312"/>
        <w:jc w:val="start"/>
      </w:pPr>
      <w:r>
        <w:rPr>
          <w:rFonts w:ascii="Arial" w:cs="Arial" w:hAnsi="Arial"/>
          <w:color w:val="000000"/>
          <w:sz w:val="24"/>
          <w:szCs w:val="24"/>
          <w:rtl/>
        </w:rPr>
        <w:t xml:space="preserve">انقسمت الصورة الجغرافية لهذا الفرع بعد الفحص العميق إلى منظومتين متمايزتين تشتركان في التقنية وتختلفان في التشغيل والسوق. المنظومة الأولى هي القناة الصينية الأم gemini12pro (142,797 مشتركًا في القناة، و131,924 في المجموعة المرافقة): مزرعة أجهزة موثقة منذ 21/04 (16 جهازًا في أبريل ثم إعلان كفاءة أعلى بعشرة أضعاف في مايو)، بإدارة بصمات أجهزة وتدوير IP وحل Bookmarklet لربط البطاقات وطوابير انتظار نمت من 400 إلى 1,500 شخص، وقبول Alipay والعملات المشفرة، ومتجر رسمي بواجهة احترافية على nikokey.com تحت اسم NikoAI. المنظومة الثانية جديدة الاكتشاف كليًّا: منظومة فيتنامية كاملة تدير نفس فئة المنتجات عبر قناة fork_bot_channel وبوت ver_pixel_bot بإدارة مالك فيتنامي معروف الهوية (@leo_dfx «La Ha»).</w:t>
      </w:r>
    </w:p>
    <w:p>
      <w:pPr>
        <w:pStyle w:val="Heading2"/>
        <w:bidi/>
        <w:spacing w:after="120" w:before="240" w:line="312"/>
        <w:jc w:val="start"/>
      </w:pPr>
      <w:bookmarkStart w:id="100018" w:name="_Toc100018"/>
      <w:r>
        <w:rPr>
          <w:rFonts w:ascii="Arial" w:cs="Arial" w:hAnsi="Arial"/>
          <w:b/>
          <w:bCs/>
          <w:color w:val="3A4368"/>
          <w:sz w:val="28"/>
          <w:szCs w:val="28"/>
          <w:rtl/>
        </w:rPr>
        <w:t xml:space="preserve">المنظومة الفيتنامية fork: الدليل اللغوي والتجاري</w:t>
      </w:r>
      <w:bookmarkEnd w:id="100018"/>
    </w:p>
    <w:p>
      <w:pPr>
        <w:bidi/>
        <w:spacing w:after="120" w:line="312"/>
        <w:jc w:val="start"/>
      </w:pPr>
      <w:r>
        <w:rPr>
          <w:rFonts w:ascii="Arial" w:cs="Arial" w:hAnsi="Arial"/>
          <w:color w:val="000000"/>
          <w:sz w:val="24"/>
          <w:szCs w:val="24"/>
          <w:rtl/>
        </w:rPr>
        <w:t xml:space="preserve">أربعة خطوط دليل متقاربة تحسم فيتنامية المنظومة: اللغة (رسائل بالفيتنامية العامية مثل «éc éc» و«Các bác tranh thủ bem» ورسالة 13/09 المزدوجة اللغة بشكوى عميل اشترى 8 روابط فوجدها 4 مستخدمة)، والتسعير بالدونغ في كل الأسعار (من 21,000đ حتى 130,000đ)، والهوية (المالك @leo_dfx يظهر كراعٍ رسمي للفعاليات ويوقّع الإعلانات باسم La Ha)، والبنية (بوت ver_pixel_bot يحيل إلى القناة نفسها كقناة رسمية). وتبيع المنظومة مباشرة قرصي CDK لترقية Gemini Pro مع 5TB لمدة 12 شهرًا عبر Pixel: نسخة Extract بسعر $1 (وهبوطًا إلى $0.85 لرتبة VIP الدنيا) ونسخة Full بسعر $1.5 (وهبوطًا إلى $1.30 للرتب العليا) — وسيقارن قسم التسعير هذا بما تدفعه ستاك فولت لنفس العائلة.</w:t>
      </w:r>
    </w:p>
    <w:p>
      <w:pPr>
        <w:pStyle w:val="Heading2"/>
        <w:bidi/>
        <w:spacing w:after="120" w:before="240" w:line="312"/>
        <w:jc w:val="start"/>
      </w:pPr>
      <w:bookmarkStart w:id="100019" w:name="_Toc100019"/>
      <w:r>
        <w:rPr>
          <w:rFonts w:ascii="Arial" w:cs="Arial" w:hAnsi="Arial"/>
          <w:b/>
          <w:bCs/>
          <w:color w:val="3A4368"/>
          <w:sz w:val="28"/>
          <w:szCs w:val="28"/>
          <w:rtl/>
        </w:rPr>
        <w:t xml:space="preserve">الاكتشاف الأهم: أدوات الاستخراج تُباع كسلعة مستقلة</w:t>
      </w:r>
      <w:bookmarkEnd w:id="100019"/>
    </w:p>
    <w:p>
      <w:pPr>
        <w:bidi/>
        <w:spacing w:after="120" w:line="312"/>
        <w:jc w:val="start"/>
      </w:pPr>
      <w:r>
        <w:rPr>
          <w:rFonts w:ascii="Arial" w:cs="Arial" w:hAnsi="Arial"/>
          <w:color w:val="000000"/>
          <w:sz w:val="24"/>
          <w:szCs w:val="24"/>
          <w:rtl/>
        </w:rPr>
        <w:t xml:space="preserve">في 01/09 نشرت القناة إعلانًا يمثل قطيعة مع نموذج «المزرعة المغلقة»: مشترٍ اقتنى أداة استخراج روابط Gemini عبر عرض Jio — أداة يسميها «jio gemini extract link tool» — وهي تعمل، و«ما دام لديك عملاء فستردي استثمارك في يوم واحد»، والتواصل مع @leo_dfx مباشرة. هذا يعني ثلاث حقائق بنيوية: أولًا وجود مسار استخراج ثانٍ غير مزارع الأجهزة يستهدف عرض Jio الهندي (مستخدمو Jio يحصلون على Gemini Pro)، أي أن «الطبقة صفر» للروابط تتضمن عرضين جوجل مختلفين لا عرضًا واحدًا. ثانيًا أن حاجز دخول سوق الاستخراج انهار إلى سعر أداة تُسترَد في يوم — وهذا يفسر تضخم المعروض وتقلب الأسعار في السوق كله. ثالثًا أن المشغّل الفيتنامي يحتل موقع الوسيط التقني: يشتري أو يبني الأداة ويبيعها ويبيع منتجاتها في آن واحد. كما تبيع القناة أداة فحص الروابط الحية من المستخدمة (12/09: «tool check live/used link, if u need»).</w:t>
      </w:r>
    </w:p>
    <w:p>
      <w:pPr>
        <w:pStyle w:val="Heading2"/>
        <w:bidi/>
        <w:spacing w:after="120" w:before="240" w:line="312"/>
        <w:jc w:val="start"/>
      </w:pPr>
      <w:bookmarkStart w:id="100020" w:name="_Toc100020"/>
      <w:r>
        <w:rPr>
          <w:rFonts w:ascii="Arial" w:cs="Arial" w:hAnsi="Arial"/>
          <w:b/>
          <w:bCs/>
          <w:color w:val="3A4368"/>
          <w:sz w:val="28"/>
          <w:szCs w:val="28"/>
          <w:rtl/>
        </w:rPr>
        <w:t xml:space="preserve">بصمة المنتج النهائي وضبط الجودة داخل الاقتصاد</w:t>
      </w:r>
      <w:bookmarkEnd w:id="100020"/>
    </w:p>
    <w:p>
      <w:pPr>
        <w:bidi/>
        <w:spacing w:after="120" w:line="312"/>
        <w:jc w:val="start"/>
      </w:pPr>
      <w:r>
        <w:rPr>
          <w:rFonts w:ascii="Arial" w:cs="Arial" w:hAnsi="Arial"/>
          <w:color w:val="000000"/>
          <w:sz w:val="24"/>
          <w:szCs w:val="24"/>
          <w:rtl/>
        </w:rPr>
        <w:t xml:space="preserve">وثّقنا لأول مرة البصمة الفعلية للمنتج النهائي: رابط المكافأة المرسل في 29/08 كجائزة مسابقة يحمل الصيغة الحرفية serviceactivation.google.com/subscription/new/ متبوعة بمعرّف طويل — وهذه هي صيغة روابط تفعيل اشتراكات Google التي تسريها المزارع، وتطابق ما تعلنه القنوات الهندية تحت مسمى Gemini Pro 18M (18 شهرًا). أما ضبط الجودة فقصة أخرى: القناة نفسها اشتكت علنًا في 13/09 من صفقة بيعت فيها 8 روابط فكانت 4 منها مستخدمة سلفًا («chắc t bị ngoo» — أظنني وقعت في الفخ)، ما يثبت أن إعادة بيع الروابط المستخدمة مشكلة بنيوية في الاقتصاد، ويفسر الطلب الكبير على الفاحصات الأربع المكتشفة. وتدير المنظومة اقتصاد اعتمادات محكمًا: خمسة اعتمادات تساوي رابط 18 شهرًا، والاعتمادات تُكتسب بالدعوات والتحقق اليومي، مع مسابقات إنفاق يومية — بنية نمو مجتمعي تنقل كلفة التسويق إلى العملاء أنفسهم.</w:t>
      </w:r>
    </w:p>
    <w:p>
      <w:pPr>
        <w:keepNext/>
        <w:bidi/>
        <w:spacing w:after="80" w:before="160" w:line="312"/>
        <w:jc w:val="start"/>
      </w:pPr>
      <w:r>
        <w:rPr>
          <w:rFonts w:ascii="Arial" w:cs="Arial" w:hAnsi="Arial"/>
          <w:b/>
          <w:bCs/>
          <w:color w:val="1A1F2E"/>
          <w:sz w:val="21"/>
          <w:szCs w:val="21"/>
          <w:rtl/>
        </w:rPr>
        <w:t xml:space="preserve">كتالوج fork الفيتنامية الموثق (يوليو–سبتمبر 2026)</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tblGrid>
      <w:tr>
        <w:trPr>
          <w:cantSplit/>
          <w:tblHeader/>
        </w:trPr>
        <w:tc>
          <w:tcPr>
            <w:tcW w:type="pct" w:w="34%"/>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ملاحظة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CDK Gemini Pro + 5TB 12M Pixel (Extract)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$1.00 → $0.85 VIP</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النسخة المستخرجة</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CDK Gemini Pro + 5TB 12M Pixel (Full)</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$1.50 → $1.30 VIP</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النسخة الكاملة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Apple Pay (ضمان يوم)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$2.65 (01/08) → $4.60 (18/08)</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قفزة تعكس صعوبة السكة</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MoMo @icloud (بلا ضمان)</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$3.00</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حسابات بريد icloud</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MoMo Pay (ضمان يوم)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$5.00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130,000đ</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Claude Max x20 (بلا ضمان)</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$2.50</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أرخص Claude موثق في السوق</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Team 30 يومًا</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$2.00–2.50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طلبيات مسبقة</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API خاصة (مفاتيح sk-)</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وديعة $10 قابلة للاستخدام</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بصمة New API</w:t>
            </w:r>
          </w:p>
        </w:tc>
      </w:tr>
    </w:tbl>
    <w:p>
      <w:pPr>
        <w:spacing w:after="120"/>
      </w:pP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تصويب إضافي للخريطة: قناة fork_bot_channel كيان مستقل تمامًا عن حساب @fork_bot الذي يظهر باسم Fork مع علم أوروبي ويحيل إلى @powderdevs — تشابه الأسماء محض مصادفة، وأي دمج بينهما خطأ تجميعي. كذلك فُحص متجر nikokey.com حيًّا (استجابة 200 عبر Cloudflare): صفحة NikoAI بحجم 11KB خالية تمامًا من أي كلمات مفتاحية للبيع — واجهة احترافية تغطي النشاط الفعلي خلفها.</w:t>
      </w:r>
    </w:p>
    <w:p>
      <w:pPr>
        <w:pStyle w:val="Heading1"/>
        <w:bidi/>
        <w:spacing w:after="160" w:before="360" w:line="312"/>
        <w:jc w:val="start"/>
      </w:pPr>
      <w:bookmarkStart w:id="100021" w:name="_Toc100021"/>
      <w:r>
        <w:rPr>
          <w:rFonts w:ascii="Arial" w:cs="Arial" w:hAnsi="Arial"/>
          <w:b/>
          <w:bCs/>
          <w:color w:val="1A1F2E"/>
          <w:sz w:val="32"/>
          <w:szCs w:val="32"/>
          <w:rtl/>
        </w:rPr>
        <w:t xml:space="preserve">5. الفرع الثالث — الطبقة الهندية: من فوق من في سلّم الروابط</w:t>
      </w:r>
      <w:bookmarkEnd w:id="100021"/>
    </w:p>
    <w:p>
      <w:pPr>
        <w:bidi/>
        <w:spacing w:after="120" w:line="312"/>
        <w:jc w:val="start"/>
      </w:pPr>
      <w:r>
        <w:rPr>
          <w:rFonts w:ascii="Arial" w:cs="Arial" w:hAnsi="Arial"/>
          <w:color w:val="000000"/>
          <w:sz w:val="24"/>
          <w:szCs w:val="24"/>
          <w:rtl/>
        </w:rPr>
        <w:t xml:space="preserve">أجاب تعميق تاريخ AiVerseXHub (114 رسالة حتى بداية أغسطس) عن السؤال المحوري للخريطة: ما موقع AiVerseX الحقيقي في السلسلة؟ الرسالة الحاكمة (31/08) تقول نصًّا بالإنجليزية: «Today, I supplied ~6k links at $0.33–0.36 to bulk buyers» مع خلفية السوق: «سنستمر بإضافة 5–8 آلاف رابط يوميًا بعد أن كنا نضيف 20–25 ألفًا، والسوق يحتاج نحو 40 ألفًا يوميًا والمعروض الكلي الآن نحو 15 ألفًا». اتجاه الفعل «supplied» حاسم: هو البائع لا المشتري، وأرقام الإضافة اليومية (آلاف الروابط) وأرقام معرفة السوق الكلية لا تصدر إلا عن عقدة إنتاج/تجيير مركزية. ومع ذلك يبقى مصدر روابطه نفسه غير معلن — احتمالان محكومان بالأدلة: مزارع مملوكة أو متعاقد معها (صينية أو فيتنامية أو هندية بعرض Jio)، أو شبكة تجميع كارتلية. ما يمكن إنكاره الآن بثقة عالية: أنه وسيط يشتري من طبقة أرخص معلنة — فلا يوجد أدنى من سعره في السوق كلّه.</w:t>
      </w:r>
    </w:p>
    <w:p>
      <w:pPr>
        <w:pStyle w:val="Heading2"/>
        <w:bidi/>
        <w:spacing w:after="120" w:before="240" w:line="312"/>
        <w:jc w:val="start"/>
      </w:pPr>
      <w:bookmarkStart w:id="100022" w:name="_Toc100022"/>
      <w:r>
        <w:rPr>
          <w:rFonts w:ascii="Arial" w:cs="Arial" w:hAnsi="Arial"/>
          <w:b/>
          <w:bCs/>
          <w:color w:val="3A4368"/>
          <w:sz w:val="28"/>
          <w:szCs w:val="28"/>
          <w:rtl/>
        </w:rPr>
        <w:t xml:space="preserve">سلم الجملة المتحرك وأدلة العمق الصناعي</w:t>
      </w:r>
      <w:bookmarkEnd w:id="100022"/>
    </w:p>
    <w:p>
      <w:pPr>
        <w:bidi/>
        <w:spacing w:after="120" w:line="312"/>
        <w:jc w:val="start"/>
      </w:pPr>
      <w:r>
        <w:rPr>
          <w:rFonts w:ascii="Arial" w:cs="Arial" w:hAnsi="Arial"/>
          <w:color w:val="000000"/>
          <w:sz w:val="24"/>
          <w:szCs w:val="24"/>
          <w:rtl/>
        </w:rPr>
        <w:t xml:space="preserve">وثّق التاريخ الموسع أربع مراحل سعريّة خلال أغسطس وحده: فلاش $0.38 مع مخزون معلن 1,206+1,396 رابطًا (01/08)، ثم سلم جملة $0.59/0.54/0.44 حسب الكمية (03/08)، ثم رفع إلى $0.60/0.55/0.45 (07/08)، ثم عودة إلى $0.40/0.38/0.36 عند نهاية الشهر (26/08). كما أظهرت الرسائل مخزونًا معلنًا قدره 4,812 رابط Gemini Pro 18M في 05/08 — رقم مستودع لا رقم وسيط. وأضافت رسائل الصيانة (08/08: إيقاف البوت لساعات «لتحديثات» ثم إعادته) وفاحص الروابط الخاص @GoChecker_Bot (05/08: فحص جماعي بملفات txt وcsv وjson وjsonl لعملائه فقط) بعدًا آخر: منظومة أدوات ذاتية تخدم الجملة. التوقيت الهندي IST يظهر في كل الفلاشات («تنتهي الساعة 1:00 فجرًا بتوقيت IST» في 02/08)، والقناة تبيع فوق الروابط منتجات مجمّعة موازية: ChatGPT Plus عبر Apple Pay بضمان كامل، وNetflix، وNord VPN — أي أنها تعمل أيضًا كمجمّع، لكن جوهرها الروابط.</w:t>
      </w:r>
    </w:p>
    <w:p>
      <w:pPr>
        <w:pStyle w:val="Heading2"/>
        <w:bidi/>
        <w:spacing w:after="120" w:before="240" w:line="312"/>
        <w:jc w:val="start"/>
      </w:pPr>
      <w:bookmarkStart w:id="100023" w:name="_Toc100023"/>
      <w:r>
        <w:rPr>
          <w:rFonts w:ascii="Arial" w:cs="Arial" w:hAnsi="Arial"/>
          <w:b/>
          <w:bCs/>
          <w:color w:val="3A4368"/>
          <w:sz w:val="28"/>
          <w:szCs w:val="28"/>
          <w:rtl/>
        </w:rPr>
        <w:t xml:space="preserve">البوتات الهندية بلا قنوات: طبقة تجزئة صامتة</w:t>
      </w:r>
      <w:bookmarkEnd w:id="100023"/>
    </w:p>
    <w:p>
      <w:pPr>
        <w:bidi/>
        <w:spacing w:after="120" w:line="312"/>
        <w:jc w:val="start"/>
      </w:pPr>
      <w:r>
        <w:rPr>
          <w:rFonts w:ascii="Arial" w:cs="Arial" w:hAnsi="Arial"/>
          <w:color w:val="000000"/>
          <w:sz w:val="24"/>
          <w:szCs w:val="24"/>
          <w:rtl/>
        </w:rPr>
        <w:t xml:space="preserve">فحص البنية الإعلامية للمنظومة الهندية كشف مفارقة تصنيفية: عدا AiVerseX، تعمل كل أسماء الجملة الهندية المعروفة كبوتات تجزئة بلا قنوات عامة مفهرسة — Gemini_Shop_Robot (بوت «Gemini Shop» بدعم @Gemini_support_1 المعروف باسم Chamkadar الهندي)، وAIXpress_Bot (بوت «AIXpress» للفلاشات $0.40–0.60)، وRichard AI (بوت @RichAIStoreBot بشعار «AI Subscriptions for 90% OFF» وسعر $0.65 وادعاء المصدرية المباشرة المتناقض سعريًّا). هذه البوتات تعلن في القناة الصينية الأم (إعلانات مدفوعة موثقة في يوليو)، أي أن طبقتها التسويقية تعتمد على جمهور المزرعة الصينية نفسه. وفي داخل المنظومة الهندية نفسها وثّقت القناة الصينية حالة احتيال داخلية (16/06): إداران هنديان @helprhand/@helprhud و@shinigamimm متواطئان مع محتالَين سابقين (@nmrobert و@hunnybhaiya) أُقيلا وفُضحا — دليل على أن الطبقة الهندية ليست كتلة واحدة متجانسة وأن الثقة داخلها تُدار بالفضح العلني.</w:t>
      </w:r>
    </w:p>
    <w:p>
      <w:pPr>
        <w:pStyle w:val="Heading2"/>
        <w:bidi/>
        <w:spacing w:after="120" w:before="240" w:line="312"/>
        <w:jc w:val="start"/>
      </w:pPr>
      <w:bookmarkStart w:id="100024" w:name="_Toc100024"/>
      <w:r>
        <w:rPr>
          <w:rFonts w:ascii="Arial" w:cs="Arial" w:hAnsi="Arial"/>
          <w:b/>
          <w:bCs/>
          <w:color w:val="3A4368"/>
          <w:sz w:val="28"/>
          <w:szCs w:val="28"/>
          <w:rtl/>
        </w:rPr>
        <w:t xml:space="preserve">Evo_Era: السجلات الآلية تحسم موقعه</w:t>
      </w:r>
      <w:bookmarkEnd w:id="100024"/>
    </w:p>
    <w:p>
      <w:pPr>
        <w:bidi/>
        <w:spacing w:after="120" w:line="312"/>
        <w:jc w:val="start"/>
      </w:pPr>
      <w:r>
        <w:rPr>
          <w:rFonts w:ascii="Arial" w:cs="Arial" w:hAnsi="Arial"/>
          <w:color w:val="000000"/>
          <w:sz w:val="24"/>
          <w:szCs w:val="24"/>
          <w:rtl/>
        </w:rPr>
        <w:t xml:space="preserve">قناة Evo_Era_updates (88 رسالة آلية من يومي 29–30/09 وحدهما) ليست قناة تحريرية بل سجل مبيعات مباشر: كل عملية شراء تُعلن بمعرّف طلب مقنّع وسعر ومشترٍ مقنّع، وكل إعادة تخزين تعلن بالسعر والكمية. السجلات تكشف أسعار تجزئته الفعلية: رابط Gemini AI Pro 18m يباع بـ0.75 USDT للوحدة، وHiggsfield Pro 12m بـ135 USDT، وManus Pro 12m بـ33 USDT، مع نظام إحالات يمنح $0.05 لكل صديق مستقطع. مطابقة هذا مع سلم جملة AiVerseX ($0.36–0.45) تعطي هامش تجزئة مزدوجًا تقريبًا — النمط المحاسبي المميز لمشترٍ جملة يبيع تجزئة لا لجامع يدوي. ويستقر الدليل بفئة المنتجات: عائلة أكواد mr_ التي تشكل 8.7% من كتالوج ستاك فولت تطابق عائلة أكواد الاستبدال المعروضة في قناة AiVerseX (Adobe Express وDuolingo وApple Music وAmazon Prime وSpotify وCursor وElevenLabs وFramer وGamma وGranola)، وبأسعار أدنى عند AiVerseX من تكلفة ستاك فولت عبر Evo_Era في عدة أصناف.</w:t>
      </w: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إعادة بناء الطبقة الهندية: AiVerseX عقدة جملة-إنتاج مركزية بفاحص روابط وذراع جملة شخصي (@GT_VERIFIED المفحوص: حساب شخصي يحوّل الدعم إلى @AIVerseXSupport) — تحته بوتات تجزئة بلا قنوات تعلن في القناة الصينية الأم، وEvo_Era يجاور هذه الشبكة كمشترٍ جملة محتمل يبيع تجزئة عبر سجلات آلية. الفرضية الأقوى المفتوحة: AiVerseX ← Evo_Era أو مصدر مشترك أعلى منهما.</w:t>
      </w:r>
    </w:p>
    <w:p>
      <w:pPr>
        <w:pStyle w:val="Heading1"/>
        <w:bidi/>
        <w:spacing w:after="160" w:before="360" w:line="312"/>
        <w:jc w:val="start"/>
      </w:pPr>
      <w:bookmarkStart w:id="100025" w:name="_Toc100025"/>
      <w:r>
        <w:rPr>
          <w:rFonts w:ascii="Arial" w:cs="Arial" w:hAnsi="Arial"/>
          <w:b/>
          <w:bCs/>
          <w:color w:val="1A1F2E"/>
          <w:sz w:val="32"/>
          <w:szCs w:val="32"/>
          <w:rtl/>
        </w:rPr>
        <w:t xml:space="preserve">6. الفرع الرابع — المصنّعون الفيتناميون: عنقود البوابات والشوز</w:t>
      </w:r>
      <w:bookmarkEnd w:id="100025"/>
    </w:p>
    <w:p>
      <w:pPr>
        <w:bidi/>
        <w:spacing w:after="120" w:line="312"/>
        <w:jc w:val="start"/>
      </w:pPr>
      <w:r>
        <w:rPr>
          <w:rFonts w:ascii="Arial" w:cs="Arial" w:hAnsi="Arial"/>
          <w:color w:val="000000"/>
          <w:sz w:val="24"/>
          <w:szCs w:val="24"/>
          <w:rtl/>
        </w:rPr>
        <w:t xml:space="preserve">اتضحت البنية الفيتنامية في هذا الفحص كعنقود من أربع عقد متكاملة لا عقدتين. العقدة الأولى: teamsoclo (Team Sóc Lọ) مصنع بوابات New API — فُحصت بوابته gpt.teamsoclo.site حيّة (استجابة 200 عبر Cloudflare بواجهة New API، ونقطة /v1/models ترد بخطأ 401 كحساب بوابة سليمة الصلاحيات، وصفحة /check للتحقق من المفاتيح مكتوبة بالفيتنامية «Kiểm tra API Key»)، وموقع الفحص redeem.teamsoclo.site حي (200، واجهة فيتنامية «Đổi mã CDK»)، وقناته (14 رسالة منذ 31/08) تخاطب «الشوز» مباشرة وتطلب منها فحص مخزون الموزعين لنماذج [Astra-6]، مع إعلان نظام Claude مستقل (29/09) ونقل الخوادم إلى فيتنام (19/09). البنية المعلنة نصًّا: تصنيع ثم Resellers ثم الشوز.</w:t>
      </w:r>
    </w:p>
    <w:p>
      <w:pPr>
        <w:pStyle w:val="Heading2"/>
        <w:bidi/>
        <w:spacing w:after="120" w:before="240" w:line="312"/>
        <w:jc w:val="start"/>
      </w:pPr>
      <w:bookmarkStart w:id="100026" w:name="_Toc100026"/>
      <w:r>
        <w:rPr>
          <w:rFonts w:ascii="Arial" w:cs="Arial" w:hAnsi="Arial"/>
          <w:b/>
          <w:bCs/>
          <w:color w:val="3A4368"/>
          <w:sz w:val="28"/>
          <w:szCs w:val="28"/>
          <w:rtl/>
        </w:rPr>
        <w:t xml:space="preserve">بوابتان جديدتان تنضمان للعنقود</w:t>
      </w:r>
      <w:bookmarkEnd w:id="100026"/>
    </w:p>
    <w:p>
      <w:pPr>
        <w:bidi/>
        <w:spacing w:after="120" w:line="312"/>
        <w:jc w:val="start"/>
      </w:pPr>
      <w:r>
        <w:rPr>
          <w:rFonts w:ascii="Arial" w:cs="Arial" w:hAnsi="Arial"/>
          <w:color w:val="000000"/>
          <w:sz w:val="24"/>
          <w:szCs w:val="24"/>
          <w:rtl/>
        </w:rPr>
        <w:t xml:space="preserve">أثبت هذا الفحص بوابتين إضافيتين تشتغلان بنفس الطراز. الأولى: بوابة fork الخاصة — القناة الفيتنامية نفسها تدير بوابة API بمفاتيح sk- (وثّقنا خمسة مفاتيح عيّنة تُوزَّع مجانًا كعروض في 03–05/08، وتشغيلها يتطلب ودائع $10 تظل في المحفظة)، أي أن منظومة بيع CDK تبيع أيضًا وصول API بالتوكنز بنمط New API ذاته. الثانية: بوابة jcc.tokensunlimited.workers.dev — فُحصت حيّة (استجابة 200) بعد أن أهدرها HitMeow في 22/09، وهي مبنية على Cloudflare Workers وتحمل نفس بصمة الواجهة، بينما جذر النطاق tokensunlimited.workers.dev لا يُحل إطلاقًا (عنقود عمال فرعيين لا موقع مركزي). وبذلك يصبح عنقود البوابات الفيتنامي الموثق ثلاث بوابات مستقلة تقريبًا: gpt.teamsoclo.site، وبوابة fork، وjcc — وكلها تبيع وصولًا بالتوكنز لموديلات متعددة تحت مظلة مفتاح واحد، وهو بالضبط منتج «API بـ31 موديلًا» الذي يبيعه HitMeow ($7.68/يوم) ويسمي بوابات New API تقنيًا.</w:t>
      </w:r>
    </w:p>
    <w:p>
      <w:pPr>
        <w:pStyle w:val="Heading2"/>
        <w:bidi/>
        <w:spacing w:after="120" w:before="240" w:line="312"/>
        <w:jc w:val="start"/>
      </w:pPr>
      <w:bookmarkStart w:id="100027" w:name="_Toc100027"/>
      <w:r>
        <w:rPr>
          <w:rFonts w:ascii="Arial" w:cs="Arial" w:hAnsi="Arial"/>
          <w:b/>
          <w:bCs/>
          <w:color w:val="3A4368"/>
          <w:sz w:val="28"/>
          <w:szCs w:val="28"/>
          <w:rtl/>
        </w:rPr>
        <w:t xml:space="preserve">HitMeow وfork: وجهان لنفس البيئة الصناعية</w:t>
      </w:r>
      <w:bookmarkEnd w:id="100027"/>
    </w:p>
    <w:p>
      <w:pPr>
        <w:bidi/>
        <w:spacing w:after="120" w:line="312"/>
        <w:jc w:val="start"/>
      </w:pPr>
      <w:r>
        <w:rPr>
          <w:rFonts w:ascii="Arial" w:cs="Arial" w:hAnsi="Arial"/>
          <w:color w:val="000000"/>
          <w:sz w:val="24"/>
          <w:szCs w:val="24"/>
          <w:rtl/>
        </w:rPr>
        <w:t xml:space="preserve">يكتمل فهم البيئة الفيتنامية بوضع المصنعين الكبيرين جنبًا إلى جنب: HitMeowShop (1,848 مشتركًا) يصنع ChatGPT Plus بطريقة Apple Pay فيتنامية خاصة تطورت إلى «VIP private Method» صمدت أمام أربع موجات حظر، ويبيع K12 بـ$1.49 منذ يوليو (قبل ظهورها عند ProdSeller بأشهر)، ويشتري Gemini من مصدر أجنبي أعلن أنه لم يختبره (26/09)، ويبيع وصول API بـ31 موديلًا؛ وfork تصنع وتجمّع بالتوازي: CDK Pixel وPlus عبر Apple Pay وMoMo وClaude Max x20 وCapCut وبوابة API خاصة. التقاطع بين الكتالوجين (Plus بطرق فيتنامية + API بوابات + منتجات Google) مع اختلاف التخصص (HitMeow: بريميوم وكميات كبيرة؛ fork: أسعار صغيرة واقتصاد اعتمادات) يرسم صورة تجمع صناعي محلي مكتمل الأضلاع تتوزع فيه الأدوار لا تنافسها. وإذا أضفنا أسعار Claude الفيتنامية الموثقة (Claude Max x20 بـ$2.50 عند fork — الأرخص الموثق في السوق كله) مقابل ما تدفعه ستاك فولت لمنتجات Claude عبر ProdSeller ($4.57 لـ100M توكن يومًا وحتى $7.58)، ظهرت فجوة تسعير ثالثة بنفس اتجاه فجوة Plus.</w:t>
      </w:r>
    </w:p>
    <w:p>
      <w:pPr>
        <w:keepNext/>
        <w:bidi/>
        <w:spacing w:after="80" w:before="160" w:line="312"/>
        <w:jc w:val="start"/>
      </w:pPr>
      <w:r>
        <w:rPr>
          <w:rFonts w:ascii="Arial" w:cs="Arial" w:hAnsi="Arial"/>
          <w:b/>
          <w:bCs/>
          <w:color w:val="1A1F2E"/>
          <w:sz w:val="21"/>
          <w:szCs w:val="21"/>
          <w:rtl/>
        </w:rPr>
        <w:t xml:space="preserve">عنقود البوابات الفيتنامي — الفحص الحي 30/09/2026</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tblGrid>
      <w:tr>
        <w:trPr>
          <w:cantSplit/>
          <w:tblHeader/>
        </w:trPr>
        <w:tc>
          <w:tcPr>
            <w:tcW w:type="pct" w:w="34%"/>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البوابة</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الدلالة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gpt.teamsoclo.site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200 حي — واجهة New API + /check فيتنامية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مصنع البوابات المرجعي</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redeem.teamsoclo.site</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200 حي — «Đổi mã CDK»</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فاحص أقراص K12/CDK</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fork (مفاتيح sk-)</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نشطة — عيّنات مجانية موثقة أغسطس</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New API ثانية</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jcc.tokensunlimited.workers.dev</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200 حي — Cloudflare Workers</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ثالثة (أهدرها HitMeow)</w:t>
            </w:r>
          </w:p>
        </w:tc>
      </w:tr>
    </w:tbl>
    <w:p>
      <w:pPr>
        <w:spacing w:after="120"/>
      </w:pP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الخلاصة الفيتنامية: بلد التجميع الصناعي الأكتمل — بوابات API (3 موثقة) + مصنع Plus بريميوم (HitMeow) + منظومة CDK وأدوات استخراج (fork) + بنية توزيع تصنيع/موزع/شوز. لستاك فولت: الطريق المباشر إلى البوابات يقطع طبقة كاملة من هوامش إعادة البيع، وأرضية Claude الفيتنامية ($2.50) مرجع تفاوضي فوري.</w:t>
      </w:r>
    </w:p>
    <w:p>
      <w:pPr>
        <w:pStyle w:val="Heading1"/>
        <w:bidi/>
        <w:spacing w:after="160" w:before="360" w:line="312"/>
        <w:jc w:val="start"/>
      </w:pPr>
      <w:bookmarkStart w:id="100028" w:name="_Toc100028"/>
      <w:r>
        <w:rPr>
          <w:rFonts w:ascii="Arial" w:cs="Arial" w:hAnsi="Arial"/>
          <w:b/>
          <w:bCs/>
          <w:color w:val="1A1F2E"/>
          <w:sz w:val="32"/>
          <w:szCs w:val="32"/>
          <w:rtl/>
        </w:rPr>
        <w:t xml:space="preserve">7. الاكتشافات التسعيرية الحاسمة لستاك فولت</w:t>
      </w:r>
      <w:bookmarkEnd w:id="100028"/>
    </w:p>
    <w:p>
      <w:pPr>
        <w:bidi/>
        <w:spacing w:after="120" w:line="312"/>
        <w:jc w:val="start"/>
      </w:pPr>
      <w:r>
        <w:rPr>
          <w:rFonts w:ascii="Arial" w:cs="Arial" w:hAnsi="Arial"/>
          <w:color w:val="000000"/>
          <w:sz w:val="24"/>
          <w:szCs w:val="24"/>
          <w:rtl/>
        </w:rPr>
        <w:t xml:space="preserve">بعد اكتمال الفحص الرباعي صار ممكنًا ولأول مرة وضع أرقام موثقة جانبًا إلى جانب: ما تدفعه ستاك فولت فعليًّا عبر مورديها الحاليين، مقابل ما تعلنه المصادر الأدنى في السلسلة نفسها. النتيجة صادمة في صنفين ومطمئنة في صنف ثالث. الصدمة الأولى: ChatGPT Plus — تدفع الشركة $10.29–10.77 للوحدة عبر بادئات ps_ بينما المصنّع الفيتنامي يبيعه بـ$2.65–4.60 والمصنّع الإندونيسي بـ$2.90–3.50 بكميات؛ فجوة تتراوح بين ستة وثمانية دولارات للوحدة الواحدة. الصدمة الثانية: عائلة Gemini Pro + 5TB لمدة 12 شهرًا — تدفع الشركة $5.39 لمنتج SLOT بينما القرص الفيتنامي المكافئ (CDK) يباع بـ$1.00–1.50. الاطمئنان: روابط Gemini 18M — تدفع الشركة $0.39 وهي داخل نطاق جملة AiVerseX ($0.36–0.44) تمامًا، أي لا هدر يذكر في هذا الصنف.</w:t>
      </w:r>
    </w:p>
    <w:p>
      <w:pPr>
        <w:keepNext/>
        <w:bidi/>
        <w:spacing w:after="80" w:before="160" w:line="312"/>
        <w:jc w:val="start"/>
      </w:pPr>
      <w:r>
        <w:rPr>
          <w:rFonts w:ascii="Arial" w:cs="Arial" w:hAnsi="Arial"/>
          <w:b/>
          <w:bCs/>
          <w:color w:val="1A1F2E"/>
          <w:sz w:val="21"/>
          <w:szCs w:val="21"/>
          <w:rtl/>
        </w:rPr>
        <w:t xml:space="preserve">مصفوفة الفجوات التسعيرية (كل الأرقام موثقة برسائل مؤرخة أو فحص كتالوج حي)</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gridCol w:w="100"/>
        <w:gridCol w:w="100"/>
      </w:tblGrid>
      <w:tr>
        <w:trPr>
          <w:cantSplit/>
          <w:tblHeader/>
        </w:trPr>
        <w:tc>
          <w:tcPr>
            <w:tcW w:type="pct" w:w="20%"/>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الصنف</w:t>
            </w:r>
          </w:p>
        </w:tc>
        <w:tc>
          <w:tcPr>
            <w:tcW w:type="pct" w:w="20%"/>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تكلفة ستاك فولت الحالية</w:t>
            </w:r>
          </w:p>
        </w:tc>
        <w:tc>
          <w:tcPr>
            <w:tcW w:type="pct" w:w="20%"/>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أرخص مصدر موثق</w:t>
            </w:r>
          </w:p>
        </w:tc>
        <w:tc>
          <w:tcPr>
            <w:tcW w:type="pct" w:w="20%"/>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الفجوة للوحدة</w:t>
            </w:r>
          </w:p>
        </w:tc>
        <w:tc>
          <w:tcPr>
            <w:tcW w:type="pct" w:w="20%"/>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المصدر البديل</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(Apple Pay) شهر</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$10.29–10.77 (ps_)</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$2.65–4.60</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$6–8</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fork / AISUBSID</w:t>
            </w:r>
          </w:p>
        </w:tc>
      </w:tr>
      <w:tr>
        <w:trPr>
          <w:cantSplit/>
        </w:trPr>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+ 5TB 12 شهرًا (Slot/CDK)</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$5.39 (ps_)</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$1.00–1.50</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 $4</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fork (CDK)</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18M (رابط)</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$0.39 (ps_)</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$0.36–0.44</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هامشية</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(جملة)</w:t>
            </w:r>
          </w:p>
        </w:tc>
      </w:tr>
      <w:tr>
        <w:trPr>
          <w:cantSplit/>
        </w:trPr>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Adobe Express 12 شهرًا</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$0.50 (mr_) / $0.35 (ps_)</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$0.40</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$0.10 أو لا شيء</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فلاش</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K12 (2 سنة + Codex)</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$4.62 (ps_)</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$3.40 (K12 فقط)</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متكافئ الصنف</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AISUBSID</w:t>
            </w:r>
          </w:p>
        </w:tc>
      </w:tr>
      <w:tr>
        <w:trPr>
          <w:cantSplit/>
        </w:trPr>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Claude (API/توكنز)</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$4.57–7.58 (ps_)</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$2.50 (Claude Max x20)</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حسب الصنف</w:t>
            </w:r>
          </w:p>
        </w:tc>
        <w:tc>
          <w:tcPr>
            <w:tcW w:type="pct" w:w="20%"/>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fork</w:t>
            </w:r>
          </w:p>
        </w:tc>
      </w:tr>
    </w:tbl>
    <w:p>
      <w:pPr>
        <w:spacing w:after="120"/>
      </w:pPr>
    </w:p>
    <w:p>
      <w:pPr>
        <w:bidi/>
        <w:spacing w:after="120" w:line="312"/>
        <w:jc w:val="start"/>
      </w:pPr>
      <w:r>
        <w:rPr>
          <w:rFonts w:ascii="Arial" w:cs="Arial" w:hAnsi="Arial"/>
          <w:color w:val="000000"/>
          <w:sz w:val="24"/>
          <w:szCs w:val="24"/>
          <w:rtl/>
        </w:rPr>
        <w:t xml:space="preserve">قراءة تشغيلية لهذه المصفوفة تفرض ثلاثة قرارات متدرجة. الأول: صعود Plus يجب أن يكون أولوية فورية — الفجوة فيه تعني أن كل وحدة تباعها الشركة حاليًا تحمل كلفة شراء أعلى بثلاثة أضعاف من أرضية السوق، والمنطق السليم يبدأ بعينة اختبار محدودة من AISUBSID (أرخص جملة موثقة $2.90 بكمية 20+) وfork ($2.65 تاريخيًا لضمان يوم واحد) مع قياس معدل البقاء الفعلي قبل أي التزام حجم. الثاني: عائلة 5TB تحتاج توضيح فرق جوهري قبل التحويل — منتج SLOT عند المورد الحالي قد يكون حسابًا جاهزًا بينما CDK قرص تفعيل، فالاستبدال يحتاج اختبار تفعيل فعلي لا مقارنة سعرية فقط. الثالث: لا تستحق روابط Gemini أي تحرك تعاقدي — التوفير المحتمل سنتات قليلة، والأولوية هناك مراقبة سلم أسعار AiVerseX فقط عند الشراءات الكبيرة (شرط الكمية 500+ يفتح سعر $0.36).</w:t>
      </w: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حدود المصفوفة: أسعار المصادر البديلة موثقة إعلانيًا لا تعاقديًّا؛ الضمانات غير متكافئة (ضمان يوم عند fork مقابل ضمان كامل معلن في بعض أصناف ps_)، وأحجام AISUBSID محدودة (دفعات 100–250). لذا القاعدة: عينة اختبار بكمية صغيرة ثم قياس معدل البقاء 7 أيام ثم التفاوض على جملة — لا قفز تعاقدي مباشر.</w:t>
      </w:r>
    </w:p>
    <w:p>
      <w:pPr>
        <w:pStyle w:val="Heading1"/>
        <w:bidi/>
        <w:spacing w:after="160" w:before="360" w:line="312"/>
        <w:jc w:val="start"/>
      </w:pPr>
      <w:bookmarkStart w:id="100029" w:name="_Toc100029"/>
      <w:r>
        <w:rPr>
          <w:rFonts w:ascii="Arial" w:cs="Arial" w:hAnsi="Arial"/>
          <w:b/>
          <w:bCs/>
          <w:color w:val="1A1F2E"/>
          <w:sz w:val="32"/>
          <w:szCs w:val="32"/>
          <w:rtl/>
        </w:rPr>
        <w:t xml:space="preserve">8. الخريطة الموحدة v3 — بعد التصحيح والتعميق</w:t>
      </w:r>
      <w:bookmarkEnd w:id="100029"/>
    </w:p>
    <w:p>
      <w:pPr>
        <w:bidi/>
        <w:spacing w:after="120" w:line="312"/>
        <w:jc w:val="start"/>
      </w:pPr>
      <w:r>
        <w:rPr>
          <w:rFonts w:ascii="Arial" w:cs="Arial" w:hAnsi="Arial"/>
          <w:color w:val="000000"/>
          <w:sz w:val="24"/>
          <w:szCs w:val="24"/>
          <w:rtl/>
        </w:rPr>
        <w:t xml:space="preserve">أعيد بناء الخريطة كاملة وفق الإصلاحات الأحد عشر، مع فصل صارم بين ثلاث درجات: الروابط الصلبة (دليل نصي مباشر أو مطابقة سعريّة مغلقة)، والروابط المرجحة (استدلال قوي بأدلة متعددة)، والفرضيات المفتوحة (اتجاه محتمل بانتظار اختبار). التوزيع الجغرافي المصحح: الصين للاستخراج الصناعي الأصلي والتقنية، وفيتنام للبوابات وتصنيع Plus ومنظومة CDK والأدوات، والهند لعقدة جملة الروابط وأكواد الاستبدال، وإندونيسيا لمصنع متعدد السكك صغير الحجم، مع سكك دفع عابرة للقارات تعمل كخامات قابلة للتبديل (UPI الهندي وBLIK البولندي وApple Pay وMoMo الفيتناميتان).</w:t>
      </w:r>
    </w:p>
    <w:p>
      <w:pPr>
        <w:keepNext/>
        <w:bidi/>
        <w:spacing w:after="80" w:before="160" w:line="312"/>
        <w:jc w:val="start"/>
      </w:pPr>
      <w:r>
        <w:rPr>
          <w:rFonts w:ascii="Arial" w:cs="Arial" w:hAnsi="Arial"/>
          <w:b/>
          <w:bCs/>
          <w:color w:val="1A1F2E"/>
          <w:sz w:val="21"/>
          <w:szCs w:val="21"/>
          <w:rtl/>
        </w:rPr>
        <w:t xml:space="preserve">هيكل الخريطة v3 — الطبقات والعقد</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tblGrid>
      <w:tr>
        <w:trPr>
          <w:cantSplit/>
          <w:tblHeader/>
        </w:trPr>
        <w:tc>
          <w:tcPr>
            <w:tcW w:type="pct" w:w="34%"/>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الطبقة</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العقد</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الروابط الحاكمة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0 — المصادر</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Google (عرض Pixel 18M + عرض Jio الهندي) · OpenAI (K12 + Plus) · عروض Adobe/Amazon/Apple/Coursera/Spotify</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عرضان منفصلان لجوجل: أجهزة Pixel + حسابات Jio</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 — التصنيع (الصين)</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gemini12pro: مزرعة أجهزة + طوابير 1,500 + Alipay · متجر NikoAI (nikokey.com) · بوت @gemini12pro_bot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التقنية الأصلية؛ تحولت من مجانية إلى احتكار إعلاني 25/06</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1 — التصنيع (فيتنام)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teamsoclo: 3 بوابات New API + فاحص CDK · HitMeow: Plus بـVIP private Method · fork/@leo_dfx: CDK Pixel + أدوات استخراج + بوابة API + اقتصاد اعتمادات</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بنية تصنيع ← Resellers ← شوز موثقة نصًا</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 — الجملة-الإنتاج (الهند)</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Hub: 5–8 آلاف رابط/يوم + فاحص @GoChecker_Bot + ذراع @GT_VERIFIED + Reactivation Key · K12/CDK مزارع متعددة الجنسيات</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عقدة مركزية؛ مصدر روابطها نفسه فرضية مفتوحة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1 — التصنيع (إندونيسيا)</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AISUBSID: Plus عبر UPI/BLIK/ApplePay/GPlay + إنشاء K12 ذاتي + دفعات 100–250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يبلغ عن رقع الطرق قبل حدوثها</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 — الجملة/التجميع</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 (ps_ 91%: هامش شبه صفري على Gemini، ضخم على Plus) · Evo_Era (mr_ 8.7%: سجلات آلية، تجزئة Gemini بـ$0.75) · Acczone (متجر + فاحص + سجلات)</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Evo_Era يشتري على الأرجح من نطاق AiVerseX</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3 — التجزئة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 (345 منتجًا) · HitMeow بريميوم · AiVerseX تجزئة+جملة · Neva AI · AWZ · Gamisell · p_a_store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ستاك فولت يدفع فجوات موثقة في Plus و5TB</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تمكين — الأدوات</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بائع أدوات الاستخراج (@leo_dfx: أداة Jio) · 4 فاحصات روابط (GoChecker وteamsoclo وacczone وfork) · أدوات بصمات/IP وBookmarklet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حاجز دخول السوق انخفض إلى سعر أداة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تمكين — الثقة والطرق</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Verifier Group (25,948) Escrow · بائعو طرق (learnwith_Alex) · مزودو OTP (smspool وviotp و2fa.live)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طبقة تضمن الصفقات العابرة للحدود</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تمكين — سكك الدفع</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إنتاج: UPI (IN) · BLIK (PL) · Apple Pay وMoMo (VN) · GPlay / استهلاك: Alipay · GoPay/QRIS · USDT-BEP20 (Solana مرفوض)</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السكك قابلة للتبديل عند الرقع — محرك دورات المعروض</w:t>
            </w:r>
          </w:p>
        </w:tc>
      </w:tr>
    </w:tbl>
    <w:p>
      <w:pPr>
        <w:spacing w:after="120"/>
      </w:pP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الفرضيات المفتوحة الثلاث الكبرى بعد هذا الفحص: (1) من يورّد AiVerseX بالروابط — مزارع خاصة أم عقود مع المزارع الصينية/الفيتنامية أم استخراج Jio ذاتي؛ (2) العلاقة التعاقدية المباشرة بين AiVerseX وكل من ProdSeller وEvo_Era — الدليل السعري يرجح الشراء من النطاق ذاته لكن لا وثيقة تثبت الأطراف؛ (3) فرق الجوهر بين منتج SLOT وCDK في عائلة 5TB — يحسمه اختبار تفعيل فعلي.</w:t>
      </w:r>
    </w:p>
    <w:p>
      <w:pPr>
        <w:pStyle w:val="Heading1"/>
        <w:bidi/>
        <w:spacing w:after="160" w:before="360" w:line="312"/>
        <w:jc w:val="start"/>
      </w:pPr>
      <w:bookmarkStart w:id="100030" w:name="_Toc100030"/>
      <w:r>
        <w:rPr>
          <w:rFonts w:ascii="Arial" w:cs="Arial" w:hAnsi="Arial"/>
          <w:b/>
          <w:bCs/>
          <w:color w:val="1A1F2E"/>
          <w:sz w:val="32"/>
          <w:szCs w:val="32"/>
          <w:rtl/>
        </w:rPr>
        <w:t xml:space="preserve">9. روابط جميع الكيانات الموثوقين — فحص حي 30/09/2026</w:t>
      </w:r>
      <w:bookmarkEnd w:id="100030"/>
    </w:p>
    <w:p>
      <w:pPr>
        <w:bidi/>
        <w:spacing w:after="120" w:line="312"/>
        <w:jc w:val="start"/>
      </w:pPr>
      <w:r>
        <w:rPr>
          <w:rFonts w:ascii="Arial" w:cs="Arial" w:hAnsi="Arial"/>
          <w:color w:val="000000"/>
          <w:sz w:val="24"/>
          <w:szCs w:val="24"/>
          <w:rtl/>
        </w:rPr>
        <w:t xml:space="preserve">فيما يلي السجل الكامل لكل كيان مفحوص في منظومة سلسلة التوريد، مرتبًا بالطبقات، مع حالة الفحص الحي. جميع الروابط أدناه أعطت استجابة 200 بتاريخ الفحص، والملاحظات تشير إلى الدور والهوية الموثقة. هذا السجل هو المرجع التشغيلي المباشر لأي تواصل تفاوضي أو فحص لاحق.</w:t>
      </w:r>
    </w:p>
    <w:p>
      <w:pPr>
        <w:keepNext/>
        <w:bidi/>
        <w:spacing w:after="80" w:before="160" w:line="312"/>
        <w:jc w:val="start"/>
      </w:pPr>
      <w:r>
        <w:rPr>
          <w:rFonts w:ascii="Arial" w:cs="Arial" w:hAnsi="Arial"/>
          <w:b/>
          <w:bCs/>
          <w:color w:val="1A1F2E"/>
          <w:sz w:val="21"/>
          <w:szCs w:val="21"/>
          <w:rtl/>
        </w:rPr>
        <w:t xml:space="preserve">الطبقة 1 — التصنيع (الصين وفيتنام)</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tblGrid>
      <w:tr>
        <w:trPr>
          <w:cantSplit/>
          <w:tblHeader/>
        </w:trPr>
        <w:tc>
          <w:tcPr>
            <w:tcW w:type="pct" w:w="34%"/>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الكيان</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الحالة/الدور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gemini12pro</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https://t.me/gemini12pro_channel</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142,797 مشتركًا</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مجموعة gemini12pro</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https://t.me/gemini12pro</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131,924 عضوًا</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الاستخراج</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https://t.me/gemini12pro_bot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Gemini Pixel Helper</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NikoAI</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https://nikokey.com</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واجهة NikoAI</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fork</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https://t.me/fork_bot_channel</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Discount Channel</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المتجر</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https://t.me/ver_pixel_bot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Gemini-ChatGPT Bot</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المالك (فيتنامي)</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https://t.me/leo_dfx</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La Ha</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HitMeow</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https://t.me/HitMeowShop</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1,848 مشتركًا</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بوتات HitMeow</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https://t.me/PremiKeyBot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وقرين @Premikey_bot</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دعم HitMeow</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https://t.me/HitmeowSupport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teamsoclo</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https://t.me/teamsoclo</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Team Sóc Lọ</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API</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https://gpt.teamsoclo.site</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New API + /check</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فاحص CDK</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https://redeem.teamsoclo.site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واجهة فيتنامية</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بوابة jcc</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https://jcc.tokensunlimited.workers.dev</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Cloudflare Workers</w:t>
            </w:r>
          </w:p>
        </w:tc>
      </w:tr>
    </w:tbl>
    <w:p>
      <w:pPr>
        <w:spacing w:after="120"/>
      </w:pPr>
    </w:p>
    <w:p>
      <w:pPr>
        <w:keepNext/>
        <w:bidi/>
        <w:spacing w:after="80" w:before="160" w:line="312"/>
        <w:jc w:val="start"/>
      </w:pPr>
      <w:r>
        <w:rPr>
          <w:rFonts w:ascii="Arial" w:cs="Arial" w:hAnsi="Arial"/>
          <w:b/>
          <w:bCs/>
          <w:color w:val="1A1F2E"/>
          <w:sz w:val="21"/>
          <w:szCs w:val="21"/>
          <w:rtl/>
        </w:rPr>
        <w:t xml:space="preserve">الطبقة 1 — الجملة-الإنتاج الهندية + التصنيع الإندونيسي</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tblGrid>
      <w:tr>
        <w:trPr>
          <w:cantSplit/>
          <w:tblHeader/>
        </w:trPr>
        <w:tc>
          <w:tcPr>
            <w:tcW w:type="pct" w:w="34%"/>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الكيان</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الحالة/الدور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AiVerseX</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https://t.me/AiVerseXHub</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22,942 مشتركًا</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الشراء</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https://t.me/AiVerseXBot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الدعم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https://t.me/AIVerseXSupport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AI Verse Support</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ذراع الجملة</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https://t.me/Gt_Verified</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مندوب شخصي</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فاحص الروابط</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https://t.me/GoChecker_Bot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فحص جماعي للعملاء</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الموقع</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https://aiversehub.store</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nginx</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Gemini Shop</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https://t.me/Gemini_Shop_Robot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دعم @Gemini_support_1</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AIXpress</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https://t.me/AIXpress_Bot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فلاشات</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Richard AI</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https://t.me/RichAIStoreBot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Rich AI Store</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AISUBSID</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https://t.me/AISUBSID</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304 مشتركين</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AISUBSID</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https://t.me/Aisubsglobalbot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AISUBS GLOBAL</w:t>
            </w:r>
          </w:p>
        </w:tc>
      </w:tr>
    </w:tbl>
    <w:p>
      <w:pPr>
        <w:spacing w:after="120"/>
      </w:pPr>
    </w:p>
    <w:p>
      <w:pPr>
        <w:keepNext/>
        <w:bidi/>
        <w:spacing w:after="80" w:before="160" w:line="312"/>
        <w:jc w:val="start"/>
      </w:pPr>
      <w:r>
        <w:rPr>
          <w:rFonts w:ascii="Arial" w:cs="Arial" w:hAnsi="Arial"/>
          <w:b/>
          <w:bCs/>
          <w:color w:val="1A1F2E"/>
          <w:sz w:val="21"/>
          <w:szCs w:val="21"/>
          <w:rtl/>
        </w:rPr>
        <w:t xml:space="preserve">الطبقة 2 — الجملة والتجميع</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tblGrid>
      <w:tr>
        <w:trPr>
          <w:cantSplit/>
          <w:tblHeader/>
        </w:trPr>
        <w:tc>
          <w:tcPr>
            <w:tcW w:type="pct" w:w="34%"/>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الكيان</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الحالة/الدور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ProdSeller</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https://t.me/ProdSellerOfficial</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4,676 مشتركًا</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ProdSeller</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https://t.me/ProdSellerBot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سجلات Evo_Era</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https://t.me/Evo_Era_updates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2,319 مشتركًا</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Evolution Era</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https://t.me/Evolution_Era_bot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مالك Evo_Era</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https://t.me/adham_H11</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Adham H</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سجلات Acczone</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https://t.me/acczone_logs</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8,316 عضوًا</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Acczone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https://t.me/Acczone_Store_bot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فاحص Acczone</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https://t.me/acczone_gemini_link_bot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دعم Acczone</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https://t.me/Mike_E_0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bl>
    <w:p>
      <w:pPr>
        <w:spacing w:after="120"/>
      </w:pPr>
    </w:p>
    <w:p>
      <w:pPr>
        <w:keepNext/>
        <w:bidi/>
        <w:spacing w:after="80" w:before="160" w:line="312"/>
        <w:jc w:val="start"/>
      </w:pPr>
      <w:r>
        <w:rPr>
          <w:rFonts w:ascii="Arial" w:cs="Arial" w:hAnsi="Arial"/>
          <w:b/>
          <w:bCs/>
          <w:color w:val="1A1F2E"/>
          <w:sz w:val="21"/>
          <w:szCs w:val="21"/>
          <w:rtl/>
        </w:rPr>
        <w:t xml:space="preserve">الطبقة 3 — التجزئة وطبقة التمكين</w:t>
      </w:r>
    </w:p>
    <w:tbl>
      <w:tblPr>
        <w:bidiVisual/>
        <w:tblW w:type="pct" w:w="100%"/>
        <w:tblBorders>
          <w:top w:val="single" w:color="2B3350" w:sz="4"/>
          <w:left w:val="none"/>
          <w:bottom w:val="single" w:color="2B3350" w:sz="4"/>
          <w:right w:val="none"/>
          <w:insideH w:val="single" w:color="D5DAE4" w:sz="2"/>
          <w:insideV w:val="single" w:color="D5DAE4" w:sz="2"/>
        </w:tblBorders>
      </w:tblPr>
      <w:tblGrid>
        <w:gridCol w:w="100"/>
        <w:gridCol w:w="100"/>
        <w:gridCol w:w="100"/>
      </w:tblGrid>
      <w:tr>
        <w:trPr>
          <w:cantSplit/>
          <w:tblHeader/>
        </w:trPr>
        <w:tc>
          <w:tcPr>
            <w:tcW w:type="pct" w:w="34%"/>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الكيان</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33%"/>
            <w:shd w:fill="2B3350"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الحالة/الدور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StackVault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https://stackvault.shop</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Netlify</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StackVault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https://t.me/stackvault_bot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دعم StackVault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https://t.me/stackvault_support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Neva AI</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https://t.me/nevakeystore_bot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Binance Pay وUSDT</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Neva</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https://t.me/NevaAI_Shop</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مجموعة AWZ</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https://t.me/+AWZ-Jl8sydhiMzYy</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3,650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Gamisell</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https://t.me/Gamisellbot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p_a_store</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https://t.me/p_a_store_bot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storeBatman</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https://t.me/storeBatmanBot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Verifier Group</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https://t.me/verifierg</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25,948 عضوًا (Escrow)</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Verifier</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https://t.me/Veriyferbot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دعم Verifier</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https://t.me/VeirfyerSupportbot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الطرق</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https://t.me/learnwith_Alex</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 — 3,019 مشتركًا</w:t>
            </w:r>
          </w:p>
        </w:tc>
      </w:tr>
      <w:tr>
        <w:trPr>
          <w:cantSplit/>
        </w:trPr>
        <w:tc>
          <w:tcPr>
            <w:tcW w:type="pct" w:w="34%"/>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Bite Store</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https://t.me/Bite_storee_bot</w:t>
            </w:r>
          </w:p>
        </w:tc>
        <w:tc>
          <w:tcPr>
            <w:tcW w:type="pct" w:w="33%"/>
            <w:shd w:fill="F0F2F7"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200</w:t>
            </w:r>
          </w:p>
        </w:tc>
      </w:tr>
    </w:tbl>
    <w:p>
      <w:pPr>
        <w:spacing w:after="120"/>
      </w:pPr>
    </w:p>
    <w:p>
      <w:pPr>
        <w:bidi/>
        <w:spacing w:after="120" w:line="312"/>
        <w:jc w:val="start"/>
      </w:pPr>
      <w:r>
        <w:rPr>
          <w:rFonts w:ascii="Arial" w:cs="Arial" w:hAnsi="Arial"/>
          <w:color w:val="000000"/>
          <w:sz w:val="24"/>
          <w:szCs w:val="24"/>
          <w:rtl/>
        </w:rPr>
        <w:t xml:space="preserve">ولأغراض إدارة المخاطر يثبَّت أيضًا سجل الكيانات المفصولة والمحتالين المفضوحين، لأن الاسم المشابه غير الكيان نفسه: حساب @fork_bot (اسم Fork مع علم أوروبي ويحيل إلى @powderdevs) كيان أوروبي لا صلة له بقناة fork_bot_channel الفيتنامية — دمجهما خطأ تجميعي. والمحتالون المفضوحون داخل المنظومة (بتوثيق القناة الصينية الأم في 16/06): @helprhand و@helprhud و@shinigamimm المتواطئون مع @nmrobert و@hunnybhaiya — أي تواصل منهم باسم أي جهة توريد يُرفض فورًا. كما يلاحظ أن حسابات @stlzect و@lksamon معلنان صغيران على هامش القناة الصينية (ترقية Plus بخصم 20% وحسابات Gemini Ultra x20) لم يوثق عمقهما بعد — يصنفان كمراقبة لا كموثوقين تعاقديين.</w:t>
      </w:r>
    </w:p>
    <w:p>
      <w:pPr>
        <w:pBdr>
          <w:top w:val="single" w:color="D5DAE4" w:sz="2" w:space="4"/>
          <w:bottom w:val="single" w:color="D5DAE4" w:sz="2" w:space="4"/>
          <w:left w:val="single" w:color="D5DAE4" w:sz="2" w:space="4"/>
          <w:right w:val="single" w:color="E8A33D" w:sz="12" w:space="8"/>
        </w:pBdr>
        <w:shd w:fill="F0F2F7" w:val="clear"/>
        <w:bidi/>
        <w:spacing w:after="160" w:before="120" w:line="312"/>
        <w:jc w:val="start"/>
      </w:pPr>
      <w:r>
        <w:rPr>
          <w:rFonts w:ascii="Arial" w:cs="Arial" w:hAnsi="Arial"/>
          <w:b/>
          <w:bCs/>
          <w:color w:val="3A4368"/>
          <w:sz w:val="22"/>
          <w:szCs w:val="22"/>
          <w:rtl/>
        </w:rPr>
        <w:t xml:space="preserve">خلاصة حاكمة: </w:t>
      </w:r>
      <w:r>
        <w:rPr>
          <w:rFonts w:ascii="Arial" w:cs="Arial" w:hAnsi="Arial"/>
          <w:color w:val="000000"/>
          <w:sz w:val="22"/>
          <w:szCs w:val="22"/>
          <w:rtl/>
        </w:rPr>
        <w:t xml:space="preserve">قاعدة استخدام السجل: كل رابط هنا فُحص سلبيًّا فقط (صفحة عامة). أي خطوة تفاوض تتم عبر قنوات الدعم المذكورة مع تفعيل Escrow عبر Verifier Group للصفقات الأولى، وعينة اختبار محدودة قبل أي التزام حجم — خاصة مع الكيانات الصغيرة الحجم (AISUBSID) أو قصيرة الضمان (fork).</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4" w:sz="2" w:space="4"/>
      </w:pBdr>
      <w:bidi/>
      <w:jc w:val="start"/>
    </w:pPr>
    <w:r>
      <w:rPr>
        <w:rFonts w:ascii="Arial" w:cs="Arial" w:hAnsi="Arial"/>
        <w:color w:val="808080"/>
        <w:sz w:val="18"/>
        <w:szCs w:val="18"/>
        <w:rtl/>
      </w:rPr>
      <w:t xml:space="preserve">خريطة سلسلة التوريد الموسعة v3 — التفكيك النقدي والتعميق الرباعي | فحص حي 30/09/2026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A1F2E"/>
      <w:sz w:val="32"/>
      <w:szCs w:val="32"/>
    </w:rPr>
  </w:style>
  <w:style w:type="paragraph" w:styleId="Heading2">
    <w:name w:val="Heading 2"/>
    <w:basedOn w:val="Normal"/>
    <w:next w:val="Normal"/>
    <w:qFormat/>
    <w:pPr>
      <w:spacing w:after="120" w:before="240" w:line="312"/>
      <w:outlineLvl w:val="1"/>
    </w:pPr>
    <w:rPr>
      <w:rFonts w:ascii="Arial" w:cs="Arial" w:hAnsi="Arial"/>
      <w:b/>
      <w:bCs/>
      <w:color w:val="3A436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2026-09-30T09:51:57.127Z</dcterms:created>
  <dcterms:modified xsi:type="dcterms:W3CDTF">2026-09-30T09:51:57.127Z</dcterms:modified>
</cp:coreProperties>
</file>

<file path=docProps/custom.xml><?xml version="1.0" encoding="utf-8"?>
<Properties xmlns="http://schemas.openxmlformats.org/officeDocument/2006/custom-properties" xmlns:vt="http://schemas.openxmlformats.org/officeDocument/2006/docPropsVTypes"/>
</file>