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4092"/>
            </w:pPr>
          </w:p>
          <w:p>
            <w:pPr>
              <w:pBdr>
                <w:bottom w:val="single" w:color="C9A84C" w:sz="6" w:space="8"/>
              </w:pBdr>
              <w:bidi/>
              <w:spacing w:after="500" w:line="276"/>
              <w:ind w:left="800" w:right="1200"/>
              <w:jc w:val="start"/>
            </w:pPr>
            <w:r>
              <w:rPr>
                <w:rFonts w:ascii="Arial" w:cs="Arial" w:hAnsi="Arial"/>
                <w:color w:val="C9A84C"/>
                <w:spacing w:val="40"/>
                <w:sz w:val="18"/>
                <w:szCs w:val="18"/>
              </w:rPr>
              <w:t xml:space="preserve">N  E  G  O  T  I  A  T  I  O  N     O  P  E  N  I  N  G     C  A  M  P  A  I  G  N     P  L  A  Y  B  O  O  K</w:t>
            </w:r>
          </w:p>
          <w:p>
            <w:pPr>
              <w:bidi/>
              <w:spacing w:after="100" w:line="920" w:lineRule="atLeast"/>
              <w:ind w:right="1200"/>
              <w:jc w:val="start"/>
            </w:pPr>
            <w:r>
              <w:rPr>
                <w:rFonts w:ascii="Arial" w:cs="Arial" w:hAnsi="Arial"/>
                <w:b/>
                <w:bCs/>
                <w:color w:val="FFFFFF"/>
                <w:sz w:val="80"/>
                <w:szCs w:val="80"/>
                <w:rtl/>
              </w:rPr>
              <w:t xml:space="preserve">دليل حملة التفاوض</w:t>
            </w:r>
          </w:p>
          <w:p>
            <w:pPr>
              <w:bidi/>
              <w:spacing w:after="300" w:line="920" w:lineRule="atLeast"/>
              <w:ind w:right="1200"/>
              <w:jc w:val="start"/>
            </w:pPr>
            <w:r>
              <w:rPr>
                <w:rFonts w:ascii="Arial" w:cs="Arial" w:hAnsi="Arial"/>
                <w:b/>
                <w:bCs/>
                <w:color w:val="FFFFFF"/>
                <w:sz w:val="80"/>
                <w:szCs w:val="80"/>
                <w:rtl/>
              </w:rPr>
              <w:t xml:space="preserve">الافتتاحية</w:t>
            </w:r>
          </w:p>
          <w:p>
            <w:pPr>
              <w:bidi/>
              <w:spacing w:after="800" w:line="340" w:lineRule="atLeast"/>
              <w:ind w:right="1200"/>
              <w:jc w:val="start"/>
            </w:pPr>
            <w:r>
              <w:rPr>
                <w:rFonts w:ascii="Arial" w:cs="Arial" w:hAnsi="Arial"/>
                <w:color w:val="B0B8C0"/>
                <w:sz w:val="24"/>
                <w:szCs w:val="24"/>
                <w:rtl/>
              </w:rPr>
              <w:t xml:space="preserve">من الاستخبارات الموثقة إلى شبكة توريد فعلية — ثمانية أطراف · أربع موجات · ثلاثون سيناريو مدروسًا</w:t>
            </w:r>
          </w:p>
          <w:p>
            <w:pPr>
              <w:pBdr>
                <w:right w:val="single" w:color="C9A84C" w:sz="8" w:space="12"/>
              </w:pBdr>
              <w:bidi/>
              <w:spacing w:after="80" w:line="312"/>
              <w:ind w:right="1400"/>
              <w:jc w:val="start"/>
            </w:pPr>
            <w:r>
              <w:rPr>
                <w:rFonts w:ascii="Arial" w:cs="Arial" w:hAnsi="Arial"/>
                <w:color w:val="90989F"/>
                <w:sz w:val="24"/>
                <w:szCs w:val="24"/>
                <w:rtl/>
              </w:rPr>
              <w:t xml:space="preserve">الأساس: المرجع الحاكم PMRF v1.4 (مقبول) — كتالوج موحد 1,112 سجل</w:t>
            </w:r>
          </w:p>
          <w:p>
            <w:pPr>
              <w:pBdr>
                <w:right w:val="single" w:color="C9A84C" w:sz="8" w:space="12"/>
              </w:pBdr>
              <w:bidi/>
              <w:spacing w:after="80" w:line="312"/>
              <w:ind w:right="1400"/>
              <w:jc w:val="start"/>
            </w:pPr>
            <w:r>
              <w:rPr>
                <w:rFonts w:ascii="Arial" w:cs="Arial" w:hAnsi="Arial"/>
                <w:color w:val="90989F"/>
                <w:sz w:val="24"/>
                <w:szCs w:val="24"/>
                <w:rtl/>
              </w:rPr>
              <w:t xml:space="preserve">النطاق: 8 أطراف تفاوض فعليين عبر 4 طبقات توريد بعد إزالة التكرار</w:t>
            </w:r>
          </w:p>
          <w:p>
            <w:pPr>
              <w:pBdr>
                <w:right w:val="single" w:color="C9A84C" w:sz="8" w:space="12"/>
              </w:pBdr>
              <w:bidi/>
              <w:spacing w:after="80" w:line="312"/>
              <w:ind w:right="1400"/>
              <w:jc w:val="start"/>
            </w:pPr>
            <w:r>
              <w:rPr>
                <w:rFonts w:ascii="Arial" w:cs="Arial" w:hAnsi="Arial"/>
                <w:color w:val="90989F"/>
                <w:sz w:val="24"/>
                <w:szCs w:val="24"/>
                <w:rtl/>
              </w:rPr>
              <w:t xml:space="preserve">الالتزام المالي: سلّم متدرج خلف بوابات قرار — سقف 300 دولار</w:t>
            </w:r>
          </w:p>
          <w:p>
            <w:pPr>
              <w:pBdr>
                <w:right w:val="single" w:color="C9A84C" w:sz="8" w:space="12"/>
              </w:pBdr>
              <w:bidi/>
              <w:spacing w:after="80" w:line="312"/>
              <w:ind w:right="1400"/>
              <w:jc w:val="start"/>
            </w:pPr>
            <w:r>
              <w:rPr>
                <w:rFonts w:ascii="Arial" w:cs="Arial" w:hAnsi="Arial"/>
                <w:color w:val="90989F"/>
                <w:sz w:val="24"/>
                <w:szCs w:val="24"/>
                <w:rtl/>
              </w:rPr>
              <w:t xml:space="preserve">التصنيف: وثيقة تشغيلية داخلية للاستخدام المباشر</w:t>
            </w:r>
          </w:p>
          <w:p>
            <w:pPr>
              <w:spacing w:before="4092"/>
            </w:pPr>
          </w:p>
          <w:p>
            <w:pPr>
              <w:pBdr>
                <w:top w:val="single" w:color="C9A84C" w:sz="2" w:space="8"/>
              </w:pBdr>
              <w:bidi/>
              <w:spacing w:before="200" w:line="276"/>
              <w:ind w:left="800" w:right="1200"/>
              <w:jc w:val="start"/>
            </w:pPr>
            <w:r>
              <w:rPr>
                <w:rFonts w:ascii="Arial" w:cs="Arial" w:hAnsi="Arial"/>
                <w:color w:val="687078"/>
                <w:sz w:val="16"/>
                <w:szCs w:val="16"/>
                <w:rtl/>
              </w:rPr>
              <w:t xml:space="preserve">2026-10-02</w:t>
            </w:r>
            <w:r>
              <w:rPr>
                <w:rFonts w:ascii="Arial" w:cs="Arial" w:hAnsi="Arial"/>
              </w:rPr>
              <w:t xml:space="preserve">                                        </w:t>
            </w:r>
            <w:r>
              <w:rPr>
                <w:rFonts w:ascii="Arial" w:cs="Arial" w:hAnsi="Arial"/>
                <w:color w:val="687078"/>
                <w:sz w:val="16"/>
                <w:szCs w:val="16"/>
              </w:rPr>
              <w:t xml:space="preserve">Evidence-Based Negotiation Operations</w:t>
            </w:r>
          </w:p>
        </w:tc>
      </w:tr>
    </w:tbl>
    <w:p>
      <w:pPr>
        <w:sectPr>
          <w:pgSz w:w="11906" w:h="16838" w:orient="portrait"/>
          <w:pgMar w:top="0" w:right="0" w:bottom="0" w:left="0" w:header="708" w:footer="708" w:gutter="0"/>
          <w:docGrid w:linePitch="360"/>
        </w:sectPr>
      </w:pPr>
    </w:p>
    <w:p>
      <w:pPr>
        <w:spacing w:after="360" w:before="480"/>
        <w:jc w:val="center"/>
      </w:pPr>
      <w:r>
        <w:rPr>
          <w:rFonts w:ascii="Arial" w:cs="Arial" w:hAnsi="Arial"/>
          <w:b/>
          <w:bCs/>
          <w:color w:val="1A1A1A"/>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الغرض والقراءة الحاكمة</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تفكيك الطلب الأصلي وإعادة صياغته التوجيهية</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الفجوة الأولى: «الجميع» ليسوا أطرافًا مستقلة</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الفجوة الثانية: الفتح المتزامن يهدم ورقتك التفاوضية الوحيدة</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الفجوة الثالثة: لا هدف تفاوضي محدد لكل طرف</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الفجوة الرابعة: غياب سلّم الميزانية والبوابات</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الفجوة الخامسة: بعض «الجميع» لا يستحق فتح قناة أصلًا</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الفجوة السادسة: سيناريوهات بلا أرضية سلوكية تظل تخمينًا</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التوجيه المعاد صياغته</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3. خريطة أطراف التفاوض بعد إزالة التكرار</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الأهداف التفاوضية وعتبات الانسحاب</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5. الهوية والأمن العملياتي</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الخطوط الحمراء المطلقة — ما لا يُذكر أبدًا</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سياسة اللغة وسياسة الأرقام</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6. الطرق الخمس — تصاعد الكلفة والالتزام</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7. خطة الموجات والبوابات</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8. السيناريوهات المتوقعة والمدروسة</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سيناريوهات سوكبيت / منصة ProdSeller — الطرف الأهم (W2)</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سيناريوهات canboso / HitMeow (W1)</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سيناريوهات بوابة المنبع teamsoclo (W3)</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سيناريوهات DigitalCore وRichAIStore وAIVerseX وAISUBSID</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السيناريوهات العرضية العامة — تنطبق على أي طرف</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9. أوراق الضغط السعرية الموثقة</w:t>
            </w:r>
            <w:r>
              <w:tab/>
            </w:r>
            <w:r>
              <w:fldChar w:fldCharType="begin"/>
            </w:r>
            <w:r>
              <w:instrText xml:space="preserve"> PAGEREF _Toc100022 \h </w:instrText>
            </w:r>
            <w:r>
              <w:fldChar w:fldCharType="separate"/>
            </w:r>
            <w:r>
              <w:t>9</w:t>
            </w:r>
            <w:r>
              <w:fldChar w:fldCharType="end"/>
            </w:r>
          </w:hyperlink>
        </w:p>
        <w:p>
          <w:pPr>
            <w:pStyle w:val="9"/>
            <w:tabs>
              <w:tab w:val="right" w:leader="dot" w:pos="9026"/>
            </w:tabs>
            <w:spacing w:before="120" w:after="60"/>
          </w:pPr>
          <w:hyperlink w:anchor="_Toc100023" w:history="1">
            <w:r>
              <w:rPr>
                <w:rStyle w:val="Hyperlink"/>
              </w:rPr>
              <w:t>10. النصوص الافتتاحية الجاهزة</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11. سلّم الميزانية وبوابات التحقق بالمعاملة</w:t>
            </w:r>
            <w:r>
              <w:tab/>
            </w:r>
            <w:r>
              <w:fldChar w:fldCharType="begin"/>
            </w:r>
            <w:r>
              <w:instrText xml:space="preserve"> PAGEREF _Toc100024 \h </w:instrText>
            </w:r>
            <w:r>
              <w:fldChar w:fldCharType="separate"/>
            </w:r>
            <w:r>
              <w:t>13</w:t>
            </w:r>
            <w:r>
              <w:fldChar w:fldCharType="end"/>
            </w:r>
          </w:hyperlink>
        </w:p>
        <w:p>
          <w:pPr>
            <w:pStyle w:val="9"/>
            <w:tabs>
              <w:tab w:val="right" w:leader="dot" w:pos="9026"/>
            </w:tabs>
            <w:spacing w:before="120" w:after="60"/>
          </w:pPr>
          <w:hyperlink w:anchor="_Toc100025" w:history="1">
            <w:r>
              <w:rPr>
                <w:rStyle w:val="Hyperlink"/>
              </w:rPr>
              <w:t>12. سجل الحملة ومؤشرات النجاح ومعايير الإيقاف</w:t>
            </w:r>
            <w:r>
              <w:tab/>
            </w:r>
            <w:r>
              <w:fldChar w:fldCharType="begin"/>
            </w:r>
            <w:r>
              <w:instrText xml:space="preserve"> PAGEREF _Toc100025 \h </w:instrText>
            </w:r>
            <w:r>
              <w:fldChar w:fldCharType="separate"/>
            </w:r>
            <w:r>
              <w:t>13</w:t>
            </w:r>
            <w:r>
              <w:fldChar w:fldCharType="end"/>
            </w:r>
          </w:hyperlink>
        </w:p>
        <w:p>
          <w:pPr>
            <w:pStyle w:val="9"/>
            <w:tabs>
              <w:tab w:val="right" w:leader="dot" w:pos="9026"/>
            </w:tabs>
            <w:spacing w:before="120" w:after="60"/>
          </w:pPr>
          <w:hyperlink w:anchor="_Toc100026" w:history="1">
            <w:r>
              <w:rPr>
                <w:rStyle w:val="Hyperlink"/>
              </w:rPr>
              <w:t>13. ملحق المصادر — خريطة كل رقم في هذا الدليل</w:t>
            </w:r>
            <w:r>
              <w:tab/>
            </w:r>
            <w:r>
              <w:fldChar w:fldCharType="begin"/>
            </w:r>
            <w:r>
              <w:instrText xml:space="preserve"> PAGEREF _Toc100026 \h </w:instrText>
            </w:r>
            <w:r>
              <w:fldChar w:fldCharType="separate"/>
            </w:r>
            <w:r>
              <w:t>14</w:t>
            </w:r>
            <w:r>
              <w:fldChar w:fldCharType="end"/>
            </w:r>
          </w:hyperlink>
        </w:p>
        <w:p>
          <w:r>
            <w:fldChar w:fldCharType="end"/>
          </w:r>
        </w:p>
      </w:sdtContent>
    </w:sdt>
    <w:p>
      <w:pPr>
        <w:bidi/>
        <w:spacing w:before="200"/>
      </w:pPr>
      <w:r>
        <w:rPr>
          <w:rFonts w:ascii="Arial" w:cs="Arial" w:hAnsi="Arial"/>
          <w:i/>
          <w:iCs/>
          <w:color w:val="888888"/>
          <w:sz w:val="18"/>
          <w:szCs w:val="18"/>
          <w:rtl/>
        </w:rPr>
        <w:t xml:space="preserve">ملاحظة: هذا الفهرس مولّد بحقول التحديث؛ لضمان دقة أرقام الصفحات بعد أي تعديل، انقر بزر الفأرة الأيمن على الفهرس ثم اختر «تحديث الحقل».</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70" w:before="380" w:line="312"/>
        <w:jc w:val="start"/>
      </w:pPr>
      <w:bookmarkStart w:id="100000" w:name="_Toc100000"/>
      <w:r>
        <w:rPr>
          <w:rFonts w:ascii="Arial" w:cs="Arial" w:hAnsi="Arial"/>
          <w:b/>
          <w:bCs/>
          <w:color w:val="1A1A1A"/>
          <w:sz w:val="32"/>
          <w:szCs w:val="32"/>
          <w:rtl/>
        </w:rPr>
        <w:t xml:space="preserve">1. الغرض والقراءة الحاكمة</w:t>
      </w:r>
      <w:bookmarkEnd w:id="100000"/>
    </w:p>
    <w:p>
      <w:pPr>
        <w:bidi/>
        <w:spacing w:after="140" w:line="312"/>
        <w:jc w:val="both"/>
      </w:pPr>
      <w:r>
        <w:rPr>
          <w:rFonts w:ascii="Arial" w:cs="Arial" w:hAnsi="Arial"/>
          <w:color w:val="000000"/>
          <w:sz w:val="24"/>
          <w:szCs w:val="24"/>
          <w:rtl/>
        </w:rPr>
        <w:t xml:space="preserve">هذا الدليل هو الوثيقة التشغيلية لحملة التفاوض الافتتاحية مع كل أطراف سلسلة توريد الاشتراكات الرقمية التي رصدها مشروع استخبارات StackVault، وهو مبني بالكامل على الحالة الموثقة في المرجع الحاكم PMRF v1.4 (المقبول بتاريخ 02/10/2026) وعلى الكتالوج الموحد البالغ 1,112 سجل منتج عبر أحد عشر كتالوج كيان وبوابة الذكاء الاصطناعي. الغرض من الحملة ليس إجراء مكالمات أو جمع عروض فحسب، بل تحويل رصيد الاستخبارات المتراكم إلى شبكة توريد فعلية: جداول أسعار مكتوبة، وعلاقات تشغيلية قائمة، وعقد منبع مباشر واحد على الأقل يقطع طبقة الوساطة الأغلى. كل عنصر في هذا الدليل — الأطراف، والقنوات، والسيناريوهات، وأوراق الضغط — يستند إلى رقم أو سلوك موثق بتاريخه، ولا يعتمد على انطباع أو تخمين.</w:t>
      </w:r>
    </w:p>
    <w:p>
      <w:pPr>
        <w:bidi/>
        <w:spacing w:after="140" w:line="312"/>
        <w:jc w:val="both"/>
      </w:pPr>
      <w:r>
        <w:rPr>
          <w:rFonts w:ascii="Arial" w:cs="Arial" w:hAnsi="Arial"/>
          <w:color w:val="000000"/>
          <w:sz w:val="24"/>
          <w:szCs w:val="24"/>
          <w:rtl/>
        </w:rPr>
        <w:t xml:space="preserve">الحدود التمهيدية الثلاثة لهذه الوثيقة صريحة. أولًا: هذا الدليل ليس تفويضًا بالشراء ولا بالدفع؛ كل معاملة مالية في الحملة، مهما صغرت، تقف خلف بوابة قرار مستخدم صريحة ومسبقة وفق بند التحقق بالمعاملة (G-7) في سجل الفجوات. ثانيًا: كل الأسعار الواردة هنا إعلانية موثقة بتاريخ رصدها (إعلانات قنوات أو قراءة واجهات برمجية مباشرة)، ولم تتحقق بعد بمعاملة فعلية واحدة في عمر المشروع كله — لذلك تُعامل كأرضية تفاوض لا كحقائق نهائية. ثالثًا: المعرفة البنيوية العميقة التي أنتجها المشروع (البنية التحتية للخوادم، بصمات قواعد البيانات، العلاقات الخفية بين الكيانات) هي استخبارات داخلية بحتة لا يجوز أن تظهر في أي تفاعل تفاوضي بأي صورة؛ فإظهارها لا يضيف قوة تفاوضية بل يحرق العلاقة ويرفع شبهة التطفل المنظم، وهو ما يفصّله قسم الأمن العملياتي.</w:t>
      </w:r>
    </w:p>
    <w:p>
      <w:pPr>
        <w:bidi/>
        <w:spacing w:after="140" w:line="312"/>
        <w:jc w:val="both"/>
      </w:pPr>
      <w:r>
        <w:rPr>
          <w:rFonts w:ascii="Arial" w:cs="Arial" w:hAnsi="Arial"/>
          <w:color w:val="000000"/>
          <w:sz w:val="24"/>
          <w:szCs w:val="24"/>
          <w:rtl/>
        </w:rPr>
        <w:t xml:space="preserve">تُقرأ هذه الوثيقة مع مخرجها التوأم: مصفوفة حملة التفاوض (ملف Excel بثماني أوراق) التي تحتوي الجداول التشغيلية الجاهزة للفرز والتحديث اليومي — أطراف التفاوض، والسيناريوهات الثلاثون، والطرق، وأوراق الضغط، وخطة الموجات، والنصوص الجاهزة، وورقة مراجعة بفحوص حية. هذا الدليل يقدم ما لا تقدمه المصفوفة: منطق كل قرار، وتعليل كل احتمال، وحدود كل تصعيد. عند أي تعارض بين الاثنين، المصفوفة أحدث تحريرًا وهذا الدليل أعمق تعليلًا، والمرجع الحاكم للحقائق يبقى PMRF v1.4 وحده.</w:t>
      </w:r>
    </w:p>
    <w:p>
      <w:pPr>
        <w:pStyle w:val="Heading1"/>
        <w:bidi/>
        <w:spacing w:after="170" w:before="380" w:line="312"/>
        <w:jc w:val="start"/>
      </w:pPr>
      <w:bookmarkStart w:id="100001" w:name="_Toc100001"/>
      <w:r>
        <w:rPr>
          <w:rFonts w:ascii="Arial" w:cs="Arial" w:hAnsi="Arial"/>
          <w:b/>
          <w:bCs/>
          <w:color w:val="1A1A1A"/>
          <w:sz w:val="32"/>
          <w:szCs w:val="32"/>
          <w:rtl/>
        </w:rPr>
        <w:t xml:space="preserve">2. تفكيك الطلب الأصلي وإعادة صياغته التوجيهية</w:t>
      </w:r>
      <w:bookmarkEnd w:id="100001"/>
    </w:p>
    <w:p>
      <w:pPr>
        <w:bidi/>
        <w:spacing w:after="140" w:line="312"/>
        <w:jc w:val="both"/>
      </w:pPr>
      <w:r>
        <w:rPr>
          <w:rFonts w:ascii="Arial" w:cs="Arial" w:hAnsi="Arial"/>
          <w:color w:val="000000"/>
          <w:sz w:val="24"/>
          <w:szCs w:val="24"/>
          <w:rtl/>
        </w:rPr>
        <w:t xml:space="preserve">التوجيه الأصلي كان: «فتح التفاوضات للجميع وطرق عدة مع سيناريوهات مختلفة متوقعة ومدروسة». جوهر التوجيه صحيح وسليم: لحظة الانتقال من الاستخبارات إلى التعاقد قد حانت فعلًا، فالمشروع أغلق هوية المنصة (G-1) وهوية مشغلها (G-1a) واكتمل سحب الكتالوجات وترتيبها، ولم يعد أمام الشبكة خطوة تتقدم التفاوض سوى التحقق بالمعاملة. لكن الصياغة كما وردت تحمل سبع فجوات منطقية وتقنية تكشفها أدلة المشروع نفسها، ومعالجتها شرط لنجاح الحملة قبل أن تُرسل رسالتها الأولى.</w:t>
      </w:r>
    </w:p>
    <w:p>
      <w:pPr>
        <w:pStyle w:val="Heading2"/>
        <w:bidi/>
        <w:spacing w:after="120" w:before="260" w:line="312"/>
        <w:jc w:val="start"/>
      </w:pPr>
      <w:bookmarkStart w:id="100002" w:name="_Toc100002"/>
      <w:r>
        <w:rPr>
          <w:rFonts w:ascii="Arial" w:cs="Arial" w:hAnsi="Arial"/>
          <w:b/>
          <w:bCs/>
          <w:color w:val="8A6D2F"/>
          <w:sz w:val="27"/>
          <w:szCs w:val="27"/>
          <w:rtl/>
        </w:rPr>
        <w:t xml:space="preserve">الفجوة الأولى: «الجميع» ليسوا أطرافًا مستقلة</w:t>
      </w:r>
      <w:bookmarkEnd w:id="100002"/>
    </w:p>
    <w:p>
      <w:pPr>
        <w:bidi/>
        <w:spacing w:after="140" w:line="312"/>
        <w:jc w:val="both"/>
      </w:pPr>
      <w:r>
        <w:rPr>
          <w:rFonts w:ascii="Arial" w:cs="Arial" w:hAnsi="Arial"/>
          <w:color w:val="000000"/>
          <w:sz w:val="24"/>
          <w:szCs w:val="24"/>
          <w:rtl/>
        </w:rPr>
        <w:t xml:space="preserve">أدلة المشروع أثبتت أن خريطة الكيانات الظاهرة (أكثر من اثني عشر اسمًا تجاريًا) تنطوي على تراكب بنيوي واسع. باكند متجر StackVault كامل (280 منتجًا) يعمل على صندوق منصة ProdSeller نفسه (إثبات vhost بتاريخ 02/10)، فالتفاوض مع stackvault هو تفاوض مع واجهة تجزئة للمشغل نفسه الذي نتفاوض معه عبر قناته الجملية. ومنصة canboso تنتمي مع ProdSeller إلى حوض كتالوجي واحد (104 أسلاف مشتركة، و101 من أصل 111 وصفًا مشتركًا متطابقًا حرفيًا)، ما يعني أن تسريب نواياك إلى أحدهما يصل إلى الآخر بسرعة غير معروفة. والنتيجة العملية: الفتح المتزامن مع «الجميع» يعني عمليًا أنك تتفاوض مع الطرف الواحد من بوابتين مختلفتين فيتكشف موقفك مرتين. البديل المصحح: ثمانية أطراف تفاوض فعليين فقط بعد إزالة التكرار البنيوي، موزعين على أربع طبقات وظيفية، مع قائمة استبعاد موثقة السبب لمن سقط منهم.</w:t>
      </w:r>
    </w:p>
    <w:p>
      <w:pPr>
        <w:pStyle w:val="Heading2"/>
        <w:bidi/>
        <w:spacing w:after="120" w:before="260" w:line="312"/>
        <w:jc w:val="start"/>
      </w:pPr>
      <w:bookmarkStart w:id="100003" w:name="_Toc100003"/>
      <w:r>
        <w:rPr>
          <w:rFonts w:ascii="Arial" w:cs="Arial" w:hAnsi="Arial"/>
          <w:b/>
          <w:bCs/>
          <w:color w:val="8A6D2F"/>
          <w:sz w:val="27"/>
          <w:szCs w:val="27"/>
          <w:rtl/>
        </w:rPr>
        <w:t xml:space="preserve">الفجوة الثانية: الفتح المتزامن يهدم ورقتك التفاوضية الوحيدة</w:t>
      </w:r>
      <w:bookmarkEnd w:id="100003"/>
    </w:p>
    <w:p>
      <w:pPr>
        <w:bidi/>
        <w:spacing w:after="140" w:line="312"/>
        <w:jc w:val="both"/>
      </w:pPr>
      <w:r>
        <w:rPr>
          <w:rFonts w:ascii="Arial" w:cs="Arial" w:hAnsi="Arial"/>
          <w:color w:val="000000"/>
          <w:sz w:val="24"/>
          <w:szCs w:val="24"/>
          <w:rtl/>
        </w:rPr>
        <w:t xml:space="preserve">ميزتك التفاوضية الحقيقية في هذه السوق ليست حجمك (أنت مشترٍ جديد بلا سجل) بل معلوماتك: أنت تعرف القاع السعري الموثق لإحدى عشرة عائلة منتجات عبر أربع بدائل أو أكثر لكل عائلة، بينما لا يعرف الطرف الآخر أنك تعرف. هذه الميزة تنهار بالفتح المتزامن: الأطراف المتشابكة (قناة موزعين واحدة لبوابة teamsoclo، وحوض كتالوجي مشترك بين منصتي فيتنام، وسوق تيليجرام مغلق تتداول فيه الأخبار سريعًا) ستتبادل خبر «مشترٍ جديد يستعرض الجميع» خلال أيام، فيتحول موقفك من مشترٍ جاد يقارن إلى مشترٍ متلهف يمكن رفعه. البديل المصحح: حملة متدرجة على أربع موجات، تُجمّع كل موجة جداول الأسعار والسياسات التي حصلت عليها ثم تدخل بها موجة أعلى — فتدخل مفاوضات سوكبيت في الموجة الثانية وأنت تحمل جداول أسعار أربعة أطراف آخرين في جيبك.</w:t>
      </w:r>
    </w:p>
    <w:p>
      <w:pPr>
        <w:pStyle w:val="Heading2"/>
        <w:bidi/>
        <w:spacing w:after="120" w:before="260" w:line="312"/>
        <w:jc w:val="start"/>
      </w:pPr>
      <w:bookmarkStart w:id="100004" w:name="_Toc100004"/>
      <w:r>
        <w:rPr>
          <w:rFonts w:ascii="Arial" w:cs="Arial" w:hAnsi="Arial"/>
          <w:b/>
          <w:bCs/>
          <w:color w:val="8A6D2F"/>
          <w:sz w:val="27"/>
          <w:szCs w:val="27"/>
          <w:rtl/>
        </w:rPr>
        <w:t xml:space="preserve">الفجوة الثالثة: لا هدف تفاوضي محدد لكل طرف</w:t>
      </w:r>
      <w:bookmarkEnd w:id="100004"/>
    </w:p>
    <w:p>
      <w:pPr>
        <w:bidi/>
        <w:spacing w:after="140" w:line="312"/>
        <w:jc w:val="both"/>
      </w:pPr>
      <w:r>
        <w:rPr>
          <w:rFonts w:ascii="Arial" w:cs="Arial" w:hAnsi="Arial"/>
          <w:color w:val="000000"/>
          <w:sz w:val="24"/>
          <w:szCs w:val="24"/>
          <w:rtl/>
        </w:rPr>
        <w:t xml:space="preserve">«فتح التفاوض» بلا تعريف مسبق للنتيجة المرجوة من كل طرف يتحول إلى استعراض اتصالات بلا مخرج قابل للقياس. الطبقات المختلفة تحتاج نتائج مختلفة: من منصة الجملة نريد جدول أسعار مكتوبًا وتدرجًا حجميًا؛ ومن البوابة المنبع نريد حساب موزع مباشر؛ ومن لوحة الوكالة نريد تحسين سعر الوحدة؛ ومن المتجر المتخصص نريد تثبيت سعر جملة. ولكل هدف عتبة انسحاب تحميك من الدوران في حلقة مفتوحة. البديل المصحح: بطاقة هدف لكل طرف تحدد الهدف الأول والثاني والثالث بترتيب تنازلي للقيمة، وعتبة الانسحاب المسبقة التي عندها يُجمد الطرف بلا مجاملة زائدة.</w:t>
      </w:r>
    </w:p>
    <w:p>
      <w:pPr>
        <w:pStyle w:val="Heading2"/>
        <w:bidi/>
        <w:spacing w:after="120" w:before="260" w:line="312"/>
        <w:jc w:val="start"/>
      </w:pPr>
      <w:bookmarkStart w:id="100005" w:name="_Toc100005"/>
      <w:r>
        <w:rPr>
          <w:rFonts w:ascii="Arial" w:cs="Arial" w:hAnsi="Arial"/>
          <w:b/>
          <w:bCs/>
          <w:color w:val="8A6D2F"/>
          <w:sz w:val="27"/>
          <w:szCs w:val="27"/>
          <w:rtl/>
        </w:rPr>
        <w:t xml:space="preserve">الفجوة الرابعة: غياب سلّم الميزانية والبوابات</w:t>
      </w:r>
      <w:bookmarkEnd w:id="100005"/>
    </w:p>
    <w:p>
      <w:pPr>
        <w:bidi/>
        <w:spacing w:after="140" w:line="312"/>
        <w:jc w:val="both"/>
      </w:pPr>
      <w:r>
        <w:rPr>
          <w:rFonts w:ascii="Arial" w:cs="Arial" w:hAnsi="Arial"/>
          <w:color w:val="000000"/>
          <w:sz w:val="24"/>
          <w:szCs w:val="24"/>
          <w:rtl/>
        </w:rPr>
        <w:t xml:space="preserve">كل مسار تفاوض في هذه السوق ينتهي حتمًا عند جملة «اشحن رصيدًا أولًا». من دون سلّم إيداعات مجزأ ومسبق الإقرار، ستُتخذ قرارات مالية ارتجالًا تحت ضغط اللحظة التفاوضية، وهذا أغلى ما يمكن أن تخسره الحملة. البديل المصحح: سلّم ميزانية مقلوب الالتزام يبدأ من صفر دولار (استعلامات مكتوبة بلا إيداع) ويصعد عبر إيداعات اختبارية صغيرة موثقة حتى سقف إجمالي قدره ثلاثمائة دولار لحملة الافتتاح كاملة، مع بوابة قرار مستخدم صريحة قبل كل درجة تصعيد.</w:t>
      </w:r>
    </w:p>
    <w:p>
      <w:pPr>
        <w:pStyle w:val="Heading2"/>
        <w:bidi/>
        <w:spacing w:after="120" w:before="260" w:line="312"/>
        <w:jc w:val="start"/>
      </w:pPr>
      <w:bookmarkStart w:id="100006" w:name="_Toc100006"/>
      <w:r>
        <w:rPr>
          <w:rFonts w:ascii="Arial" w:cs="Arial" w:hAnsi="Arial"/>
          <w:b/>
          <w:bCs/>
          <w:color w:val="8A6D2F"/>
          <w:sz w:val="27"/>
          <w:szCs w:val="27"/>
          <w:rtl/>
        </w:rPr>
        <w:t xml:space="preserve">الفجوة الخامسة: بعض «الجميع» لا يستحق فتح قناة أصلًا</w:t>
      </w:r>
      <w:bookmarkEnd w:id="100006"/>
    </w:p>
    <w:p>
      <w:pPr>
        <w:bidi/>
        <w:spacing w:after="140" w:line="312"/>
        <w:jc w:val="both"/>
      </w:pPr>
      <w:r>
        <w:rPr>
          <w:rFonts w:ascii="Arial" w:cs="Arial" w:hAnsi="Arial"/>
          <w:color w:val="000000"/>
          <w:sz w:val="24"/>
          <w:szCs w:val="24"/>
          <w:rtl/>
        </w:rPr>
        <w:t xml:space="preserve">AIXpress خامل بكتالوج منتجين مخزونهما صفر؛ والمفتاح المسلّم لـAcczone مبتور لا يصلح للعمل؛ وEvo_Era وPixora وNevaAI بلا قنوات تواصل موثقة بعد. فتح قنوات مع هؤلاء هدر طاقة تنظيمية، والأخطر أنه يكشف نمط استعراض شامل يفسر كتطفل استطلاعي. البديل المصحح: قائمة استبعاد موثقة السبب تُراجع عند تغير الحالة فقط (مثل عودة مخزون AIXpress أو إعادة إرسال مفتاح Acczone).</w:t>
      </w:r>
    </w:p>
    <w:p>
      <w:pPr>
        <w:pStyle w:val="Heading2"/>
        <w:bidi/>
        <w:spacing w:after="120" w:before="260" w:line="312"/>
        <w:jc w:val="start"/>
      </w:pPr>
      <w:bookmarkStart w:id="100007" w:name="_Toc100007"/>
      <w:r>
        <w:rPr>
          <w:rFonts w:ascii="Arial" w:cs="Arial" w:hAnsi="Arial"/>
          <w:b/>
          <w:bCs/>
          <w:color w:val="8A6D2F"/>
          <w:sz w:val="27"/>
          <w:szCs w:val="27"/>
          <w:rtl/>
        </w:rPr>
        <w:t xml:space="preserve">الفجوة السادسة: سيناريوهات بلا أرضية سلوكية تظل تخمينًا</w:t>
      </w:r>
      <w:bookmarkEnd w:id="100007"/>
    </w:p>
    <w:p>
      <w:pPr>
        <w:bidi/>
        <w:spacing w:after="140" w:line="312"/>
        <w:jc w:val="both"/>
      </w:pPr>
      <w:r>
        <w:rPr>
          <w:rFonts w:ascii="Arial" w:cs="Arial" w:hAnsi="Arial"/>
          <w:color w:val="000000"/>
          <w:sz w:val="24"/>
          <w:szCs w:val="24"/>
          <w:rtl/>
        </w:rPr>
        <w:t xml:space="preserve">اشترطتَ في طلبك أن تكون السيناريوهات «متوقعة ومدروسة»، وهذا الاشتراط لا يتحقق بجرد احتمالات نظرية بل ببناء كل سيناريو على سلوك موثق للطرف المعني: إعلانات قناته المؤرخة، وبنية لوحته التقنية، وأنماط أسعارها المرصودة. البديل المصحح: ثلاثون سيناريو موزعة على الأطراف الثمانية، لكل طرف احتمالات مجموعها مئة بالمئة (فحص حسابي حي في ورقة المراجعة بالمصفوفة)، ولكل سيناريو رد مدروس جاهز وخط انسحاب، مع تعليل سلوكي في قسم السيناريوهات من هذا الدليل.</w:t>
      </w:r>
    </w:p>
    <w:p>
      <w:pPr>
        <w:pStyle w:val="Heading2"/>
        <w:bidi/>
        <w:spacing w:after="120" w:before="260" w:line="312"/>
        <w:jc w:val="start"/>
      </w:pPr>
      <w:bookmarkStart w:id="100008" w:name="_Toc100008"/>
      <w:r>
        <w:rPr>
          <w:rFonts w:ascii="Arial" w:cs="Arial" w:hAnsi="Arial"/>
          <w:b/>
          <w:bCs/>
          <w:color w:val="8A6D2F"/>
          <w:sz w:val="27"/>
          <w:szCs w:val="27"/>
          <w:rtl/>
        </w:rPr>
        <w:t xml:space="preserve">التوجيه المعاد صياغته</w:t>
      </w:r>
      <w:bookmarkEnd w:id="100008"/>
    </w:p>
    <w:p>
      <w:pPr>
        <w:pBdr>
          <w:top w:val="single" w:color="DDD5C0" w:sz="2" w:space="4"/>
          <w:bottom w:val="single" w:color="DDD5C0" w:sz="2" w:space="4"/>
          <w:left w:val="single" w:color="DDD5C0" w:sz="2" w:space="4"/>
          <w:right w:val="single" w:color="C9A84C" w:sz="12" w:space="8"/>
        </w:pBdr>
        <w:shd w:fill="F5F2E8" w:val="clear"/>
        <w:bidi/>
        <w:spacing w:after="160" w:before="140" w:line="312"/>
        <w:jc w:val="both"/>
      </w:pPr>
      <w:r>
        <w:rPr>
          <w:rFonts w:ascii="Arial" w:cs="Arial" w:hAnsi="Arial"/>
          <w:b/>
          <w:bCs/>
          <w:color w:val="8A6D2F"/>
          <w:sz w:val="22"/>
          <w:szCs w:val="22"/>
          <w:rtl/>
        </w:rPr>
        <w:t xml:space="preserve">قاعدة حاكمة: </w:t>
      </w:r>
      <w:r>
        <w:rPr>
          <w:rFonts w:ascii="Arial" w:cs="Arial" w:hAnsi="Arial"/>
          <w:color w:val="000000"/>
          <w:sz w:val="22"/>
          <w:szCs w:val="22"/>
          <w:rtl/>
        </w:rPr>
        <w:t xml:space="preserve">يُستبدل التوجيه الأصلي بالتالي: «تنفيذ حملة تفاوض افتتاحية متدرجة على أربع موجات مع ثمانية أطراف فعليين بعد إزالة التكرار البنيوي، بطرق متصاعدة الكلفة والالتزام من الاستعلام المكتوب إلى الشراء الاختباري، وثلاثين سيناريو مدروسًا مبنيًا على السلوك الموثق مع ردود جاهزة وعتبات انسحاب، وسلّم ميزانية لا يتجاوز ثلاثمائة دولار خلف بوابات قرار مسبقة، وسجل حملة موثق يغذي مؤشرات نجاح قابلة للقياس».</w:t>
      </w:r>
    </w:p>
    <w:p>
      <w:pPr>
        <w:pStyle w:val="Heading1"/>
        <w:bidi/>
        <w:spacing w:after="170" w:before="380" w:line="312"/>
        <w:jc w:val="start"/>
      </w:pPr>
      <w:bookmarkStart w:id="100009" w:name="_Toc100009"/>
      <w:r>
        <w:rPr>
          <w:rFonts w:ascii="Arial" w:cs="Arial" w:hAnsi="Arial"/>
          <w:b/>
          <w:bCs/>
          <w:color w:val="1A1A1A"/>
          <w:sz w:val="32"/>
          <w:szCs w:val="32"/>
          <w:rtl/>
        </w:rPr>
        <w:t xml:space="preserve">3. خريطة أطراف التفاوض بعد إزالة التكرار</w:t>
      </w:r>
      <w:bookmarkEnd w:id="100009"/>
    </w:p>
    <w:p>
      <w:pPr>
        <w:bidi/>
        <w:spacing w:after="140" w:line="312"/>
        <w:jc w:val="both"/>
      </w:pPr>
      <w:r>
        <w:rPr>
          <w:rFonts w:ascii="Arial" w:cs="Arial" w:hAnsi="Arial"/>
          <w:color w:val="000000"/>
          <w:sz w:val="24"/>
          <w:szCs w:val="24"/>
          <w:rtl/>
        </w:rPr>
        <w:t xml:space="preserve">الطبقة الأولى (أ) هي طبقة منصات الجملة الاستراتيجية، وفيها الطرف الأهم في الحملة كلها: منصة ProdSeller التي يديرها مشغل يُعرف بمعرّف «SookBit» — وهي المنصة الأم التي يتغذى منها كتالوج StackVault بنسبة تجاوزت ثمانين بالمئة عبر حساب الجملة المسمى داخليًا cb_، والتي اتضح أنها تستضيف أيضًا باكند StackVault التجزيئي على صندوقها الواحد. ثاني أطرافها منصة canboso (العلامة التجارية HitMeow / PremiKey) الشقيقة الفيتنامية من الحوض الكتالوجي المشترك، وهي منصة كاملة الأركان بواجهتي بوت إنجليزية وفيتنامية وبوابتي دفع رقميتين وسجل بيع موثق يفوق أربعة آلاف حساب Plus VIP. الطبقة الثانية (ب) هي طبقة المصانع والبوابات المنبع: بوابة Team Sóc Lọ (teamsoclo) المصنّع الفيتنامي لحصص الذكاء الاصطناعي الذي تحمل روابطه خمسة وثمانون وصفًا من أوصاف منتجات StackVault، ومورد الجملة DigitalCore الموثق بواجهة برمجية كاملة. الطبقة الثالثة (ج) طبقة لوحات الوكالة الرسمية: لوحة RichAIStore على cgpt-active.pro بواجهة وكالة كاملة الصلاحيات مع دورة تذاكر موثقة، ولوحة aivaulthub الرسمية لعائلة Gemini. والطبقة الرابعة (د) طبقة المتاجر المتخصصة ذات القدرة الحجمية: AIVerseX أكبر قناة بين الموردين جميعًا باثنين وعشرين ألف مشترك ومخزون Gemini معلن يفوق ثلاثة آلاف وحدة، ومزرعة AISUBSID الإندونيسية صاحبة أرخص سعر Plus موثق في السوق كله.</w:t>
      </w:r>
    </w:p>
    <w:p>
      <w:pPr>
        <w:keepNext/>
        <w:bidi/>
        <w:spacing w:after="80" w:before="180" w:line="312"/>
        <w:jc w:val="start"/>
      </w:pPr>
      <w:r>
        <w:rPr>
          <w:rFonts w:ascii="Arial" w:cs="Arial" w:hAnsi="Arial"/>
          <w:b/>
          <w:bCs/>
          <w:color w:val="1A1A1A"/>
          <w:sz w:val="21"/>
          <w:szCs w:val="21"/>
          <w:rtl/>
        </w:rPr>
        <w:t xml:space="preserve">جدول 1: الأطراف الفعليون الثمانية وطبقاتهم وقنواتهم الموثقة</w:t>
      </w:r>
    </w:p>
    <w:tbl>
      <w:tblPr>
        <w:bidiVisual/>
        <w:tblW w:type="pct" w:w="100%"/>
        <w:tblBorders>
          <w:top w:val="single" w:color="C9A84C" w:sz="4"/>
          <w:left w:val="none"/>
          <w:bottom w:val="single" w:color="C9A84C" w:sz="4"/>
          <w:right w:val="none"/>
          <w:insideH w:val="single" w:color="DDD5C0" w:sz="2"/>
          <w:insideV w:val="single" w:color="DDD5C0" w:sz="2"/>
        </w:tblBorders>
      </w:tblPr>
      <w:tblGrid>
        <w:gridCol w:w="100"/>
        <w:gridCol w:w="100"/>
        <w:gridCol w:w="100"/>
        <w:gridCol w:w="100"/>
        <w:gridCol w:w="100"/>
      </w:tblGrid>
      <w:tr>
        <w:trPr>
          <w:cantSplit/>
          <w:tblHeader/>
        </w:trPr>
        <w:tc>
          <w:tcPr>
            <w:tcW w:type="pct" w:w="22%"/>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الطرف</w:t>
            </w:r>
          </w:p>
        </w:tc>
        <w:tc>
          <w:tcPr>
            <w:tcW w:type="pct" w:w="8%"/>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الطبقة</w:t>
            </w:r>
          </w:p>
        </w:tc>
        <w:tc>
          <w:tcPr>
            <w:tcW w:type="pct" w:w="46%"/>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القنوات الموثقة</w:t>
            </w:r>
          </w:p>
        </w:tc>
        <w:tc>
          <w:tcPr>
            <w:tcW w:type="pct" w:w="9%"/>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الموجة</w:t>
            </w:r>
          </w:p>
        </w:tc>
        <w:tc>
          <w:tcPr>
            <w:tcW w:type="pct" w:w="15%"/>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أولوية</w:t>
            </w:r>
          </w:p>
        </w:tc>
      </w:tr>
      <w:tr>
        <w:trPr>
          <w:cantSplit/>
        </w:trPr>
        <w:tc>
          <w:tcPr>
            <w:tcW w:type="pct" w:w="22%"/>
            <w:tcMar>
              <w:top w:type="dxa" w:w="50"/>
              <w:left w:type="dxa" w:w="90"/>
              <w:bottom w:type="dxa" w:w="50"/>
              <w:right w:type="dxa" w:w="90"/>
            </w:tcMar>
          </w:tcPr>
          <w:p>
            <w:pPr>
              <w:bidi/>
              <w:spacing w:line="276"/>
              <w:jc w:val="start"/>
            </w:pPr>
            <w:r>
              <w:rPr>
                <w:rFonts w:ascii="Arial" w:cs="Arial" w:hAnsi="Arial"/>
                <w:color w:val="000000"/>
                <w:sz w:val="19"/>
                <w:szCs w:val="19"/>
                <w:rtl/>
              </w:rPr>
              <w:t xml:space="preserve">ProdSeller / SookBit</w:t>
            </w:r>
          </w:p>
        </w:tc>
        <w:tc>
          <w:tcPr>
            <w:tcW w:type="pct" w:w="8%"/>
            <w:tcMar>
              <w:top w:type="dxa" w:w="50"/>
              <w:left w:type="dxa" w:w="90"/>
              <w:bottom w:type="dxa" w:w="50"/>
              <w:right w:type="dxa" w:w="90"/>
            </w:tcMar>
          </w:tcPr>
          <w:p>
            <w:pPr>
              <w:bidi/>
              <w:spacing w:line="276"/>
              <w:jc w:val="start"/>
            </w:pPr>
            <w:r>
              <w:rPr>
                <w:rFonts w:ascii="Arial" w:cs="Arial" w:hAnsi="Arial"/>
                <w:color w:val="000000"/>
                <w:sz w:val="19"/>
                <w:szCs w:val="19"/>
                <w:rtl/>
              </w:rPr>
              <w:t xml:space="preserve">أ</w:t>
            </w:r>
          </w:p>
        </w:tc>
        <w:tc>
          <w:tcPr>
            <w:tcW w:type="pct" w:w="46%"/>
            <w:tcMar>
              <w:top w:type="dxa" w:w="50"/>
              <w:left w:type="dxa" w:w="90"/>
              <w:bottom w:type="dxa" w:w="50"/>
              <w:right w:type="dxa" w:w="90"/>
            </w:tcMar>
          </w:tcPr>
          <w:p>
            <w:pPr>
              <w:bidi/>
              <w:spacing w:line="276"/>
              <w:jc w:val="start"/>
            </w:pPr>
            <w:r>
              <w:rPr>
                <w:rFonts w:ascii="Arial" w:cs="Arial" w:hAnsi="Arial"/>
                <w:color w:val="000000"/>
                <w:sz w:val="19"/>
                <w:szCs w:val="19"/>
                <w:rtl/>
              </w:rPr>
              <w:t xml:space="preserve">تيليجرام sookbit@ (الأدمن) · واتساب +33 7 53 43 44 42 · دعم ProdsellerSupport@ · بوت ProdSellerBot@ · قناة ProdSellerOfficial</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W2</w:t>
            </w:r>
          </w:p>
        </w:tc>
        <w:tc>
          <w:tcPr>
            <w:tcW w:type="pct" w:w="15%"/>
            <w:tcMar>
              <w:top w:type="dxa" w:w="50"/>
              <w:left w:type="dxa" w:w="90"/>
              <w:bottom w:type="dxa" w:w="50"/>
              <w:right w:type="dxa" w:w="90"/>
            </w:tcMar>
          </w:tcPr>
          <w:p>
            <w:pPr>
              <w:bidi/>
              <w:spacing w:line="276"/>
              <w:jc w:val="start"/>
            </w:pPr>
            <w:r>
              <w:rPr>
                <w:rFonts w:ascii="Arial" w:cs="Arial" w:hAnsi="Arial"/>
                <w:color w:val="000000"/>
                <w:sz w:val="19"/>
                <w:szCs w:val="19"/>
                <w:rtl/>
              </w:rPr>
              <w:t xml:space="preserve">الأعلى</w:t>
            </w:r>
          </w:p>
        </w:tc>
      </w:tr>
      <w:tr>
        <w:trPr>
          <w:cantSplit/>
        </w:trPr>
        <w:tc>
          <w:tcPr>
            <w:tcW w:type="pct" w:w="2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canboso / HitMeow</w:t>
            </w:r>
          </w:p>
        </w:tc>
        <w:tc>
          <w:tcPr>
            <w:tcW w:type="pct" w:w="8%"/>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أ</w:t>
            </w:r>
          </w:p>
        </w:tc>
        <w:tc>
          <w:tcPr>
            <w:tcW w:type="pct" w:w="4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دعم HitmeowSupport@ · المالك vahnix@ · بوتا PremikeyBot وPremikey_Bot · قناة HitMeowShop</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W1</w:t>
            </w:r>
          </w:p>
        </w:tc>
        <w:tc>
          <w:tcPr>
            <w:tcW w:type="pct" w:w="15%"/>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عالية</w:t>
            </w:r>
          </w:p>
        </w:tc>
      </w:tr>
      <w:tr>
        <w:trPr>
          <w:cantSplit/>
        </w:trPr>
        <w:tc>
          <w:tcPr>
            <w:tcW w:type="pct" w:w="22%"/>
            <w:tcMar>
              <w:top w:type="dxa" w:w="50"/>
              <w:left w:type="dxa" w:w="90"/>
              <w:bottom w:type="dxa" w:w="50"/>
              <w:right w:type="dxa" w:w="90"/>
            </w:tcMar>
          </w:tcPr>
          <w:p>
            <w:pPr>
              <w:bidi/>
              <w:spacing w:line="276"/>
              <w:jc w:val="start"/>
            </w:pPr>
            <w:r>
              <w:rPr>
                <w:rFonts w:ascii="Arial" w:cs="Arial" w:hAnsi="Arial"/>
                <w:color w:val="000000"/>
                <w:sz w:val="19"/>
                <w:szCs w:val="19"/>
                <w:rtl/>
              </w:rPr>
              <w:t xml:space="preserve">Team Sóc Lọ (teamsoclo)</w:t>
            </w:r>
          </w:p>
        </w:tc>
        <w:tc>
          <w:tcPr>
            <w:tcW w:type="pct" w:w="8%"/>
            <w:tcMar>
              <w:top w:type="dxa" w:w="50"/>
              <w:left w:type="dxa" w:w="90"/>
              <w:bottom w:type="dxa" w:w="50"/>
              <w:right w:type="dxa" w:w="90"/>
            </w:tcMar>
          </w:tcPr>
          <w:p>
            <w:pPr>
              <w:bidi/>
              <w:spacing w:line="276"/>
              <w:jc w:val="start"/>
            </w:pPr>
            <w:r>
              <w:rPr>
                <w:rFonts w:ascii="Arial" w:cs="Arial" w:hAnsi="Arial"/>
                <w:color w:val="000000"/>
                <w:sz w:val="19"/>
                <w:szCs w:val="19"/>
                <w:rtl/>
              </w:rPr>
              <w:t xml:space="preserve">ب</w:t>
            </w:r>
          </w:p>
        </w:tc>
        <w:tc>
          <w:tcPr>
            <w:tcW w:type="pct" w:w="46%"/>
            <w:tcMar>
              <w:top w:type="dxa" w:w="50"/>
              <w:left w:type="dxa" w:w="90"/>
              <w:bottom w:type="dxa" w:w="50"/>
              <w:right w:type="dxa" w:w="90"/>
            </w:tcMar>
          </w:tcPr>
          <w:p>
            <w:pPr>
              <w:bidi/>
              <w:spacing w:line="276"/>
              <w:jc w:val="start"/>
            </w:pPr>
            <w:r>
              <w:rPr>
                <w:rFonts w:ascii="Arial" w:cs="Arial" w:hAnsi="Arial"/>
                <w:color w:val="000000"/>
                <w:sz w:val="19"/>
                <w:szCs w:val="19"/>
                <w:rtl/>
              </w:rPr>
              <w:t xml:space="preserve">قناة teamsoclo · بوابة gpt.teamsoclo.site · توثيق docs.teamsoclo.site</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W3</w:t>
            </w:r>
          </w:p>
        </w:tc>
        <w:tc>
          <w:tcPr>
            <w:tcW w:type="pct" w:w="15%"/>
            <w:tcMar>
              <w:top w:type="dxa" w:w="50"/>
              <w:left w:type="dxa" w:w="90"/>
              <w:bottom w:type="dxa" w:w="50"/>
              <w:right w:type="dxa" w:w="90"/>
            </w:tcMar>
          </w:tcPr>
          <w:p>
            <w:pPr>
              <w:bidi/>
              <w:spacing w:line="276"/>
              <w:jc w:val="start"/>
            </w:pPr>
            <w:r>
              <w:rPr>
                <w:rFonts w:ascii="Arial" w:cs="Arial" w:hAnsi="Arial"/>
                <w:color w:val="000000"/>
                <w:sz w:val="19"/>
                <w:szCs w:val="19"/>
                <w:rtl/>
              </w:rPr>
              <w:t xml:space="preserve">استراتيجية</w:t>
            </w:r>
          </w:p>
        </w:tc>
      </w:tr>
      <w:tr>
        <w:trPr>
          <w:cantSplit/>
        </w:trPr>
        <w:tc>
          <w:tcPr>
            <w:tcW w:type="pct" w:w="2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DigitalCore</w:t>
            </w:r>
          </w:p>
        </w:tc>
        <w:tc>
          <w:tcPr>
            <w:tcW w:type="pct" w:w="8%"/>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ب</w:t>
            </w:r>
          </w:p>
        </w:tc>
        <w:tc>
          <w:tcPr>
            <w:tcW w:type="pct" w:w="4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بوت DCoreStoreBot@ · قناة التوريد DGTsupply@ · digitalcore.top/docs</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W1</w:t>
            </w:r>
          </w:p>
        </w:tc>
        <w:tc>
          <w:tcPr>
            <w:tcW w:type="pct" w:w="15%"/>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عالية</w:t>
            </w:r>
          </w:p>
        </w:tc>
      </w:tr>
      <w:tr>
        <w:trPr>
          <w:cantSplit/>
        </w:trPr>
        <w:tc>
          <w:tcPr>
            <w:tcW w:type="pct" w:w="22%"/>
            <w:tcMar>
              <w:top w:type="dxa" w:w="50"/>
              <w:left w:type="dxa" w:w="90"/>
              <w:bottom w:type="dxa" w:w="50"/>
              <w:right w:type="dxa" w:w="90"/>
            </w:tcMar>
          </w:tcPr>
          <w:p>
            <w:pPr>
              <w:bidi/>
              <w:spacing w:line="276"/>
              <w:jc w:val="start"/>
            </w:pPr>
            <w:r>
              <w:rPr>
                <w:rFonts w:ascii="Arial" w:cs="Arial" w:hAnsi="Arial"/>
                <w:color w:val="000000"/>
                <w:sz w:val="19"/>
                <w:szCs w:val="19"/>
                <w:rtl/>
              </w:rPr>
              <w:t xml:space="preserve">RichAIStore (cgpt-active.pro)</w:t>
            </w:r>
          </w:p>
        </w:tc>
        <w:tc>
          <w:tcPr>
            <w:tcW w:type="pct" w:w="8%"/>
            <w:tcMar>
              <w:top w:type="dxa" w:w="50"/>
              <w:left w:type="dxa" w:w="90"/>
              <w:bottom w:type="dxa" w:w="50"/>
              <w:right w:type="dxa" w:w="90"/>
            </w:tcMar>
          </w:tcPr>
          <w:p>
            <w:pPr>
              <w:bidi/>
              <w:spacing w:line="276"/>
              <w:jc w:val="start"/>
            </w:pPr>
            <w:r>
              <w:rPr>
                <w:rFonts w:ascii="Arial" w:cs="Arial" w:hAnsi="Arial"/>
                <w:color w:val="000000"/>
                <w:sz w:val="19"/>
                <w:szCs w:val="19"/>
                <w:rtl/>
              </w:rPr>
              <w:t xml:space="preserve">ج</w:t>
            </w:r>
          </w:p>
        </w:tc>
        <w:tc>
          <w:tcPr>
            <w:tcW w:type="pct" w:w="46%"/>
            <w:tcMar>
              <w:top w:type="dxa" w:w="50"/>
              <w:left w:type="dxa" w:w="90"/>
              <w:bottom w:type="dxa" w:w="50"/>
              <w:right w:type="dxa" w:w="90"/>
            </w:tcMar>
          </w:tcPr>
          <w:p>
            <w:pPr>
              <w:bidi/>
              <w:spacing w:line="276"/>
              <w:jc w:val="start"/>
            </w:pPr>
            <w:r>
              <w:rPr>
                <w:rFonts w:ascii="Arial" w:cs="Arial" w:hAnsi="Arial"/>
                <w:color w:val="000000"/>
                <w:sz w:val="19"/>
                <w:szCs w:val="19"/>
                <w:rtl/>
              </w:rPr>
              <w:t xml:space="preserve">بوت RichAIStoreBot@ · تذاكر عبر واجهة الوكالة · صفحة تكامل الوكلاء</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W1</w:t>
            </w:r>
          </w:p>
        </w:tc>
        <w:tc>
          <w:tcPr>
            <w:tcW w:type="pct" w:w="15%"/>
            <w:tcMar>
              <w:top w:type="dxa" w:w="50"/>
              <w:left w:type="dxa" w:w="90"/>
              <w:bottom w:type="dxa" w:w="50"/>
              <w:right w:type="dxa" w:w="90"/>
            </w:tcMar>
          </w:tcPr>
          <w:p>
            <w:pPr>
              <w:bidi/>
              <w:spacing w:line="276"/>
              <w:jc w:val="start"/>
            </w:pPr>
            <w:r>
              <w:rPr>
                <w:rFonts w:ascii="Arial" w:cs="Arial" w:hAnsi="Arial"/>
                <w:color w:val="000000"/>
                <w:sz w:val="19"/>
                <w:szCs w:val="19"/>
                <w:rtl/>
              </w:rPr>
              <w:t xml:space="preserve">عالية</w:t>
            </w:r>
          </w:p>
        </w:tc>
      </w:tr>
      <w:tr>
        <w:trPr>
          <w:cantSplit/>
        </w:trPr>
        <w:tc>
          <w:tcPr>
            <w:tcW w:type="pct" w:w="2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aivaulthub reseller</w:t>
            </w:r>
          </w:p>
        </w:tc>
        <w:tc>
          <w:tcPr>
            <w:tcW w:type="pct" w:w="8%"/>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ج</w:t>
            </w:r>
          </w:p>
        </w:tc>
        <w:tc>
          <w:tcPr>
            <w:tcW w:type="pct" w:w="4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بوت Gemini_Shop_Robot@ · reseller.aivaulthub.store/api/v1/docs</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W3</w:t>
            </w:r>
          </w:p>
        </w:tc>
        <w:tc>
          <w:tcPr>
            <w:tcW w:type="pct" w:w="15%"/>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متوسطة</w:t>
            </w:r>
          </w:p>
        </w:tc>
      </w:tr>
      <w:tr>
        <w:trPr>
          <w:cantSplit/>
        </w:trPr>
        <w:tc>
          <w:tcPr>
            <w:tcW w:type="pct" w:w="22%"/>
            <w:tcMar>
              <w:top w:type="dxa" w:w="50"/>
              <w:left w:type="dxa" w:w="90"/>
              <w:bottom w:type="dxa" w:w="50"/>
              <w:right w:type="dxa" w:w="90"/>
            </w:tcMar>
          </w:tcPr>
          <w:p>
            <w:pPr>
              <w:bidi/>
              <w:spacing w:line="276"/>
              <w:jc w:val="start"/>
            </w:pPr>
            <w:r>
              <w:rPr>
                <w:rFonts w:ascii="Arial" w:cs="Arial" w:hAnsi="Arial"/>
                <w:color w:val="000000"/>
                <w:sz w:val="19"/>
                <w:szCs w:val="19"/>
                <w:rtl/>
              </w:rPr>
              <w:t xml:space="preserve">AIVerseX</w:t>
            </w:r>
          </w:p>
        </w:tc>
        <w:tc>
          <w:tcPr>
            <w:tcW w:type="pct" w:w="8%"/>
            <w:tcMar>
              <w:top w:type="dxa" w:w="50"/>
              <w:left w:type="dxa" w:w="90"/>
              <w:bottom w:type="dxa" w:w="50"/>
              <w:right w:type="dxa" w:w="90"/>
            </w:tcMar>
          </w:tcPr>
          <w:p>
            <w:pPr>
              <w:bidi/>
              <w:spacing w:line="276"/>
              <w:jc w:val="start"/>
            </w:pPr>
            <w:r>
              <w:rPr>
                <w:rFonts w:ascii="Arial" w:cs="Arial" w:hAnsi="Arial"/>
                <w:color w:val="000000"/>
                <w:sz w:val="19"/>
                <w:szCs w:val="19"/>
                <w:rtl/>
              </w:rPr>
              <w:t xml:space="preserve">د</w:t>
            </w:r>
          </w:p>
        </w:tc>
        <w:tc>
          <w:tcPr>
            <w:tcW w:type="pct" w:w="46%"/>
            <w:tcMar>
              <w:top w:type="dxa" w:w="50"/>
              <w:left w:type="dxa" w:w="90"/>
              <w:bottom w:type="dxa" w:w="50"/>
              <w:right w:type="dxa" w:w="90"/>
            </w:tcMar>
          </w:tcPr>
          <w:p>
            <w:pPr>
              <w:bidi/>
              <w:spacing w:line="276"/>
              <w:jc w:val="start"/>
            </w:pPr>
            <w:r>
              <w:rPr>
                <w:rFonts w:ascii="Arial" w:cs="Arial" w:hAnsi="Arial"/>
                <w:color w:val="000000"/>
                <w:sz w:val="19"/>
                <w:szCs w:val="19"/>
                <w:rtl/>
              </w:rPr>
              <w:t xml:space="preserve">بوت AIVerseXBot@ · قناة AiVerseXHub (كل الفلاشات)</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W1</w:t>
            </w:r>
          </w:p>
        </w:tc>
        <w:tc>
          <w:tcPr>
            <w:tcW w:type="pct" w:w="15%"/>
            <w:tcMar>
              <w:top w:type="dxa" w:w="50"/>
              <w:left w:type="dxa" w:w="90"/>
              <w:bottom w:type="dxa" w:w="50"/>
              <w:right w:type="dxa" w:w="90"/>
            </w:tcMar>
          </w:tcPr>
          <w:p>
            <w:pPr>
              <w:bidi/>
              <w:spacing w:line="276"/>
              <w:jc w:val="start"/>
            </w:pPr>
            <w:r>
              <w:rPr>
                <w:rFonts w:ascii="Arial" w:cs="Arial" w:hAnsi="Arial"/>
                <w:color w:val="000000"/>
                <w:sz w:val="19"/>
                <w:szCs w:val="19"/>
                <w:rtl/>
              </w:rPr>
              <w:t xml:space="preserve">عالية</w:t>
            </w:r>
          </w:p>
        </w:tc>
      </w:tr>
      <w:tr>
        <w:trPr>
          <w:cantSplit/>
        </w:trPr>
        <w:tc>
          <w:tcPr>
            <w:tcW w:type="pct" w:w="2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AISUBSID</w:t>
            </w:r>
          </w:p>
        </w:tc>
        <w:tc>
          <w:tcPr>
            <w:tcW w:type="pct" w:w="8%"/>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د</w:t>
            </w:r>
          </w:p>
        </w:tc>
        <w:tc>
          <w:tcPr>
            <w:tcW w:type="pct" w:w="4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بوت Aisubsglobalbot@ · قناة AISUBSID · المالك AisubsIDFounder@</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W0 فحص ثم W3</w:t>
            </w:r>
          </w:p>
        </w:tc>
        <w:tc>
          <w:tcPr>
            <w:tcW w:type="pct" w:w="15%"/>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ضغط سعري</w:t>
            </w:r>
          </w:p>
        </w:tc>
      </w:tr>
    </w:tbl>
    <w:p>
      <w:pPr>
        <w:spacing w:after="140"/>
      </w:pPr>
    </w:p>
    <w:p>
      <w:pPr>
        <w:bidi/>
        <w:spacing w:after="140" w:line="312"/>
        <w:jc w:val="both"/>
      </w:pPr>
      <w:r>
        <w:rPr>
          <w:rFonts w:ascii="Arial" w:cs="Arial" w:hAnsi="Arial"/>
          <w:color w:val="000000"/>
          <w:sz w:val="24"/>
          <w:szCs w:val="24"/>
          <w:rtl/>
        </w:rPr>
        <w:t xml:space="preserve">أما المستبعدون فقرار استبعادهم موثق لا انطباعي: StackVault نفسه ليس طرفًا لأنه واجهة تجزئة تعمل على صندوق منصة ProdSeller — فالتفاوض معه شراءٌ بالتجزئة من المشغل نفسه الذي نتفاوض معه بالجملة، مع ملاحظة أن علاقة المستخدم بالمتجر مسجلة كمسألة غير محسومة في المرجع الحاكم ولا يجوز لأي تفاعل تفاوضي أن يلمسها؛ وAIXpress خامل بمخزون صفري؛ وAcczone مفتاحه مبتور يحتاج إعادة إرسال من المستخدم إن رغب؛ وEvo_Era وPixora وNevaAI بلا قنوات تواصل موثقة فتُرصد سلبيًا حتى تتوفر قناة. هذا الاستبعاد نفسه ورقة توفير للطاقة التنظيمية للحملة، ويعاد فحصه عند كل بوابة موجة.</w:t>
      </w:r>
    </w:p>
    <w:p>
      <w:pPr>
        <w:pStyle w:val="Heading1"/>
        <w:bidi/>
        <w:spacing w:after="170" w:before="380" w:line="312"/>
        <w:jc w:val="start"/>
      </w:pPr>
      <w:bookmarkStart w:id="100010" w:name="_Toc100010"/>
      <w:r>
        <w:rPr>
          <w:rFonts w:ascii="Arial" w:cs="Arial" w:hAnsi="Arial"/>
          <w:b/>
          <w:bCs/>
          <w:color w:val="1A1A1A"/>
          <w:sz w:val="32"/>
          <w:szCs w:val="32"/>
          <w:rtl/>
        </w:rPr>
        <w:t xml:space="preserve">4. الأهداف التفاوضية وعتبات الانسحاب</w:t>
      </w:r>
      <w:bookmarkEnd w:id="100010"/>
    </w:p>
    <w:p>
      <w:pPr>
        <w:bidi/>
        <w:spacing w:after="140" w:line="312"/>
        <w:jc w:val="both"/>
      </w:pPr>
      <w:r>
        <w:rPr>
          <w:rFonts w:ascii="Arial" w:cs="Arial" w:hAnsi="Arial"/>
          <w:color w:val="000000"/>
          <w:sz w:val="24"/>
          <w:szCs w:val="24"/>
          <w:rtl/>
        </w:rPr>
        <w:t xml:space="preserve">بطاقة الهدف لكل طرف ليست قائمة أمنيات مفتوحة بل ثلاثية مرتبة: هدف أول يمثل القيمة القصوى الممكنة، وهدف ثانٍ واقعي مقبول، وهدف ثالث يمثل الحد الأدنى الذي عنده يظل التعامل مع الطرف مبررًا. وتلي الثلاثية عتبة الانسحاب المسبقة — وهي أهم عنصر في البطاقة كلها لأنها تُقرأ وقت الضغط التفاوضي لا وقت الهدوء، والقاعدة أن من يدخل تفاوضًا بلا عتبة انسحاب مكتوبة يخرج بأسوأ من شروطه الأصلية. العتبات هنا محددة بأرقام موثقة من الكتالوج الموحد أو بسلوك موثق من قنوات الأطراف أنفسهم، فليس فيها أي معيار مرن يعاد تفسيره في لحظة التفاوض.</w:t>
      </w:r>
    </w:p>
    <w:p>
      <w:pPr>
        <w:keepNext/>
        <w:bidi/>
        <w:spacing w:after="80" w:before="180" w:line="312"/>
        <w:jc w:val="start"/>
      </w:pPr>
      <w:r>
        <w:rPr>
          <w:rFonts w:ascii="Arial" w:cs="Arial" w:hAnsi="Arial"/>
          <w:b/>
          <w:bCs/>
          <w:color w:val="1A1A1A"/>
          <w:sz w:val="21"/>
          <w:szCs w:val="21"/>
          <w:rtl/>
        </w:rPr>
        <w:t xml:space="preserve">جدول 2: بطاقات الأهداف والعتبات</w:t>
      </w:r>
    </w:p>
    <w:tbl>
      <w:tblPr>
        <w:bidiVisual/>
        <w:tblW w:type="pct" w:w="100%"/>
        <w:tblBorders>
          <w:top w:val="single" w:color="C9A84C" w:sz="4"/>
          <w:left w:val="none"/>
          <w:bottom w:val="single" w:color="C9A84C" w:sz="4"/>
          <w:right w:val="none"/>
          <w:insideH w:val="single" w:color="DDD5C0" w:sz="2"/>
          <w:insideV w:val="single" w:color="DDD5C0" w:sz="2"/>
        </w:tblBorders>
      </w:tblPr>
      <w:tblGrid>
        <w:gridCol w:w="100"/>
        <w:gridCol w:w="100"/>
        <w:gridCol w:w="100"/>
        <w:gridCol w:w="100"/>
        <w:gridCol w:w="100"/>
      </w:tblGrid>
      <w:tr>
        <w:trPr>
          <w:cantSplit/>
          <w:tblHeader/>
        </w:trPr>
        <w:tc>
          <w:tcPr>
            <w:tcW w:type="pct" w:w="16%"/>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الطرف</w:t>
            </w:r>
          </w:p>
        </w:tc>
        <w:tc>
          <w:tcPr>
            <w:tcW w:type="pct" w:w="23%"/>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الهدف الأول</w:t>
            </w:r>
          </w:p>
        </w:tc>
        <w:tc>
          <w:tcPr>
            <w:tcW w:type="pct" w:w="23%"/>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الهدف الثاني</w:t>
            </w:r>
          </w:p>
        </w:tc>
        <w:tc>
          <w:tcPr>
            <w:tcW w:type="pct" w:w="19%"/>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الحد الأدنى</w:t>
            </w:r>
          </w:p>
        </w:tc>
        <w:tc>
          <w:tcPr>
            <w:tcW w:type="pct" w:w="19%"/>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عتبة الانسحاب</w:t>
            </w:r>
          </w:p>
        </w:tc>
      </w:tr>
      <w:tr>
        <w:trPr>
          <w:cantSplit/>
        </w:trPr>
        <w:tc>
          <w:tcPr>
            <w:tcW w:type="pct" w:w="16%"/>
            <w:tcMar>
              <w:top w:type="dxa" w:w="50"/>
              <w:left w:type="dxa" w:w="90"/>
              <w:bottom w:type="dxa" w:w="50"/>
              <w:right w:type="dxa" w:w="90"/>
            </w:tcMar>
          </w:tcPr>
          <w:p>
            <w:pPr>
              <w:bidi/>
              <w:spacing w:line="276"/>
              <w:jc w:val="start"/>
            </w:pPr>
            <w:r>
              <w:rPr>
                <w:rFonts w:ascii="Arial" w:cs="Arial" w:hAnsi="Arial"/>
                <w:color w:val="000000"/>
                <w:sz w:val="19"/>
                <w:szCs w:val="19"/>
                <w:rtl/>
              </w:rPr>
              <w:t xml:space="preserve">ProdSeller / SookBit</w:t>
            </w:r>
          </w:p>
        </w:tc>
        <w:tc>
          <w:tcPr>
            <w:tcW w:type="pct" w:w="23%"/>
            <w:tcMar>
              <w:top w:type="dxa" w:w="50"/>
              <w:left w:type="dxa" w:w="90"/>
              <w:bottom w:type="dxa" w:w="50"/>
              <w:right w:type="dxa" w:w="90"/>
            </w:tcMar>
          </w:tcPr>
          <w:p>
            <w:pPr>
              <w:bidi/>
              <w:spacing w:line="276"/>
              <w:jc w:val="start"/>
            </w:pPr>
            <w:r>
              <w:rPr>
                <w:rFonts w:ascii="Arial" w:cs="Arial" w:hAnsi="Arial"/>
                <w:color w:val="000000"/>
                <w:sz w:val="19"/>
                <w:szCs w:val="19"/>
                <w:rtl/>
              </w:rPr>
              <w:t xml:space="preserve">جدول أسعار API/الجملة المخفي كاملًا مكتوبًا</w:t>
            </w:r>
          </w:p>
        </w:tc>
        <w:tc>
          <w:tcPr>
            <w:tcW w:type="pct" w:w="23%"/>
            <w:tcMar>
              <w:top w:type="dxa" w:w="50"/>
              <w:left w:type="dxa" w:w="90"/>
              <w:bottom w:type="dxa" w:w="50"/>
              <w:right w:type="dxa" w:w="90"/>
            </w:tcMar>
          </w:tcPr>
          <w:p>
            <w:pPr>
              <w:bidi/>
              <w:spacing w:line="276"/>
              <w:jc w:val="start"/>
            </w:pPr>
            <w:r>
              <w:rPr>
                <w:rFonts w:ascii="Arial" w:cs="Arial" w:hAnsi="Arial"/>
                <w:color w:val="000000"/>
                <w:sz w:val="19"/>
                <w:szCs w:val="19"/>
                <w:rtl/>
              </w:rPr>
              <w:t xml:space="preserve">تدرج حجم فوق المعلن + سياسة استبدال مكتوبة</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مطابقة الأسعار المعلنة في قناته (K12 بـ3.80 وOffice بـ0.17 وGmail بـ0.60)</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رفض الجدول المكتوب مع اشتراط إيداع بلا شروط</w:t>
            </w:r>
          </w:p>
        </w:tc>
      </w:tr>
      <w:tr>
        <w:trPr>
          <w:cantSplit/>
        </w:trPr>
        <w:tc>
          <w:tcPr>
            <w:tcW w:type="pct" w:w="1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canboso / HitMeow</w:t>
            </w:r>
          </w:p>
        </w:tc>
        <w:tc>
          <w:tcPr>
            <w:tcW w:type="pct" w:w="2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جدول تدرجات كمية + سياسة استبدال مكتوبة</w:t>
            </w:r>
          </w:p>
        </w:tc>
        <w:tc>
          <w:tcPr>
            <w:tcW w:type="pct" w:w="2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تسوية Binance Pay بمعدل صرف عادل</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توريد عائلة Deepseek (الأرخص 1.6–1.7×)</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لا ضمان استبدال إطلاقًا مع رفض التدرجات</w:t>
            </w:r>
          </w:p>
        </w:tc>
      </w:tr>
      <w:tr>
        <w:trPr>
          <w:cantSplit/>
        </w:trPr>
        <w:tc>
          <w:tcPr>
            <w:tcW w:type="pct" w:w="16%"/>
            <w:tcMar>
              <w:top w:type="dxa" w:w="50"/>
              <w:left w:type="dxa" w:w="90"/>
              <w:bottom w:type="dxa" w:w="50"/>
              <w:right w:type="dxa" w:w="90"/>
            </w:tcMar>
          </w:tcPr>
          <w:p>
            <w:pPr>
              <w:bidi/>
              <w:spacing w:line="276"/>
              <w:jc w:val="start"/>
            </w:pPr>
            <w:r>
              <w:rPr>
                <w:rFonts w:ascii="Arial" w:cs="Arial" w:hAnsi="Arial"/>
                <w:color w:val="000000"/>
                <w:sz w:val="19"/>
                <w:szCs w:val="19"/>
                <w:rtl/>
              </w:rPr>
              <w:t xml:space="preserve">teamsoclo</w:t>
            </w:r>
          </w:p>
        </w:tc>
        <w:tc>
          <w:tcPr>
            <w:tcW w:type="pct" w:w="23%"/>
            <w:tcMar>
              <w:top w:type="dxa" w:w="50"/>
              <w:left w:type="dxa" w:w="90"/>
              <w:bottom w:type="dxa" w:w="50"/>
              <w:right w:type="dxa" w:w="90"/>
            </w:tcMar>
          </w:tcPr>
          <w:p>
            <w:pPr>
              <w:bidi/>
              <w:spacing w:line="276"/>
              <w:jc w:val="start"/>
            </w:pPr>
            <w:r>
              <w:rPr>
                <w:rFonts w:ascii="Arial" w:cs="Arial" w:hAnsi="Arial"/>
                <w:color w:val="000000"/>
                <w:sz w:val="19"/>
                <w:szCs w:val="19"/>
                <w:rtl/>
              </w:rPr>
              <w:t xml:space="preserve">حساب موزع مباشر على البوابة بقائمة 15 موديلًا</w:t>
            </w:r>
          </w:p>
        </w:tc>
        <w:tc>
          <w:tcPr>
            <w:tcW w:type="pct" w:w="23%"/>
            <w:tcMar>
              <w:top w:type="dxa" w:w="50"/>
              <w:left w:type="dxa" w:w="90"/>
              <w:bottom w:type="dxa" w:w="50"/>
              <w:right w:type="dxa" w:w="90"/>
            </w:tcMar>
          </w:tcPr>
          <w:p>
            <w:pPr>
              <w:bidi/>
              <w:spacing w:line="276"/>
              <w:jc w:val="start"/>
            </w:pPr>
            <w:r>
              <w:rPr>
                <w:rFonts w:ascii="Arial" w:cs="Arial" w:hAnsi="Arial"/>
                <w:color w:val="000000"/>
                <w:sz w:val="19"/>
                <w:szCs w:val="19"/>
                <w:rtl/>
              </w:rPr>
              <w:t xml:space="preserve">سياسة استبدال/تمديد مكتوبة للأعطال</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اختبار رصيد صغير لعائلة Codex</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سعر بوابة أعلى من سعر الوسيط بعد التحقق من تكافؤ الموديلات</w:t>
            </w:r>
          </w:p>
        </w:tc>
      </w:tr>
      <w:tr>
        <w:trPr>
          <w:cantSplit/>
        </w:trPr>
        <w:tc>
          <w:tcPr>
            <w:tcW w:type="pct" w:w="1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DigitalCore</w:t>
            </w:r>
          </w:p>
        </w:tc>
        <w:tc>
          <w:tcPr>
            <w:tcW w:type="pct" w:w="2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شريحة تدرج فوق المنشور عند 100+ وحدة</w:t>
            </w:r>
          </w:p>
        </w:tc>
        <w:tc>
          <w:tcPr>
            <w:tcW w:type="pct" w:w="2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اختبار شراء أول موثق ناجح</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الشراء بالشرائح المنشورة بجودة مقيسة</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جودة عينة دون المتوسط مهما كان السعر</w:t>
            </w:r>
          </w:p>
        </w:tc>
      </w:tr>
      <w:tr>
        <w:trPr>
          <w:cantSplit/>
        </w:trPr>
        <w:tc>
          <w:tcPr>
            <w:tcW w:type="pct" w:w="16%"/>
            <w:tcMar>
              <w:top w:type="dxa" w:w="50"/>
              <w:left w:type="dxa" w:w="90"/>
              <w:bottom w:type="dxa" w:w="50"/>
              <w:right w:type="dxa" w:w="90"/>
            </w:tcMar>
          </w:tcPr>
          <w:p>
            <w:pPr>
              <w:bidi/>
              <w:spacing w:line="276"/>
              <w:jc w:val="start"/>
            </w:pPr>
            <w:r>
              <w:rPr>
                <w:rFonts w:ascii="Arial" w:cs="Arial" w:hAnsi="Arial"/>
                <w:color w:val="000000"/>
                <w:sz w:val="19"/>
                <w:szCs w:val="19"/>
                <w:rtl/>
              </w:rPr>
              <w:t xml:space="preserve">RichAIStore</w:t>
            </w:r>
          </w:p>
        </w:tc>
        <w:tc>
          <w:tcPr>
            <w:tcW w:type="pct" w:w="23%"/>
            <w:tcMar>
              <w:top w:type="dxa" w:w="50"/>
              <w:left w:type="dxa" w:w="90"/>
              <w:bottom w:type="dxa" w:w="50"/>
              <w:right w:type="dxa" w:w="90"/>
            </w:tcMar>
          </w:tcPr>
          <w:p>
            <w:pPr>
              <w:bidi/>
              <w:spacing w:line="276"/>
              <w:jc w:val="start"/>
            </w:pPr>
            <w:r>
              <w:rPr>
                <w:rFonts w:ascii="Arial" w:cs="Arial" w:hAnsi="Arial"/>
                <w:color w:val="000000"/>
                <w:sz w:val="19"/>
                <w:szCs w:val="19"/>
                <w:rtl/>
              </w:rPr>
              <w:t xml:space="preserve">تحسين your_unit_price لعائلة CDK عند 100/500</w:t>
            </w:r>
          </w:p>
        </w:tc>
        <w:tc>
          <w:tcPr>
            <w:tcW w:type="pct" w:w="23%"/>
            <w:tcMar>
              <w:top w:type="dxa" w:w="50"/>
              <w:left w:type="dxa" w:w="90"/>
              <w:bottom w:type="dxa" w:w="50"/>
              <w:right w:type="dxa" w:w="90"/>
            </w:tcMar>
          </w:tcPr>
          <w:p>
            <w:pPr>
              <w:bidi/>
              <w:spacing w:line="276"/>
              <w:jc w:val="start"/>
            </w:pPr>
            <w:r>
              <w:rPr>
                <w:rFonts w:ascii="Arial" w:cs="Arial" w:hAnsi="Arial"/>
                <w:color w:val="000000"/>
                <w:sz w:val="19"/>
                <w:szCs w:val="19"/>
                <w:rtl/>
              </w:rPr>
              <w:t xml:space="preserve">أثر ورقي كامل عبر التذاكر</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استمرار توريد CDK بالسعر الحالي</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تجاهل تذكرتين متتاليتين</w:t>
            </w:r>
          </w:p>
        </w:tc>
      </w:tr>
      <w:tr>
        <w:trPr>
          <w:cantSplit/>
        </w:trPr>
        <w:tc>
          <w:tcPr>
            <w:tcW w:type="pct" w:w="1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aivaulthub reseller</w:t>
            </w:r>
          </w:p>
        </w:tc>
        <w:tc>
          <w:tcPr>
            <w:tcW w:type="pct" w:w="2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جدول وكالة Gemini كاملًا</w:t>
            </w:r>
          </w:p>
        </w:tc>
        <w:tc>
          <w:tcPr>
            <w:tcW w:type="pct" w:w="2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تدرج فوق السعر القياسي للوكيل</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بقاء المصدر احتياطيًا لعائلة Gemini</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سعر وكالة أعلى من فلاش AIVerseX (0.39)</w:t>
            </w:r>
          </w:p>
        </w:tc>
      </w:tr>
      <w:tr>
        <w:trPr>
          <w:cantSplit/>
        </w:trPr>
        <w:tc>
          <w:tcPr>
            <w:tcW w:type="pct" w:w="16%"/>
            <w:tcMar>
              <w:top w:type="dxa" w:w="50"/>
              <w:left w:type="dxa" w:w="90"/>
              <w:bottom w:type="dxa" w:w="50"/>
              <w:right w:type="dxa" w:w="90"/>
            </w:tcMar>
          </w:tcPr>
          <w:p>
            <w:pPr>
              <w:bidi/>
              <w:spacing w:line="276"/>
              <w:jc w:val="start"/>
            </w:pPr>
            <w:r>
              <w:rPr>
                <w:rFonts w:ascii="Arial" w:cs="Arial" w:hAnsi="Arial"/>
                <w:color w:val="000000"/>
                <w:sz w:val="19"/>
                <w:szCs w:val="19"/>
                <w:rtl/>
              </w:rPr>
              <w:t xml:space="preserve">AIVerseX</w:t>
            </w:r>
          </w:p>
        </w:tc>
        <w:tc>
          <w:tcPr>
            <w:tcW w:type="pct" w:w="23%"/>
            <w:tcMar>
              <w:top w:type="dxa" w:w="50"/>
              <w:left w:type="dxa" w:w="90"/>
              <w:bottom w:type="dxa" w:w="50"/>
              <w:right w:type="dxa" w:w="90"/>
            </w:tcMar>
          </w:tcPr>
          <w:p>
            <w:pPr>
              <w:bidi/>
              <w:spacing w:line="276"/>
              <w:jc w:val="start"/>
            </w:pPr>
            <w:r>
              <w:rPr>
                <w:rFonts w:ascii="Arial" w:cs="Arial" w:hAnsi="Arial"/>
                <w:color w:val="000000"/>
                <w:sz w:val="19"/>
                <w:szCs w:val="19"/>
                <w:rtl/>
              </w:rPr>
              <w:t xml:space="preserve">تثبيت سعر جملة 30 يومًا عند حجم أسبوعي</w:t>
            </w:r>
          </w:p>
        </w:tc>
        <w:tc>
          <w:tcPr>
            <w:tcW w:type="pct" w:w="23%"/>
            <w:tcMar>
              <w:top w:type="dxa" w:w="50"/>
              <w:left w:type="dxa" w:w="90"/>
              <w:bottom w:type="dxa" w:w="50"/>
              <w:right w:type="dxa" w:w="90"/>
            </w:tcMar>
          </w:tcPr>
          <w:p>
            <w:pPr>
              <w:bidi/>
              <w:spacing w:line="276"/>
              <w:jc w:val="start"/>
            </w:pPr>
            <w:r>
              <w:rPr>
                <w:rFonts w:ascii="Arial" w:cs="Arial" w:hAnsi="Arial"/>
                <w:color w:val="000000"/>
                <w:sz w:val="19"/>
                <w:szCs w:val="19"/>
                <w:rtl/>
              </w:rPr>
              <w:t xml:space="preserve">أولوية توفير بعقد صغير</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شراء انتهازي موثق للفلاشات</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نفاد متكرر خلال أسبوعي القياس</w:t>
            </w:r>
          </w:p>
        </w:tc>
      </w:tr>
      <w:tr>
        <w:trPr>
          <w:cantSplit/>
        </w:trPr>
        <w:tc>
          <w:tcPr>
            <w:tcW w:type="pct" w:w="1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AISUBSID</w:t>
            </w:r>
          </w:p>
        </w:tc>
        <w:tc>
          <w:tcPr>
            <w:tcW w:type="pct" w:w="2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جملة Plus عند 2.50 مع إفصاح الطريقة (VIP/UPI)</w:t>
            </w:r>
          </w:p>
        </w:tc>
        <w:tc>
          <w:tcPr>
            <w:tcW w:type="pct" w:w="2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عينة 5 حسابات لقياس البقاء</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ورقة ضغط سعري ضد ProdSeller</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بوت ميت بعد الهجرة أو سعر أعلى من 3.10</w:t>
            </w:r>
          </w:p>
        </w:tc>
      </w:tr>
    </w:tbl>
    <w:p>
      <w:pPr>
        <w:spacing w:after="140"/>
      </w:pPr>
    </w:p>
    <w:p>
      <w:pPr>
        <w:bidi/>
        <w:spacing w:after="140" w:line="312"/>
        <w:jc w:val="both"/>
      </w:pPr>
      <w:r>
        <w:rPr>
          <w:rFonts w:ascii="Arial" w:cs="Arial" w:hAnsi="Arial"/>
          <w:color w:val="000000"/>
          <w:sz w:val="24"/>
          <w:szCs w:val="24"/>
          <w:rtl/>
        </w:rPr>
        <w:t xml:space="preserve">من المهم قراءة هذه البطاقات بوصفها منظومة لا قوائم منفصلة: هدف ProdSeller الأول (الجدول المخفي) تُقوّم فائدته الفعلية بأوراق الضغط المجمعة من الموجة الأولى؛ وهدف teamsoclo (حساب الموزع المباشر) هو الورقة التي تقوي موقعك الدائم ضد أي تشدد من منصة الجملة؛ وهدف AISUBSID ليس توريدًا بالضرورة بل سقف سعري مرجعي يُعرض على أي طرف يطالب بأكثر منه. هذا الترابط هو ما يجعل الحملة حملة واحدة لا ثمانية مسارات متوازية.</w:t>
      </w:r>
    </w:p>
    <w:p>
      <w:pPr>
        <w:pStyle w:val="Heading1"/>
        <w:bidi/>
        <w:spacing w:after="170" w:before="380" w:line="312"/>
        <w:jc w:val="start"/>
      </w:pPr>
      <w:bookmarkStart w:id="100011" w:name="_Toc100011"/>
      <w:r>
        <w:rPr>
          <w:rFonts w:ascii="Arial" w:cs="Arial" w:hAnsi="Arial"/>
          <w:b/>
          <w:bCs/>
          <w:color w:val="1A1A1A"/>
          <w:sz w:val="32"/>
          <w:szCs w:val="32"/>
          <w:rtl/>
        </w:rPr>
        <w:t xml:space="preserve">5. الهوية والأمن العملياتي</w:t>
      </w:r>
      <w:bookmarkEnd w:id="100011"/>
    </w:p>
    <w:p>
      <w:pPr>
        <w:bidi/>
        <w:spacing w:after="140" w:line="312"/>
        <w:jc w:val="both"/>
      </w:pPr>
      <w:r>
        <w:rPr>
          <w:rFonts w:ascii="Arial" w:cs="Arial" w:hAnsi="Arial"/>
          <w:color w:val="000000"/>
          <w:sz w:val="24"/>
          <w:szCs w:val="24"/>
          <w:rtl/>
        </w:rPr>
        <w:t xml:space="preserve">القاعدة التأسيسية للهوية: أنت مشترٍ محترف عميل API، ولا شيء غير ذلك. هذه الهوية ليست قناعًا مفبركًا بل حقيقة موثقة — حساب المستخدم على تيليجرام مسجل فعليًا لدى ست منصات عبر مفاتيح API خاصة بها، ونقاط الوصول لدى ثلاث منها على الأقل تعيد بياناته ذاتها، فلا يوجد في هذه الهوية أي عنصر يحتاج إلى تلفيق. وتطبيقاتها العملية: التواصل مع كل صاحب مفتاح يتم من الحساب ذاته المرتبط بالمفتاح (الاتساق موثق لديهم)، والتواصل مع سوكبيت يتم بحساب تيليجرام نفسه لأن مفتاح ProdSeller قائم على منصته أصلًا، ولا يُنشأ أي حساب بديل أو رقم واتساب مستقل إلا بقرار مستخدم صريح في موجة التجهيز إن رغب بعزل قناة سوكبيت عن حساب الشراء.</w:t>
      </w:r>
    </w:p>
    <w:p>
      <w:pPr>
        <w:pStyle w:val="Heading2"/>
        <w:bidi/>
        <w:spacing w:after="120" w:before="260" w:line="312"/>
        <w:jc w:val="start"/>
      </w:pPr>
      <w:bookmarkStart w:id="100012" w:name="_Toc100012"/>
      <w:r>
        <w:rPr>
          <w:rFonts w:ascii="Arial" w:cs="Arial" w:hAnsi="Arial"/>
          <w:b/>
          <w:bCs/>
          <w:color w:val="8A6D2F"/>
          <w:sz w:val="27"/>
          <w:szCs w:val="27"/>
          <w:rtl/>
        </w:rPr>
        <w:t xml:space="preserve">الخطوط الحمراء المطلقة — ما لا يُذكر أبدًا</w:t>
      </w:r>
      <w:bookmarkEnd w:id="100012"/>
    </w:p>
    <w:p>
      <w:pPr>
        <w:bidi/>
        <w:spacing w:after="140" w:line="312"/>
        <w:jc w:val="both"/>
      </w:pPr>
      <w:r>
        <w:rPr>
          <w:rFonts w:ascii="Arial" w:cs="Arial" w:hAnsi="Arial"/>
          <w:color w:val="000000"/>
          <w:sz w:val="24"/>
          <w:szCs w:val="24"/>
          <w:rtl/>
        </w:rPr>
        <w:t xml:space="preserve">هذه القائمة إلزامية وليست استرشادية، ومخالفة بند واحد منها قد تحرق الحملة كلها دفعة واحدة: لا يُذكر عنوان الخادم أو أي تفصيل بنيوي؛ ولا يُذكر نطاق الواجهة الخلفية المستعار ولا أي دليل على معرفة البنية التحتية؛ ولا تُذكر بصمات قواعد البيانات أو أي تحليل زمني للإدراجات؛ ولا يُذكر تاريخ المشغل السابق في منصات البيع القديمة ولا أرقامه القديمة؛ ولا تُذكر جنسيته أو مكانه؛ ولا يُذكر أي دليل على معرفة العلاقة بين المتجر التجزيئي والمنصة؛ ولا يُسأل أي طرف عن مصدر توريده مباشرة (سؤال «من أين تجيبون» علامة استطلاع مكشوفة، والمصدر يُستنتج استدلاليًا من بصمة الروابط عند أول تسليم فعلي ضمن التحقق بالمعاملة). والمنطق واحد وراء هذه القائمة كلها: كل بند منها لا يزيد قوتك التفاوضية شيئًا، لكن كشفه يفسَّر فورًا كتطفل منظم على البنية التحتية، فيتحول الطرف من بائع متعاون إلى خصن متوجس، وربما يبلغ أطرافًا أخرى فيتسع الضرر إلى الشبكة كلها.</w:t>
      </w:r>
    </w:p>
    <w:p>
      <w:pPr>
        <w:pStyle w:val="Heading2"/>
        <w:bidi/>
        <w:spacing w:after="120" w:before="260" w:line="312"/>
        <w:jc w:val="start"/>
      </w:pPr>
      <w:bookmarkStart w:id="100013" w:name="_Toc100013"/>
      <w:r>
        <w:rPr>
          <w:rFonts w:ascii="Arial" w:cs="Arial" w:hAnsi="Arial"/>
          <w:b/>
          <w:bCs/>
          <w:color w:val="8A6D2F"/>
          <w:sz w:val="27"/>
          <w:szCs w:val="27"/>
          <w:rtl/>
        </w:rPr>
        <w:t xml:space="preserve">سياسة اللغة وسياسة الأرقام</w:t>
      </w:r>
      <w:bookmarkEnd w:id="100013"/>
    </w:p>
    <w:p>
      <w:pPr>
        <w:bidi/>
        <w:spacing w:after="140" w:line="312"/>
        <w:jc w:val="both"/>
      </w:pPr>
      <w:r>
        <w:rPr>
          <w:rFonts w:ascii="Arial" w:cs="Arial" w:hAnsi="Arial"/>
          <w:color w:val="000000"/>
          <w:sz w:val="24"/>
          <w:szCs w:val="24"/>
          <w:rtl/>
        </w:rPr>
        <w:t xml:space="preserve">اللغة سلاح إشارة لا وسيلة نقل فقط. سوكبيت يخاطب سوقه التجزيئي بالعربية من جهة ويعمل ببيئة فرنسية موثقة من جهة أخرى، لذلك تُفتتح مراسلته بالعربية (نص T1) ويتوفر البديل الفرنسي الجاهز (نص T2) عند أي إشارة تفضيل لغوي منه. أما أطراف فيتنام وإندونيسيا فالإنجليزية المبسطة هي اللغة التشغيلية الواقعية، مع تجنب أي مفردات عامية والالتزام بمصطلحات وثائقهم التقنية (tiers وpriceFrom وendpoints) التي ترفع جودة الرد وسرعته. وفي سياسة الأرقام: تُثبَّت أرقام الحجم المعلنة في موجة التجهيز وتلتزم بثباتها أمام كل الأطراف — خمسون إلى مئتي وحدة شهريًا عبر أربع إلى ست عائلات بداية — لأن الأرقام المتناقضة بين الأطراف المتشابكة هي أسرع طريق لكشف استعراض غير جاد. والأرقام المتحفظة القابلة للتصديق تبيع أفضل من الأرقام الضخمة التي لا يستطيع مشترٍ جديد إثباتها.</w:t>
      </w:r>
    </w:p>
    <w:p>
      <w:pPr>
        <w:pStyle w:val="Heading1"/>
        <w:bidi/>
        <w:spacing w:after="170" w:before="380" w:line="312"/>
        <w:jc w:val="start"/>
      </w:pPr>
      <w:bookmarkStart w:id="100014" w:name="_Toc100014"/>
      <w:r>
        <w:rPr>
          <w:rFonts w:ascii="Arial" w:cs="Arial" w:hAnsi="Arial"/>
          <w:b/>
          <w:bCs/>
          <w:color w:val="1A1A1A"/>
          <w:sz w:val="32"/>
          <w:szCs w:val="32"/>
          <w:rtl/>
        </w:rPr>
        <w:t xml:space="preserve">6. الطرق الخمس — تصاعد الكلفة والالتزام</w:t>
      </w:r>
      <w:bookmarkEnd w:id="100014"/>
    </w:p>
    <w:p>
      <w:pPr>
        <w:bidi/>
        <w:spacing w:after="140" w:line="312"/>
        <w:jc w:val="both"/>
      </w:pPr>
      <w:r>
        <w:rPr>
          <w:rFonts w:ascii="Arial" w:cs="Arial" w:hAnsi="Arial"/>
          <w:color w:val="000000"/>
          <w:sz w:val="24"/>
          <w:szCs w:val="24"/>
          <w:rtl/>
        </w:rPr>
        <w:t xml:space="preserve">الطرق ليست قائمة اختيارات متكافئة يُفتح منها كلها مع كل طرف، بل سلّم تصاعدي في الكلفة والالتزام يُرتقى فيه درجة درجة: كل درجة تُفتح فقط بعد استنفاد ما دونها، وكل تصعيد يوثق في سجل الحملة بتاريخه وسببه. الطريقة الأولى هي رسالة المالك المباشرة — أقصر الطرق وأقلها كلفة، وتصلح حيث صاحب القرار معروف ومعرّف موثقًا (سوكبيت لمنصته، ومالك HitMeow المعروف بحسابه، ومالك AISUBSID المعلن في قناته). والطريقة الثانية هي التذاكر والدعم عبر الواجهات البرمجية — وهي القناة المفضلة افتتاحيًا لأنها تولّد أثرًا ورقيًا مؤرخًا يصلح مرجعًا في أي خلاف لاحق، وتملكها لوحة RichAIStore بشكل كامل معتمد. والطريقة الثالثة هي الاستعلام الحجمي المكتوب — الطريقة الافتتاحية الافتراضية لكل أطراف الموجة الأولى، وصفتها الجوهرية أن تحمل أرقامًا محددة (عائلة، كمية، هدف سعري) لا سؤالًا عامًا يُجاب بجواب عام. والطريقة الرابعة هي الشراء الاختباري الموثق — وهي أول طريقة تنفق فيها مالًا، ووظيفتها مزدوجة: إثبات جدية أمام الطرف، وجمع استخبارات لا تُجمع إلا بالمعاملة (سكة الدفع، وأسلوب التسليم، وجودة المنتج، وبقاؤه). والطريقة الخامسة هي الشراكة التشغيلية — التموضع كمشغّل متجر آلي يبحث عن توريد مستقر، وتُستخدم فقط مع الأطراف الذين يتاجرون بهذا النموذج أصلًا (لوحة الوكالة التي تسوّق تكامل الوكلاء، والمنصة التي يبدو أنها تبيع متاجر جاهزة).</w:t>
      </w:r>
    </w:p>
    <w:p>
      <w:pPr>
        <w:keepNext/>
        <w:bidi/>
        <w:spacing w:after="80" w:before="180" w:line="312"/>
        <w:jc w:val="start"/>
      </w:pPr>
      <w:r>
        <w:rPr>
          <w:rFonts w:ascii="Arial" w:cs="Arial" w:hAnsi="Arial"/>
          <w:b/>
          <w:bCs/>
          <w:color w:val="1A1A1A"/>
          <w:sz w:val="21"/>
          <w:szCs w:val="21"/>
          <w:rtl/>
        </w:rPr>
        <w:t xml:space="preserve">جدول 3: سلّم الطرق الخمس</w:t>
      </w:r>
    </w:p>
    <w:tbl>
      <w:tblPr>
        <w:bidiVisual/>
        <w:tblW w:type="pct" w:w="100%"/>
        <w:tblBorders>
          <w:top w:val="single" w:color="C9A84C" w:sz="4"/>
          <w:left w:val="none"/>
          <w:bottom w:val="single" w:color="C9A84C" w:sz="4"/>
          <w:right w:val="none"/>
          <w:insideH w:val="single" w:color="DDD5C0" w:sz="2"/>
          <w:insideV w:val="single" w:color="DDD5C0" w:sz="2"/>
        </w:tblBorders>
      </w:tblPr>
      <w:tblGrid>
        <w:gridCol w:w="100"/>
        <w:gridCol w:w="100"/>
        <w:gridCol w:w="100"/>
        <w:gridCol w:w="100"/>
        <w:gridCol w:w="100"/>
      </w:tblGrid>
      <w:tr>
        <w:trPr>
          <w:cantSplit/>
          <w:tblHeader/>
        </w:trPr>
        <w:tc>
          <w:tcPr>
            <w:tcW w:type="pct" w:w="24%"/>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الطريقة</w:t>
            </w:r>
          </w:p>
        </w:tc>
        <w:tc>
          <w:tcPr>
            <w:tcW w:type="pct" w:w="9%"/>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الكلفة</w:t>
            </w:r>
          </w:p>
        </w:tc>
        <w:tc>
          <w:tcPr>
            <w:tcW w:type="pct" w:w="20%"/>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الالتزام المكشوف</w:t>
            </w:r>
          </w:p>
        </w:tc>
        <w:tc>
          <w:tcPr>
            <w:tcW w:type="pct" w:w="26%"/>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الأطراف الأنسب</w:t>
            </w:r>
          </w:p>
        </w:tc>
        <w:tc>
          <w:tcPr>
            <w:tcW w:type="pct" w:w="21%"/>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القاعدة</w:t>
            </w:r>
          </w:p>
        </w:tc>
      </w:tr>
      <w:tr>
        <w:trPr>
          <w:cantSplit/>
        </w:trPr>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M1 رسالة المالك المباشرة</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صفر</w:t>
            </w:r>
          </w:p>
        </w:tc>
        <w:tc>
          <w:tcPr>
            <w:tcW w:type="pct" w:w="20%"/>
            <w:tcMar>
              <w:top w:type="dxa" w:w="50"/>
              <w:left w:type="dxa" w:w="90"/>
              <w:bottom w:type="dxa" w:w="50"/>
              <w:right w:type="dxa" w:w="90"/>
            </w:tcMar>
          </w:tcPr>
          <w:p>
            <w:pPr>
              <w:bidi/>
              <w:spacing w:line="276"/>
              <w:jc w:val="start"/>
            </w:pPr>
            <w:r>
              <w:rPr>
                <w:rFonts w:ascii="Arial" w:cs="Arial" w:hAnsi="Arial"/>
                <w:color w:val="000000"/>
                <w:sz w:val="19"/>
                <w:szCs w:val="19"/>
                <w:rtl/>
              </w:rPr>
              <w:t xml:space="preserve">أدنى — رسالة واحدة قصيرة</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سوكبيت · مالك HitMeow · مالك AISUBSID</w:t>
            </w:r>
          </w:p>
        </w:tc>
        <w:tc>
          <w:tcPr>
            <w:tcW w:type="pct" w:w="21%"/>
            <w:tcMar>
              <w:top w:type="dxa" w:w="50"/>
              <w:left w:type="dxa" w:w="90"/>
              <w:bottom w:type="dxa" w:w="50"/>
              <w:right w:type="dxa" w:w="90"/>
            </w:tcMar>
          </w:tcPr>
          <w:p>
            <w:pPr>
              <w:bidi/>
              <w:spacing w:line="276"/>
              <w:jc w:val="start"/>
            </w:pPr>
            <w:r>
              <w:rPr>
                <w:rFonts w:ascii="Arial" w:cs="Arial" w:hAnsi="Arial"/>
                <w:color w:val="000000"/>
                <w:sz w:val="19"/>
                <w:szCs w:val="19"/>
                <w:rtl/>
              </w:rPr>
              <w:t xml:space="preserve">لا إلحاح قبل 72 ساعة</w:t>
            </w:r>
          </w:p>
        </w:tc>
      </w:tr>
      <w:tr>
        <w:trPr>
          <w:cantSplit/>
        </w:trPr>
        <w:tc>
          <w:tcPr>
            <w:tcW w:type="pct" w:w="2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M2 تذاكر ودعم عبر API</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صفر</w:t>
            </w:r>
          </w:p>
        </w:tc>
        <w:tc>
          <w:tcPr>
            <w:tcW w:type="pct" w:w="2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منخفض — موثق رسميًا</w:t>
            </w:r>
          </w:p>
        </w:tc>
        <w:tc>
          <w:tcPr>
            <w:tcW w:type="pct" w:w="2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RichAIStore · canboso · DigitalCore</w:t>
            </w:r>
          </w:p>
        </w:tc>
        <w:tc>
          <w:tcPr>
            <w:tcW w:type="pct" w:w="21%"/>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كل اتفاق شفهي يُنقل لتذكرة مكتوبة</w:t>
            </w:r>
          </w:p>
        </w:tc>
      </w:tr>
      <w:tr>
        <w:trPr>
          <w:cantSplit/>
        </w:trPr>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M3 استعلام حجمي مكتوب</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صفر</w:t>
            </w:r>
          </w:p>
        </w:tc>
        <w:tc>
          <w:tcPr>
            <w:tcW w:type="pct" w:w="20%"/>
            <w:tcMar>
              <w:top w:type="dxa" w:w="50"/>
              <w:left w:type="dxa" w:w="90"/>
              <w:bottom w:type="dxa" w:w="50"/>
              <w:right w:type="dxa" w:w="90"/>
            </w:tcMar>
          </w:tcPr>
          <w:p>
            <w:pPr>
              <w:bidi/>
              <w:spacing w:line="276"/>
              <w:jc w:val="start"/>
            </w:pPr>
            <w:r>
              <w:rPr>
                <w:rFonts w:ascii="Arial" w:cs="Arial" w:hAnsi="Arial"/>
                <w:color w:val="000000"/>
                <w:sz w:val="19"/>
                <w:szCs w:val="19"/>
                <w:rtl/>
              </w:rPr>
              <w:t xml:space="preserve">متوسط — يكشف اهتمامًا محددًا</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كل أطراف W1 (الافتتاح الافتراضي)</w:t>
            </w:r>
          </w:p>
        </w:tc>
        <w:tc>
          <w:tcPr>
            <w:tcW w:type="pct" w:w="21%"/>
            <w:tcMar>
              <w:top w:type="dxa" w:w="50"/>
              <w:left w:type="dxa" w:w="90"/>
              <w:bottom w:type="dxa" w:w="50"/>
              <w:right w:type="dxa" w:w="90"/>
            </w:tcMar>
          </w:tcPr>
          <w:p>
            <w:pPr>
              <w:bidi/>
              <w:spacing w:line="276"/>
              <w:jc w:val="start"/>
            </w:pPr>
            <w:r>
              <w:rPr>
                <w:rFonts w:ascii="Arial" w:cs="Arial" w:hAnsi="Arial"/>
                <w:color w:val="000000"/>
                <w:sz w:val="19"/>
                <w:szCs w:val="19"/>
                <w:rtl/>
              </w:rPr>
              <w:t xml:space="preserve">أرقام محددة بلا مبالغة، وإفصاح أنك تقارن موردين</w:t>
            </w:r>
          </w:p>
        </w:tc>
      </w:tr>
      <w:tr>
        <w:trPr>
          <w:cantSplit/>
        </w:trPr>
        <w:tc>
          <w:tcPr>
            <w:tcW w:type="pct" w:w="2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M4 شراء اختباري (G-7)</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10–50 دولارًا للطرف</w:t>
            </w:r>
          </w:p>
        </w:tc>
        <w:tc>
          <w:tcPr>
            <w:tcW w:type="pct" w:w="2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أعلى — مال حقيقي</w:t>
            </w:r>
          </w:p>
        </w:tc>
        <w:tc>
          <w:tcPr>
            <w:tcW w:type="pct" w:w="2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DigitalCore · canboso · AISUBSID ثم ProdSeller</w:t>
            </w:r>
          </w:p>
        </w:tc>
        <w:tc>
          <w:tcPr>
            <w:tcW w:type="pct" w:w="21%"/>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بوابة مستخدم قبل كل دفعة، ووحدة واحدة أولًا</w:t>
            </w:r>
          </w:p>
        </w:tc>
      </w:tr>
      <w:tr>
        <w:trPr>
          <w:cantSplit/>
        </w:trPr>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M5 شراكة تشغيلية</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صفر</w:t>
            </w:r>
          </w:p>
        </w:tc>
        <w:tc>
          <w:tcPr>
            <w:tcW w:type="pct" w:w="20%"/>
            <w:tcMar>
              <w:top w:type="dxa" w:w="50"/>
              <w:left w:type="dxa" w:w="90"/>
              <w:bottom w:type="dxa" w:w="50"/>
              <w:right w:type="dxa" w:w="90"/>
            </w:tcMar>
          </w:tcPr>
          <w:p>
            <w:pPr>
              <w:bidi/>
              <w:spacing w:line="276"/>
              <w:jc w:val="start"/>
            </w:pPr>
            <w:r>
              <w:rPr>
                <w:rFonts w:ascii="Arial" w:cs="Arial" w:hAnsi="Arial"/>
                <w:color w:val="000000"/>
                <w:sz w:val="19"/>
                <w:szCs w:val="19"/>
                <w:rtl/>
              </w:rPr>
              <w:t xml:space="preserve">استراتيجي — يكشف النموذج</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RichAIStore · سوكبيت (إن عرض متجرًا جاهزًا) · teamsoclo</w:t>
            </w:r>
          </w:p>
        </w:tc>
        <w:tc>
          <w:tcPr>
            <w:tcW w:type="pct" w:w="21%"/>
            <w:tcMar>
              <w:top w:type="dxa" w:w="50"/>
              <w:left w:type="dxa" w:w="90"/>
              <w:bottom w:type="dxa" w:w="50"/>
              <w:right w:type="dxa" w:w="90"/>
            </w:tcMar>
          </w:tcPr>
          <w:p>
            <w:pPr>
              <w:bidi/>
              <w:spacing w:line="276"/>
              <w:jc w:val="start"/>
            </w:pPr>
            <w:r>
              <w:rPr>
                <w:rFonts w:ascii="Arial" w:cs="Arial" w:hAnsi="Arial"/>
                <w:color w:val="000000"/>
                <w:sz w:val="19"/>
                <w:szCs w:val="19"/>
                <w:rtl/>
              </w:rPr>
              <w:t xml:space="preserve">بعد تثبيت التموضع في W0 فقط</w:t>
            </w:r>
          </w:p>
        </w:tc>
      </w:tr>
    </w:tbl>
    <w:p>
      <w:pPr>
        <w:spacing w:after="140"/>
      </w:pPr>
    </w:p>
    <w:p>
      <w:pPr>
        <w:bidi/>
        <w:spacing w:after="140" w:line="312"/>
        <w:jc w:val="both"/>
      </w:pPr>
      <w:r>
        <w:rPr>
          <w:rFonts w:ascii="Arial" w:cs="Arial" w:hAnsi="Arial"/>
          <w:color w:val="000000"/>
          <w:sz w:val="24"/>
          <w:szCs w:val="24"/>
          <w:rtl/>
        </w:rPr>
        <w:t xml:space="preserve">القاعدة الحاكمة للسلّم كله: لا تُفتح طريقتان مع الطرف الواحد في اليوم نفسه إلا في موجة الإغلاق (جولة الجداول المجمعة في W3)، فالتصعيد السريع يقرأ كانفعال، والتصعيد البطيء المدروس يقرأ كسياسة مشترٍ محترف. وبين كل درجتين فاصل زمني لا يقل عن اثنتين وسبعين ساعة إلا برد سريع صريح من الطرف.</w:t>
      </w:r>
    </w:p>
    <w:p>
      <w:pPr>
        <w:pStyle w:val="Heading1"/>
        <w:bidi/>
        <w:spacing w:after="170" w:before="380" w:line="312"/>
        <w:jc w:val="start"/>
      </w:pPr>
      <w:bookmarkStart w:id="100015" w:name="_Toc100015"/>
      <w:r>
        <w:rPr>
          <w:rFonts w:ascii="Arial" w:cs="Arial" w:hAnsi="Arial"/>
          <w:b/>
          <w:bCs/>
          <w:color w:val="1A1A1A"/>
          <w:sz w:val="32"/>
          <w:szCs w:val="32"/>
          <w:rtl/>
        </w:rPr>
        <w:t xml:space="preserve">7. خطة الموجات والبوابات</w:t>
      </w:r>
      <w:bookmarkEnd w:id="100015"/>
    </w:p>
    <w:p>
      <w:pPr>
        <w:bidi/>
        <w:spacing w:after="140" w:line="312"/>
        <w:jc w:val="both"/>
      </w:pPr>
      <w:r>
        <w:rPr>
          <w:rFonts w:ascii="Arial" w:cs="Arial" w:hAnsi="Arial"/>
          <w:color w:val="000000"/>
          <w:sz w:val="24"/>
          <w:szCs w:val="24"/>
          <w:rtl/>
        </w:rPr>
        <w:t xml:space="preserve">الحملة أربع موجات لا تنتقل بينها تلقائيًا أبدًا؛ كل موجة تنتهي ببوابة قرار للمستخدم تُراجع عندها النتائج ويُقرر التصعيد. موجة التجهيز (W0) عمل داخلي خالص بلا أي تواصل مع الأطراف: تثبيت التموضع التجاري وأرقام الحجم المعلنة، وإقرار سلّم الميزانية وسقفه، وفحص حي لبوت AISUBSID بعد إعلان هجرة النطاقات (فجوة G-6)، ولقطة أسعار حية للعائلات الإحدى عشرة تُحدّث أوراق الضغط. موجة القنوات الموثقة (W1، الأيام واحد إلى ثلاثة) تفتتح التفاوض الفعلي بأربع قنوات خالية الكلفة عبر الحسابات القائمة: تذكرة لوحة الوكالة لتحسين سعر الوحدة، واستعلام تدرجات لدى مورد الجملة الموثق، واستعلام المنصة الفيتنامية عبر الدعم أو المالك، وعرض تثبيت سعر للمتجر المتخصص — وهدفها المخرجي أربعة جداول أسعار أو سياسات مكتوبة. موجة الجائزة الاستراتيجية (W2، الأيام ثلاثة إلى سبعة) هي مواجهة سوكبيت المباشرة مسلحًا بجداول الموجة الأولى: طلب الجدول المخفي كاملًا، وربط الفجوات الموثقة المعلنة في قناته هو بنفسه، واستقبال عرض المتجر الجاهز إن طُرح بوثقه الكامل دون التزام. وموجة التعاقد المنبع (W3، الأسبوع الثاني وما بعده) تصعد إلى المصادر العليا: تقديم حساب موزع على بوابة الذكاء الاصطناعي، وجملة المزرعة الإندونيسية بعد عينة القياس، ووكالة عائلة Gemini، ثم جولة ثانية بكل الطرف الناجحين بالجداول المجمعة الكاملة.</w:t>
      </w:r>
    </w:p>
    <w:p>
      <w:pPr>
        <w:keepNext/>
        <w:bidi/>
        <w:spacing w:after="80" w:before="180" w:line="312"/>
        <w:jc w:val="start"/>
      </w:pPr>
      <w:r>
        <w:rPr>
          <w:rFonts w:ascii="Arial" w:cs="Arial" w:hAnsi="Arial"/>
          <w:b/>
          <w:bCs/>
          <w:color w:val="1A1A1A"/>
          <w:sz w:val="21"/>
          <w:szCs w:val="21"/>
          <w:rtl/>
        </w:rPr>
        <w:t xml:space="preserve">جدول 4: الموجات والبوابات والميزانية</w:t>
      </w:r>
    </w:p>
    <w:tbl>
      <w:tblPr>
        <w:bidiVisual/>
        <w:tblW w:type="pct" w:w="100%"/>
        <w:tblBorders>
          <w:top w:val="single" w:color="C9A84C" w:sz="4"/>
          <w:left w:val="none"/>
          <w:bottom w:val="single" w:color="C9A84C" w:sz="4"/>
          <w:right w:val="none"/>
          <w:insideH w:val="single" w:color="DDD5C0" w:sz="2"/>
          <w:insideV w:val="single" w:color="DDD5C0" w:sz="2"/>
        </w:tblBorders>
      </w:tblPr>
      <w:tblGrid>
        <w:gridCol w:w="100"/>
        <w:gridCol w:w="100"/>
        <w:gridCol w:w="100"/>
        <w:gridCol w:w="100"/>
        <w:gridCol w:w="100"/>
      </w:tblGrid>
      <w:tr>
        <w:trPr>
          <w:cantSplit/>
          <w:tblHeader/>
        </w:trPr>
        <w:tc>
          <w:tcPr>
            <w:tcW w:type="pct" w:w="17%"/>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الموجة</w:t>
            </w:r>
          </w:p>
        </w:tc>
        <w:tc>
          <w:tcPr>
            <w:tcW w:type="pct" w:w="11%"/>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التوقيت</w:t>
            </w:r>
          </w:p>
        </w:tc>
        <w:tc>
          <w:tcPr>
            <w:tcW w:type="pct" w:w="20%"/>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الميزانية المقترحة</w:t>
            </w:r>
          </w:p>
        </w:tc>
        <w:tc>
          <w:tcPr>
            <w:tcW w:type="pct" w:w="30%"/>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مخرج النجاح</w:t>
            </w:r>
          </w:p>
        </w:tc>
        <w:tc>
          <w:tcPr>
            <w:tcW w:type="pct" w:w="22%"/>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البوابة</w:t>
            </w:r>
          </w:p>
        </w:tc>
      </w:tr>
      <w:tr>
        <w:trPr>
          <w:cantSplit/>
        </w:trPr>
        <w:tc>
          <w:tcPr>
            <w:tcW w:type="pct" w:w="17%"/>
            <w:tcMar>
              <w:top w:type="dxa" w:w="50"/>
              <w:left w:type="dxa" w:w="90"/>
              <w:bottom w:type="dxa" w:w="50"/>
              <w:right w:type="dxa" w:w="90"/>
            </w:tcMar>
          </w:tcPr>
          <w:p>
            <w:pPr>
              <w:bidi/>
              <w:spacing w:line="276"/>
              <w:jc w:val="start"/>
            </w:pPr>
            <w:r>
              <w:rPr>
                <w:rFonts w:ascii="Arial" w:cs="Arial" w:hAnsi="Arial"/>
                <w:color w:val="000000"/>
                <w:sz w:val="19"/>
                <w:szCs w:val="19"/>
                <w:rtl/>
              </w:rPr>
              <w:t xml:space="preserve">W0 التجهيز</w:t>
            </w:r>
          </w:p>
        </w:tc>
        <w:tc>
          <w:tcPr>
            <w:tcW w:type="pct" w:w="11%"/>
            <w:tcMar>
              <w:top w:type="dxa" w:w="50"/>
              <w:left w:type="dxa" w:w="90"/>
              <w:bottom w:type="dxa" w:w="50"/>
              <w:right w:type="dxa" w:w="90"/>
            </w:tcMar>
          </w:tcPr>
          <w:p>
            <w:pPr>
              <w:bidi/>
              <w:spacing w:line="276"/>
              <w:jc w:val="start"/>
            </w:pPr>
            <w:r>
              <w:rPr>
                <w:rFonts w:ascii="Arial" w:cs="Arial" w:hAnsi="Arial"/>
                <w:color w:val="000000"/>
                <w:sz w:val="19"/>
                <w:szCs w:val="19"/>
                <w:rtl/>
              </w:rPr>
              <w:t xml:space="preserve">اليوم 0</w:t>
            </w:r>
          </w:p>
        </w:tc>
        <w:tc>
          <w:tcPr>
            <w:tcW w:type="pct" w:w="20%"/>
            <w:tcMar>
              <w:top w:type="dxa" w:w="50"/>
              <w:left w:type="dxa" w:w="90"/>
              <w:bottom w:type="dxa" w:w="50"/>
              <w:right w:type="dxa" w:w="90"/>
            </w:tcMar>
          </w:tcPr>
          <w:p>
            <w:pPr>
              <w:bidi/>
              <w:spacing w:line="276"/>
              <w:jc w:val="start"/>
            </w:pPr>
            <w:r>
              <w:rPr>
                <w:rFonts w:ascii="Arial" w:cs="Arial" w:hAnsi="Arial"/>
                <w:color w:val="000000"/>
                <w:sz w:val="19"/>
                <w:szCs w:val="19"/>
                <w:rtl/>
              </w:rPr>
              <w:t xml:space="preserve">صفر</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قرارات مثبتة وحالة AISUBSID محسومة</w:t>
            </w:r>
          </w:p>
        </w:tc>
        <w:tc>
          <w:tcPr>
            <w:tcW w:type="pct" w:w="22%"/>
            <w:tcMar>
              <w:top w:type="dxa" w:w="50"/>
              <w:left w:type="dxa" w:w="90"/>
              <w:bottom w:type="dxa" w:w="50"/>
              <w:right w:type="dxa" w:w="90"/>
            </w:tcMar>
          </w:tcPr>
          <w:p>
            <w:pPr>
              <w:bidi/>
              <w:spacing w:line="276"/>
              <w:jc w:val="start"/>
            </w:pPr>
            <w:r>
              <w:rPr>
                <w:rFonts w:ascii="Arial" w:cs="Arial" w:hAnsi="Arial"/>
                <w:color w:val="000000"/>
                <w:sz w:val="19"/>
                <w:szCs w:val="19"/>
                <w:rtl/>
              </w:rPr>
              <w:t xml:space="preserve">موافقة على التموضع والسقف المالي</w:t>
            </w:r>
          </w:p>
        </w:tc>
      </w:tr>
      <w:tr>
        <w:trPr>
          <w:cantSplit/>
        </w:trPr>
        <w:tc>
          <w:tcPr>
            <w:tcW w:type="pct" w:w="1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W1 القنوات الموثقة</w:t>
            </w:r>
          </w:p>
        </w:tc>
        <w:tc>
          <w:tcPr>
            <w:tcW w:type="pct" w:w="11%"/>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يوم 1–3</w:t>
            </w:r>
          </w:p>
        </w:tc>
        <w:tc>
          <w:tcPr>
            <w:tcW w:type="pct" w:w="2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صفر (اختبارات اختيارية 60–110)</w:t>
            </w:r>
          </w:p>
        </w:tc>
        <w:tc>
          <w:tcPr>
            <w:tcW w:type="pct" w:w="3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أربعة جداول أسعار/سياسات مكتوبة</w:t>
            </w:r>
          </w:p>
        </w:tc>
        <w:tc>
          <w:tcPr>
            <w:tcW w:type="pct" w:w="2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موافقة قبل أي إيداع</w:t>
            </w:r>
          </w:p>
        </w:tc>
      </w:tr>
      <w:tr>
        <w:trPr>
          <w:cantSplit/>
        </w:trPr>
        <w:tc>
          <w:tcPr>
            <w:tcW w:type="pct" w:w="17%"/>
            <w:tcMar>
              <w:top w:type="dxa" w:w="50"/>
              <w:left w:type="dxa" w:w="90"/>
              <w:bottom w:type="dxa" w:w="50"/>
              <w:right w:type="dxa" w:w="90"/>
            </w:tcMar>
          </w:tcPr>
          <w:p>
            <w:pPr>
              <w:bidi/>
              <w:spacing w:line="276"/>
              <w:jc w:val="start"/>
            </w:pPr>
            <w:r>
              <w:rPr>
                <w:rFonts w:ascii="Arial" w:cs="Arial" w:hAnsi="Arial"/>
                <w:color w:val="000000"/>
                <w:sz w:val="19"/>
                <w:szCs w:val="19"/>
                <w:rtl/>
              </w:rPr>
              <w:t xml:space="preserve">W2 الجائزة الاستراتيجية</w:t>
            </w:r>
          </w:p>
        </w:tc>
        <w:tc>
          <w:tcPr>
            <w:tcW w:type="pct" w:w="11%"/>
            <w:tcMar>
              <w:top w:type="dxa" w:w="50"/>
              <w:left w:type="dxa" w:w="90"/>
              <w:bottom w:type="dxa" w:w="50"/>
              <w:right w:type="dxa" w:w="90"/>
            </w:tcMar>
          </w:tcPr>
          <w:p>
            <w:pPr>
              <w:bidi/>
              <w:spacing w:line="276"/>
              <w:jc w:val="start"/>
            </w:pPr>
            <w:r>
              <w:rPr>
                <w:rFonts w:ascii="Arial" w:cs="Arial" w:hAnsi="Arial"/>
                <w:color w:val="000000"/>
                <w:sz w:val="19"/>
                <w:szCs w:val="19"/>
                <w:rtl/>
              </w:rPr>
              <w:t xml:space="preserve">يوم 3–7</w:t>
            </w:r>
          </w:p>
        </w:tc>
        <w:tc>
          <w:tcPr>
            <w:tcW w:type="pct" w:w="20%"/>
            <w:tcMar>
              <w:top w:type="dxa" w:w="50"/>
              <w:left w:type="dxa" w:w="90"/>
              <w:bottom w:type="dxa" w:w="50"/>
              <w:right w:type="dxa" w:w="90"/>
            </w:tcMar>
          </w:tcPr>
          <w:p>
            <w:pPr>
              <w:bidi/>
              <w:spacing w:line="276"/>
              <w:jc w:val="start"/>
            </w:pPr>
            <w:r>
              <w:rPr>
                <w:rFonts w:ascii="Arial" w:cs="Arial" w:hAnsi="Arial"/>
                <w:color w:val="000000"/>
                <w:sz w:val="19"/>
                <w:szCs w:val="19"/>
                <w:rtl/>
              </w:rPr>
              <w:t xml:space="preserve">30–50 (إيداع اختياري بفاتورة)</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جدول مكتوب + إيصال يكشف سكة الدفع</w:t>
            </w:r>
          </w:p>
        </w:tc>
        <w:tc>
          <w:tcPr>
            <w:tcW w:type="pct" w:w="22%"/>
            <w:tcMar>
              <w:top w:type="dxa" w:w="50"/>
              <w:left w:type="dxa" w:w="90"/>
              <w:bottom w:type="dxa" w:w="50"/>
              <w:right w:type="dxa" w:w="90"/>
            </w:tcMar>
          </w:tcPr>
          <w:p>
            <w:pPr>
              <w:bidi/>
              <w:spacing w:line="276"/>
              <w:jc w:val="start"/>
            </w:pPr>
            <w:r>
              <w:rPr>
                <w:rFonts w:ascii="Arial" w:cs="Arial" w:hAnsi="Arial"/>
                <w:color w:val="000000"/>
                <w:sz w:val="19"/>
                <w:szCs w:val="19"/>
                <w:rtl/>
              </w:rPr>
              <w:t xml:space="preserve">موافقة على النص والهوية والمبلغ</w:t>
            </w:r>
          </w:p>
        </w:tc>
      </w:tr>
      <w:tr>
        <w:trPr>
          <w:cantSplit/>
        </w:trPr>
        <w:tc>
          <w:tcPr>
            <w:tcW w:type="pct" w:w="1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W3 التعاقد المنبع</w:t>
            </w:r>
          </w:p>
        </w:tc>
        <w:tc>
          <w:tcPr>
            <w:tcW w:type="pct" w:w="11%"/>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أسبوع 2+</w:t>
            </w:r>
          </w:p>
        </w:tc>
        <w:tc>
          <w:tcPr>
            <w:tcW w:type="pct" w:w="2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75–125</w:t>
            </w:r>
          </w:p>
        </w:tc>
        <w:tc>
          <w:tcPr>
            <w:tcW w:type="pct" w:w="3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عقد منبع مباشر واحد يعمل فعليًا</w:t>
            </w:r>
          </w:p>
        </w:tc>
        <w:tc>
          <w:tcPr>
            <w:tcW w:type="pct" w:w="2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ميزانية الجملة وأولويات العائلات</w:t>
            </w:r>
          </w:p>
        </w:tc>
      </w:tr>
      <w:tr>
        <w:trPr>
          <w:cantSplit/>
        </w:trPr>
        <w:tc>
          <w:tcPr>
            <w:tcW w:type="pct" w:w="17%"/>
            <w:tcMar>
              <w:top w:type="dxa" w:w="50"/>
              <w:left w:type="dxa" w:w="90"/>
              <w:bottom w:type="dxa" w:w="50"/>
              <w:right w:type="dxa" w:w="90"/>
            </w:tcMar>
          </w:tcPr>
          <w:p>
            <w:pPr>
              <w:bidi/>
              <w:spacing w:line="276"/>
              <w:jc w:val="start"/>
            </w:pPr>
            <w:r>
              <w:rPr>
                <w:rFonts w:ascii="Arial" w:cs="Arial" w:hAnsi="Arial"/>
                <w:color w:val="000000"/>
                <w:sz w:val="19"/>
                <w:szCs w:val="19"/>
                <w:rtl/>
              </w:rPr>
              <w:t xml:space="preserve">إجمالي الافتتاح</w:t>
            </w:r>
          </w:p>
        </w:tc>
        <w:tc>
          <w:tcPr>
            <w:tcW w:type="pct" w:w="11%"/>
            <w:tcMar>
              <w:top w:type="dxa" w:w="50"/>
              <w:left w:type="dxa" w:w="90"/>
              <w:bottom w:type="dxa" w:w="50"/>
              <w:right w:type="dxa" w:w="90"/>
            </w:tcMar>
          </w:tcPr>
          <w:p>
            <w:pPr>
              <w:bidi/>
              <w:spacing w:line="276"/>
              <w:jc w:val="start"/>
            </w:pPr>
            <w:r>
              <w:rPr>
                <w:rFonts w:ascii="Arial" w:cs="Arial" w:hAnsi="Arial"/>
                <w:color w:val="000000"/>
                <w:sz w:val="19"/>
                <w:szCs w:val="19"/>
                <w:rtl/>
              </w:rPr>
              <w:t xml:space="preserve">أسبوعان</w:t>
            </w:r>
          </w:p>
        </w:tc>
        <w:tc>
          <w:tcPr>
            <w:tcW w:type="pct" w:w="20%"/>
            <w:tcMar>
              <w:top w:type="dxa" w:w="50"/>
              <w:left w:type="dxa" w:w="90"/>
              <w:bottom w:type="dxa" w:w="50"/>
              <w:right w:type="dxa" w:w="90"/>
            </w:tcMar>
          </w:tcPr>
          <w:p>
            <w:pPr>
              <w:bidi/>
              <w:spacing w:line="276"/>
              <w:jc w:val="start"/>
            </w:pPr>
            <w:r>
              <w:rPr>
                <w:rFonts w:ascii="Arial" w:cs="Arial" w:hAnsi="Arial"/>
                <w:color w:val="000000"/>
                <w:sz w:val="19"/>
                <w:szCs w:val="19"/>
                <w:rtl/>
              </w:rPr>
              <w:t xml:space="preserve">لا يتجاوز 300</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ثلاثة أطراف فعالة بأسعار لا تتجاوز تكلفة StackVault الموثقة</w:t>
            </w:r>
          </w:p>
        </w:tc>
        <w:tc>
          <w:tcPr>
            <w:tcW w:type="pct" w:w="22%"/>
            <w:tcMar>
              <w:top w:type="dxa" w:w="50"/>
              <w:left w:type="dxa" w:w="90"/>
              <w:bottom w:type="dxa" w:w="50"/>
              <w:right w:type="dxa" w:w="90"/>
            </w:tcMar>
          </w:tcPr>
          <w:p>
            <w:pPr>
              <w:bidi/>
              <w:spacing w:line="276"/>
              <w:jc w:val="start"/>
            </w:pPr>
            <w:r>
              <w:rPr>
                <w:rFonts w:ascii="Arial" w:cs="Arial" w:hAnsi="Arial"/>
                <w:color w:val="000000"/>
                <w:sz w:val="19"/>
                <w:szCs w:val="19"/>
                <w:rtl/>
              </w:rPr>
              <w:t xml:space="preserve">مراجعة الحملة وقرار التوسع</w:t>
            </w:r>
          </w:p>
        </w:tc>
      </w:tr>
    </w:tbl>
    <w:p>
      <w:pPr>
        <w:spacing w:after="140"/>
      </w:pPr>
    </w:p>
    <w:p>
      <w:pPr>
        <w:bidi/>
        <w:spacing w:after="140" w:line="312"/>
        <w:jc w:val="both"/>
      </w:pPr>
      <w:r>
        <w:rPr>
          <w:rFonts w:ascii="Arial" w:cs="Arial" w:hAnsi="Arial"/>
          <w:color w:val="000000"/>
          <w:sz w:val="24"/>
          <w:szCs w:val="24"/>
          <w:rtl/>
        </w:rPr>
        <w:t xml:space="preserve">تسلسل الموجات ليس اعتباطيًا بل هندسة أوراق ضغط: الموجات الأولى الرخيصة تجمع الذخيرة (جداول أسعار مكتوبة من أربعة أطراف) التي تدخل بها الموجة الثانية إلى الطرف الأهم، والموجة الثانية تنتج بدورها ورقة أخطر (سقف سعري من منصة الجملة نفسها) تدخل بها الموجة الثالثة إلى المصانع المنبع. أي قلب لهذا الترتيب — كأن يُستعجل فتح قناة سوكبيت قبل اكتمال الموجة الأولى — يفرّغ التدرج من معناه ويعيد الحملة إلى نمط الفتح الشامل الذي فككناه في القسم الثاني.</w:t>
      </w:r>
    </w:p>
    <w:p>
      <w:pPr>
        <w:pStyle w:val="Heading1"/>
        <w:bidi/>
        <w:spacing w:after="170" w:before="380" w:line="312"/>
        <w:jc w:val="start"/>
      </w:pPr>
      <w:bookmarkStart w:id="100016" w:name="_Toc100016"/>
      <w:r>
        <w:rPr>
          <w:rFonts w:ascii="Arial" w:cs="Arial" w:hAnsi="Arial"/>
          <w:b/>
          <w:bCs/>
          <w:color w:val="1A1A1A"/>
          <w:sz w:val="32"/>
          <w:szCs w:val="32"/>
          <w:rtl/>
        </w:rPr>
        <w:t xml:space="preserve">8. السيناريوهات المتوقعة والمدروسة</w:t>
      </w:r>
      <w:bookmarkEnd w:id="100016"/>
    </w:p>
    <w:p>
      <w:pPr>
        <w:bidi/>
        <w:spacing w:after="140" w:line="312"/>
        <w:jc w:val="both"/>
      </w:pPr>
      <w:r>
        <w:rPr>
          <w:rFonts w:ascii="Arial" w:cs="Arial" w:hAnsi="Arial"/>
          <w:color w:val="000000"/>
          <w:sz w:val="24"/>
          <w:szCs w:val="24"/>
          <w:rtl/>
        </w:rPr>
        <w:t xml:space="preserve">هذا القسم هو العمود الفقري التشغيلي للدليل. كل سيناريو مبني على أرضية سلوكية موثقة لا على احتمال نظري، ومجموع احتمالات سيناريوهات كل طرف يساوي مئة بالمئة (وهو فحص حسابي حي في ورقة المراجعة بالمصفوفة) — فما لم يُذكر من سيناريوهات هو السيناريو الصامت المتبقي. الاحتمالات تقديرات مهنية قابلة للمراجعة بعد كل تفاعل، وقيمتها الحقيقية في ترتيب جاهزيتك: السيناريو الأرجح يستحق نصًا جاهزًا مكتوبًا قبل فتح القناة، والسيناريوهات الذيلية تستحق قرارًا محددًا بسطر واحد. وفي كل الجداول: العمود الأول هو ما تتوقعه من الطرف، والثاني هو ردك المدروس، والثالث هو خط الانسحاب أو الحد الذي لا يُتجاوز.</w:t>
      </w:r>
    </w:p>
    <w:p>
      <w:pPr>
        <w:pStyle w:val="Heading2"/>
        <w:bidi/>
        <w:spacing w:after="120" w:before="260" w:line="312"/>
        <w:jc w:val="start"/>
      </w:pPr>
      <w:bookmarkStart w:id="100017" w:name="_Toc100017"/>
      <w:r>
        <w:rPr>
          <w:rFonts w:ascii="Arial" w:cs="Arial" w:hAnsi="Arial"/>
          <w:b/>
          <w:bCs/>
          <w:color w:val="8A6D2F"/>
          <w:sz w:val="27"/>
          <w:szCs w:val="27"/>
          <w:rtl/>
        </w:rPr>
        <w:t xml:space="preserve">سيناريوهات سوكبيت / منصة ProdSeller — الطرف الأهم (W2)</w:t>
      </w:r>
      <w:bookmarkEnd w:id="100017"/>
    </w:p>
    <w:p>
      <w:pPr>
        <w:bidi/>
        <w:spacing w:after="140" w:line="312"/>
        <w:jc w:val="both"/>
      </w:pPr>
      <w:r>
        <w:rPr>
          <w:rFonts w:ascii="Arial" w:cs="Arial" w:hAnsi="Arial"/>
          <w:color w:val="000000"/>
          <w:sz w:val="24"/>
          <w:szCs w:val="24"/>
          <w:rtl/>
        </w:rPr>
        <w:t xml:space="preserve">الأرضية السلوكية للاحتمالات: منصة ProdSeller تعلن رسميًا في قناتها أن لمستخدمي API أسعارًا خاصة، وهذا يجعل السيناريو الأرجح (45%) استجابة إيجابية معيارية بجدول أسعار API المعياري — فالباب الذي تطرقه باب معلن. ويليه سيناريو السؤال عن الهوية (25%) لأن طرفًا واحدًا يدير منصة كاملة يميل للانتقائية. وعرض المتجر الجاهز (15%) محتمل حقيقي لأن النموذج قائم وموثق في بنية المشغل نفسه. أما اشتراط الإيداع المسبق (10%) والبطء أو التجاهل (5%) فذيليّان لأن نمط إعلانات القناة يكشف إيقاع ردود نشط نهارًا بتوقيت أوروبا.</w:t>
      </w:r>
    </w:p>
    <w:p>
      <w:pPr>
        <w:keepNext/>
        <w:bidi/>
        <w:spacing w:after="80" w:before="180" w:line="312"/>
        <w:jc w:val="start"/>
      </w:pPr>
      <w:r>
        <w:rPr>
          <w:rFonts w:ascii="Arial" w:cs="Arial" w:hAnsi="Arial"/>
          <w:b/>
          <w:bCs/>
          <w:color w:val="1A1A1A"/>
          <w:sz w:val="21"/>
          <w:szCs w:val="21"/>
          <w:rtl/>
        </w:rPr>
        <w:t xml:space="preserve">جدول 5: سيناريوهات سوكبيت الخمسة</w:t>
      </w:r>
    </w:p>
    <w:tbl>
      <w:tblPr>
        <w:bidiVisual/>
        <w:tblW w:type="pct" w:w="100%"/>
        <w:tblBorders>
          <w:top w:val="single" w:color="C9A84C" w:sz="4"/>
          <w:left w:val="none"/>
          <w:bottom w:val="single" w:color="C9A84C" w:sz="4"/>
          <w:right w:val="none"/>
          <w:insideH w:val="single" w:color="DDD5C0" w:sz="2"/>
          <w:insideV w:val="single" w:color="DDD5C0" w:sz="2"/>
        </w:tblBorders>
      </w:tblPr>
      <w:tblGrid>
        <w:gridCol w:w="100"/>
        <w:gridCol w:w="100"/>
        <w:gridCol w:w="100"/>
        <w:gridCol w:w="100"/>
        <w:gridCol w:w="100"/>
      </w:tblGrid>
      <w:tr>
        <w:trPr>
          <w:cantSplit/>
          <w:tblHeader/>
        </w:trPr>
        <w:tc>
          <w:tcPr>
            <w:tcW w:type="pct" w:w="7%"/>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الرمز</w:t>
            </w:r>
          </w:p>
        </w:tc>
        <w:tc>
          <w:tcPr>
            <w:tcW w:type="pct" w:w="24%"/>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السيناريو المتوقع</w:t>
            </w:r>
          </w:p>
        </w:tc>
        <w:tc>
          <w:tcPr>
            <w:tcW w:type="pct" w:w="9%"/>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الاحتمال</w:t>
            </w:r>
          </w:p>
        </w:tc>
        <w:tc>
          <w:tcPr>
            <w:tcW w:type="pct" w:w="34%"/>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الرد المدروس</w:t>
            </w:r>
          </w:p>
        </w:tc>
        <w:tc>
          <w:tcPr>
            <w:tcW w:type="pct" w:w="26%"/>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خط الانسحاب / الحد</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S-A1</w:t>
            </w:r>
          </w:p>
        </w:tc>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يرحّب ويرسل قائمة أسعار API المعيارية (المعلن أن لمستخدمي API أسعارًا خاصة)</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45%</w:t>
            </w:r>
          </w:p>
        </w:tc>
        <w:tc>
          <w:tcPr>
            <w:tcW w:type="pct" w:w="34%"/>
            <w:tcMar>
              <w:top w:type="dxa" w:w="50"/>
              <w:left w:type="dxa" w:w="90"/>
              <w:bottom w:type="dxa" w:w="50"/>
              <w:right w:type="dxa" w:w="90"/>
            </w:tcMar>
          </w:tcPr>
          <w:p>
            <w:pPr>
              <w:bidi/>
              <w:spacing w:line="276"/>
              <w:jc w:val="start"/>
            </w:pPr>
            <w:r>
              <w:rPr>
                <w:rFonts w:ascii="Arial" w:cs="Arial" w:hAnsi="Arial"/>
                <w:color w:val="000000"/>
                <w:sz w:val="19"/>
                <w:szCs w:val="19"/>
                <w:rtl/>
              </w:rPr>
              <w:t xml:space="preserve">اطلب الجدول المكتوب كاملًا واربطه بالفجوات المعلنة في قناته هو: K12 بـ3.80 مقابل تكلفة SV الموثقة 4.62، وOffice جملة بـ0.17 مقابل 0.21، وGmail جملة بـ0.60 — مطالبة مباشرة بمطابقة المعلن</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لا تقبل سعرًا أعلى من تكلفة SV الموثقة للعائلة إلا بميزة موثقة مكتوبة</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S-A2</w:t>
            </w:r>
          </w:p>
        </w:tc>
        <w:tc>
          <w:tcPr>
            <w:tcW w:type="pct" w:w="2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يسأل: من أنت؟ كيف وصلت لنا؟</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25%</w:t>
            </w:r>
          </w:p>
        </w:tc>
        <w:tc>
          <w:tcPr>
            <w:tcW w:type="pct" w:w="3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غطاء جاهز صادق جزئيًا: عميل API حالي عبر بوت المنصة + متابع للقناة الرسمية — لا شيء آخر يُذكر مطلقًا</w:t>
            </w:r>
          </w:p>
        </w:tc>
        <w:tc>
          <w:tcPr>
            <w:tcW w:type="pct" w:w="2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خط أحمر: يُمنع ذكر المتجر أو البنية أو أي تحليل — كشفه يفسَّر كتطفل ويحرق الحملة</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S-A3</w:t>
            </w:r>
          </w:p>
        </w:tc>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يعرض متجرًا جاهزًا على منصته (نموذج قائم موثق بنيويًا)</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15%</w:t>
            </w:r>
          </w:p>
        </w:tc>
        <w:tc>
          <w:tcPr>
            <w:tcW w:type="pct" w:w="34%"/>
            <w:tcMar>
              <w:top w:type="dxa" w:w="50"/>
              <w:left w:type="dxa" w:w="90"/>
              <w:bottom w:type="dxa" w:w="50"/>
              <w:right w:type="dxa" w:w="90"/>
            </w:tcMar>
          </w:tcPr>
          <w:p>
            <w:pPr>
              <w:bidi/>
              <w:spacing w:line="276"/>
              <w:jc w:val="start"/>
            </w:pPr>
            <w:r>
              <w:rPr>
                <w:rFonts w:ascii="Arial" w:cs="Arial" w:hAnsi="Arial"/>
                <w:color w:val="000000"/>
                <w:sz w:val="19"/>
                <w:szCs w:val="19"/>
                <w:rtl/>
              </w:rPr>
              <w:t xml:space="preserve">قيّمه كخيار تسريع: التكلفة الشهرية، وملكية بيانات العملاء، وقابلية التصدير، والاستقلالية التقنية — لا رفض فوري ولا التزام</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لا يقيم باكندك على صندوقه إلا بتصدير كامل موثق وإمكانية خروج مكتوبة</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S-A4</w:t>
            </w:r>
          </w:p>
        </w:tc>
        <w:tc>
          <w:tcPr>
            <w:tcW w:type="pct" w:w="2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اشحن رصيدًا أولًا ثم نتفاوض</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10%</w:t>
            </w:r>
          </w:p>
        </w:tc>
        <w:tc>
          <w:tcPr>
            <w:tcW w:type="pct" w:w="3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بوابة G-7: إيداع صغير موثق (30–50) بشرط إيصال — الإيصال يكشف سكة الدفع وربما الاسم القانوني (يغلق G-1a قانونيًا)</w:t>
            </w:r>
          </w:p>
        </w:tc>
        <w:tc>
          <w:tcPr>
            <w:tcW w:type="pct" w:w="2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رفض أي إيصال = توقف عند الاختبار المصغر</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S-A5</w:t>
            </w:r>
          </w:p>
        </w:tc>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تجاهل أو بطء (مشغل فردي بإيقاع أوروبي موثق)</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5%</w:t>
            </w:r>
          </w:p>
        </w:tc>
        <w:tc>
          <w:tcPr>
            <w:tcW w:type="pct" w:w="34%"/>
            <w:tcMar>
              <w:top w:type="dxa" w:w="50"/>
              <w:left w:type="dxa" w:w="90"/>
              <w:bottom w:type="dxa" w:w="50"/>
              <w:right w:type="dxa" w:w="90"/>
            </w:tcMar>
          </w:tcPr>
          <w:p>
            <w:pPr>
              <w:bidi/>
              <w:spacing w:line="276"/>
              <w:jc w:val="start"/>
            </w:pPr>
            <w:r>
              <w:rPr>
                <w:rFonts w:ascii="Arial" w:cs="Arial" w:hAnsi="Arial"/>
                <w:color w:val="000000"/>
                <w:sz w:val="19"/>
                <w:szCs w:val="19"/>
                <w:rtl/>
              </w:rPr>
              <w:t xml:space="preserve">متابعة كل 72 ساعة على تيليجرام؛ واتساب الطوارئ فقط بعد أسبوع بلا رد على طلب قائم</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صمت أسبوعين = خفض الأولوية والاكتفاء بقنوات W1/W3</w:t>
            </w:r>
          </w:p>
        </w:tc>
      </w:tr>
    </w:tbl>
    <w:p>
      <w:pPr>
        <w:spacing w:after="140"/>
      </w:pPr>
    </w:p>
    <w:p>
      <w:pPr>
        <w:pStyle w:val="Heading2"/>
        <w:bidi/>
        <w:spacing w:after="120" w:before="260" w:line="312"/>
        <w:jc w:val="start"/>
      </w:pPr>
      <w:bookmarkStart w:id="100018" w:name="_Toc100018"/>
      <w:r>
        <w:rPr>
          <w:rFonts w:ascii="Arial" w:cs="Arial" w:hAnsi="Arial"/>
          <w:b/>
          <w:bCs/>
          <w:color w:val="8A6D2F"/>
          <w:sz w:val="27"/>
          <w:szCs w:val="27"/>
          <w:rtl/>
        </w:rPr>
        <w:t xml:space="preserve">سيناريوهات canboso / HitMeow (W1)</w:t>
      </w:r>
      <w:bookmarkEnd w:id="100018"/>
    </w:p>
    <w:p>
      <w:pPr>
        <w:bidi/>
        <w:spacing w:after="140" w:line="312"/>
        <w:jc w:val="both"/>
      </w:pPr>
      <w:r>
        <w:rPr>
          <w:rFonts w:ascii="Arial" w:cs="Arial" w:hAnsi="Arial"/>
          <w:color w:val="000000"/>
          <w:sz w:val="24"/>
          <w:szCs w:val="24"/>
          <w:rtl/>
        </w:rPr>
        <w:t xml:space="preserve">الأرضية السلوكية: منصة فيتنامية تجارية النزعة تبيع بالبوت الآلي وتقبل العملات المشفرة حصرًا، وسجلها الموثق يظهر بيع أكثر من أربعة آلاف حساب Plus VIP — أي أن حجم البيع الآلي هو الوضع الافتراضي لديها والتفاوض استثناء. لذلك السيناريو الأرجح (50%) هو توجيهك للبوت والشحن مباشرة. وسيناريو التحقق من الحساب (20%) مرجّح لأن نظامها يعرف حسابك أصلًا. وسيناريو عرض الوكالة أو المتجر الأبيض (10%) وارد لأنها منصة كاملة تملك النموذج، وهو عرض يُستقبل ويوثّق لمقارنته بعرض سوكبيت المحتمل في الموجة التالية — فهاتان المنصتان الشقيقتان تتنافسان على نموذج المتجر الجاهز نفسه.</w:t>
      </w:r>
    </w:p>
    <w:p>
      <w:pPr>
        <w:keepNext/>
        <w:bidi/>
        <w:spacing w:after="80" w:before="180" w:line="312"/>
        <w:jc w:val="start"/>
      </w:pPr>
      <w:r>
        <w:rPr>
          <w:rFonts w:ascii="Arial" w:cs="Arial" w:hAnsi="Arial"/>
          <w:b/>
          <w:bCs/>
          <w:color w:val="1A1A1A"/>
          <w:sz w:val="21"/>
          <w:szCs w:val="21"/>
          <w:rtl/>
        </w:rPr>
        <w:t xml:space="preserve">جدول 6: سيناريوهات canboso/HitMeow الخمسة</w:t>
      </w:r>
    </w:p>
    <w:tbl>
      <w:tblPr>
        <w:bidiVisual/>
        <w:tblW w:type="pct" w:w="100%"/>
        <w:tblBorders>
          <w:top w:val="single" w:color="C9A84C" w:sz="4"/>
          <w:left w:val="none"/>
          <w:bottom w:val="single" w:color="C9A84C" w:sz="4"/>
          <w:right w:val="none"/>
          <w:insideH w:val="single" w:color="DDD5C0" w:sz="2"/>
          <w:insideV w:val="single" w:color="DDD5C0" w:sz="2"/>
        </w:tblBorders>
      </w:tblPr>
      <w:tblGrid>
        <w:gridCol w:w="100"/>
        <w:gridCol w:w="100"/>
        <w:gridCol w:w="100"/>
        <w:gridCol w:w="100"/>
        <w:gridCol w:w="100"/>
      </w:tblGrid>
      <w:tr>
        <w:trPr>
          <w:cantSplit/>
          <w:tblHeader/>
        </w:trPr>
        <w:tc>
          <w:tcPr>
            <w:tcW w:type="pct" w:w="7%"/>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الرمز</w:t>
            </w:r>
          </w:p>
        </w:tc>
        <w:tc>
          <w:tcPr>
            <w:tcW w:type="pct" w:w="24%"/>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السيناريو المتوقع</w:t>
            </w:r>
          </w:p>
        </w:tc>
        <w:tc>
          <w:tcPr>
            <w:tcW w:type="pct" w:w="9%"/>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الاحتمال</w:t>
            </w:r>
          </w:p>
        </w:tc>
        <w:tc>
          <w:tcPr>
            <w:tcW w:type="pct" w:w="34%"/>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الرد المدروس</w:t>
            </w:r>
          </w:p>
        </w:tc>
        <w:tc>
          <w:tcPr>
            <w:tcW w:type="pct" w:w="26%"/>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خط الانسحاب / الحد</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S-B1</w:t>
            </w:r>
          </w:p>
        </w:tc>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الأسعار كما بالبوت — اشحن عبر Binance Pay ثم اشترِ</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50%</w:t>
            </w:r>
          </w:p>
        </w:tc>
        <w:tc>
          <w:tcPr>
            <w:tcW w:type="pct" w:w="34%"/>
            <w:tcMar>
              <w:top w:type="dxa" w:w="50"/>
              <w:left w:type="dxa" w:w="90"/>
              <w:bottom w:type="dxa" w:w="50"/>
              <w:right w:type="dxa" w:w="90"/>
            </w:tcMar>
          </w:tcPr>
          <w:p>
            <w:pPr>
              <w:bidi/>
              <w:spacing w:line="276"/>
              <w:jc w:val="start"/>
            </w:pPr>
            <w:r>
              <w:rPr>
                <w:rFonts w:ascii="Arial" w:cs="Arial" w:hAnsi="Arial"/>
                <w:color w:val="000000"/>
                <w:sz w:val="19"/>
                <w:szCs w:val="19"/>
                <w:rtl/>
              </w:rPr>
              <w:t xml:space="preserve">حسابك قائم أصلًا عبر المفتاح: اطلب جدول تدرجات الكمية قبل أي شحن، مستشهدًا بنموذج التدرجات المنشور لدى مورد آخر بالسوق (3–4 شرائح) كمعيار سوقي معتاد</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لا تدرجات إطلاقًا = تعامل تجزئة مقصور على عائلة Deepseek (الأرخص موثقًا 1.6–1.7×)</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S-B2</w:t>
            </w:r>
          </w:p>
        </w:tc>
        <w:tc>
          <w:tcPr>
            <w:tcW w:type="pct" w:w="2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طلب تحقق من هوية تيليجرام</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20%</w:t>
            </w:r>
          </w:p>
        </w:tc>
        <w:tc>
          <w:tcPr>
            <w:tcW w:type="pct" w:w="3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استخدم الحساب ذاته المرتبط بالمفتاح أصلًا — الاتساق موثق لديهم عبر نقطة الوصول إلى بيانات الحساب</w:t>
            </w:r>
          </w:p>
        </w:tc>
        <w:tc>
          <w:tcPr>
            <w:tcW w:type="pct" w:w="2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طلب KYC رسمي (هوية/جواز) = انسحاب فوري بسياسة مشتريات ثابتة</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S-B3</w:t>
            </w:r>
          </w:p>
        </w:tc>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سعر حالي أعلى من لقطة API بتاريخ 02/10</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15%</w:t>
            </w:r>
          </w:p>
        </w:tc>
        <w:tc>
          <w:tcPr>
            <w:tcW w:type="pct" w:w="34%"/>
            <w:tcMar>
              <w:top w:type="dxa" w:w="50"/>
              <w:left w:type="dxa" w:w="90"/>
              <w:bottom w:type="dxa" w:w="50"/>
              <w:right w:type="dxa" w:w="90"/>
            </w:tcMar>
          </w:tcPr>
          <w:p>
            <w:pPr>
              <w:bidi/>
              <w:spacing w:line="276"/>
              <w:jc w:val="start"/>
            </w:pPr>
            <w:r>
              <w:rPr>
                <w:rFonts w:ascii="Arial" w:cs="Arial" w:hAnsi="Arial"/>
                <w:color w:val="000000"/>
                <w:sz w:val="19"/>
                <w:szCs w:val="19"/>
                <w:rtl/>
              </w:rPr>
              <w:t xml:space="preserve">اقتبس رمز المنتج وسعره المؤرخ من واجهتهم هم — سلوك مشترٍ محترف مشروع — واطلب قائمة الرسوم الحالية</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فروق متكررة فوق 20% بلا إشعار = خطر تشغيلي يوثق ويرفع وزن المنصة الأم</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S-B4</w:t>
            </w:r>
          </w:p>
        </w:tc>
        <w:tc>
          <w:tcPr>
            <w:tcW w:type="pct" w:w="2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يعرضون وكالة أو متجرًا أبيض</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10%</w:t>
            </w:r>
          </w:p>
        </w:tc>
        <w:tc>
          <w:tcPr>
            <w:tcW w:type="pct" w:w="3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استقبل ووثق بتفاصيل كاملة: العمولات والتملك والخروج — ورقة مقارنة مباشرة ضد عرض المتجر الجاهز من المنصة الشقيقة في W2</w:t>
            </w:r>
          </w:p>
        </w:tc>
        <w:tc>
          <w:tcPr>
            <w:tcW w:type="pct" w:w="2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لا عقود حصرية مع أي منصة في مرحلة الافتتاح</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S-B5</w:t>
            </w:r>
          </w:p>
        </w:tc>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لا سياسة استبدال واضحة</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5%</w:t>
            </w:r>
          </w:p>
        </w:tc>
        <w:tc>
          <w:tcPr>
            <w:tcW w:type="pct" w:w="34%"/>
            <w:tcMar>
              <w:top w:type="dxa" w:w="50"/>
              <w:left w:type="dxa" w:w="90"/>
              <w:bottom w:type="dxa" w:w="50"/>
              <w:right w:type="dxa" w:w="90"/>
            </w:tcMar>
          </w:tcPr>
          <w:p>
            <w:pPr>
              <w:bidi/>
              <w:spacing w:line="276"/>
              <w:jc w:val="start"/>
            </w:pPr>
            <w:r>
              <w:rPr>
                <w:rFonts w:ascii="Arial" w:cs="Arial" w:hAnsi="Arial"/>
                <w:color w:val="000000"/>
                <w:sz w:val="19"/>
                <w:szCs w:val="19"/>
                <w:rtl/>
              </w:rPr>
              <w:t xml:space="preserve">اشترط سياسة مكتوبة قبل أول إيداع (نافذة استبدال بالساعات لكل عائلة)</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صفر ضمان = انسحاب من العائلات عالية النفوق (Plus VIP تحديدًا)</w:t>
            </w:r>
          </w:p>
        </w:tc>
      </w:tr>
    </w:tbl>
    <w:p>
      <w:pPr>
        <w:spacing w:after="140"/>
      </w:pPr>
    </w:p>
    <w:p>
      <w:pPr>
        <w:pStyle w:val="Heading2"/>
        <w:bidi/>
        <w:spacing w:after="120" w:before="260" w:line="312"/>
        <w:jc w:val="start"/>
      </w:pPr>
      <w:bookmarkStart w:id="100019" w:name="_Toc100019"/>
      <w:r>
        <w:rPr>
          <w:rFonts w:ascii="Arial" w:cs="Arial" w:hAnsi="Arial"/>
          <w:b/>
          <w:bCs/>
          <w:color w:val="8A6D2F"/>
          <w:sz w:val="27"/>
          <w:szCs w:val="27"/>
          <w:rtl/>
        </w:rPr>
        <w:t xml:space="preserve">سيناريوهات بوابة المنبع teamsoclo (W3)</w:t>
      </w:r>
      <w:bookmarkEnd w:id="100019"/>
    </w:p>
    <w:p>
      <w:pPr>
        <w:bidi/>
        <w:spacing w:after="140" w:line="312"/>
        <w:jc w:val="both"/>
      </w:pPr>
      <w:r>
        <w:rPr>
          <w:rFonts w:ascii="Arial" w:cs="Arial" w:hAnsi="Arial"/>
          <w:color w:val="000000"/>
          <w:sz w:val="24"/>
          <w:szCs w:val="24"/>
          <w:rtl/>
        </w:rPr>
        <w:t xml:space="preserve">الأرضية السلوكية: بوابة فيتنامية موجهة صراحة للمتاجر والموزعين (تخاطب قناتها فئة «المتاجر» بلغة البلد)، تعلن حالة خوادمها ودفعات الرصيد علنًا — أي أنها مؤسسة بيع جملة حقيقية لا متجر أفراد. أهمية هذا الطرف استراتيجية لا سعرية فحسب: التعاقد المباشر معه يقطع هامش الوساطة المقدر بخمسة عشر إلى خمسة وعشرين بالمئة على أغلى عائلات الكتالوج (حصص الذكاء الاصطناعي، ثلاثة وعشرون منتجًا). لكن سيناريو المفارقة (S-C3) وارد ويجب أخذه بجدية كاملة: إن كانت أسعار البوابة المباشرة أعلى من أسعار الوسيط المعاد بيعها، فهذا يعني أن الوسيط يملك ترتيبًا سعريًا خاصًا، والقرار الصحيح حينها هو البقاء مع الوسيط وتوثيق المفارقة لا مجاهدتها.</w:t>
      </w:r>
    </w:p>
    <w:p>
      <w:pPr>
        <w:keepNext/>
        <w:bidi/>
        <w:spacing w:after="80" w:before="180" w:line="312"/>
        <w:jc w:val="start"/>
      </w:pPr>
      <w:r>
        <w:rPr>
          <w:rFonts w:ascii="Arial" w:cs="Arial" w:hAnsi="Arial"/>
          <w:b/>
          <w:bCs/>
          <w:color w:val="1A1A1A"/>
          <w:sz w:val="21"/>
          <w:szCs w:val="21"/>
          <w:rtl/>
        </w:rPr>
        <w:t xml:space="preserve">جدول 7: سيناريوهات teamsoclo الأربعة</w:t>
      </w:r>
    </w:p>
    <w:tbl>
      <w:tblPr>
        <w:bidiVisual/>
        <w:tblW w:type="pct" w:w="100%"/>
        <w:tblBorders>
          <w:top w:val="single" w:color="C9A84C" w:sz="4"/>
          <w:left w:val="none"/>
          <w:bottom w:val="single" w:color="C9A84C" w:sz="4"/>
          <w:right w:val="none"/>
          <w:insideH w:val="single" w:color="DDD5C0" w:sz="2"/>
          <w:insideV w:val="single" w:color="DDD5C0" w:sz="2"/>
        </w:tblBorders>
      </w:tblPr>
      <w:tblGrid>
        <w:gridCol w:w="100"/>
        <w:gridCol w:w="100"/>
        <w:gridCol w:w="100"/>
        <w:gridCol w:w="100"/>
        <w:gridCol w:w="100"/>
      </w:tblGrid>
      <w:tr>
        <w:trPr>
          <w:cantSplit/>
          <w:tblHeader/>
        </w:trPr>
        <w:tc>
          <w:tcPr>
            <w:tcW w:type="pct" w:w="7%"/>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الرمز</w:t>
            </w:r>
          </w:p>
        </w:tc>
        <w:tc>
          <w:tcPr>
            <w:tcW w:type="pct" w:w="24%"/>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السيناريو المتوقع</w:t>
            </w:r>
          </w:p>
        </w:tc>
        <w:tc>
          <w:tcPr>
            <w:tcW w:type="pct" w:w="9%"/>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الاحتمال</w:t>
            </w:r>
          </w:p>
        </w:tc>
        <w:tc>
          <w:tcPr>
            <w:tcW w:type="pct" w:w="34%"/>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الرد المدروس</w:t>
            </w:r>
          </w:p>
        </w:tc>
        <w:tc>
          <w:tcPr>
            <w:tcW w:type="pct" w:w="26%"/>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خط الانسحاب / الحد</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S-C1</w:t>
            </w:r>
          </w:p>
        </w:tc>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القناة توجه للبوابة وبرنامج الموزعين المعلن</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40%</w:t>
            </w:r>
          </w:p>
        </w:tc>
        <w:tc>
          <w:tcPr>
            <w:tcW w:type="pct" w:w="34%"/>
            <w:tcMar>
              <w:top w:type="dxa" w:w="50"/>
              <w:left w:type="dxa" w:w="90"/>
              <w:bottom w:type="dxa" w:w="50"/>
              <w:right w:type="dxa" w:w="90"/>
            </w:tcMar>
          </w:tcPr>
          <w:p>
            <w:pPr>
              <w:bidi/>
              <w:spacing w:line="276"/>
              <w:jc w:val="start"/>
            </w:pPr>
            <w:r>
              <w:rPr>
                <w:rFonts w:ascii="Arial" w:cs="Arial" w:hAnsi="Arial"/>
                <w:color w:val="000000"/>
                <w:sz w:val="19"/>
                <w:szCs w:val="19"/>
                <w:rtl/>
              </w:rPr>
              <w:t xml:space="preserve">قدّم عبر أدمن القناة بإنجليزية مبسطة (نص T8): مشغل متجر يطلب حساب موزع مباشر مع قائمة الأسعار الحالية للموديلات الخمسة عشر</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لا مسار تطبيق واضح خلال أسبوع = تأجيل وبقاء الوسيط للعائلة</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S-C2</w:t>
            </w:r>
          </w:p>
        </w:tc>
        <w:tc>
          <w:tcPr>
            <w:tcW w:type="pct" w:w="2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اشتراط رصيد مسبق كبير لتفعيل الموزع</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30%</w:t>
            </w:r>
          </w:p>
        </w:tc>
        <w:tc>
          <w:tcPr>
            <w:tcW w:type="pct" w:w="3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ابدأ بأصغر رصيد مقبول واختبر موديلين فقط من عائلة Codex الأصغر حجمًا قبل أي التزام</w:t>
            </w:r>
          </w:p>
        </w:tc>
        <w:tc>
          <w:tcPr>
            <w:tcW w:type="pct" w:w="2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سقف أول: 50–100 دولارًا لاختبار البوابة ضمن ميزانية W3</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S-C3</w:t>
            </w:r>
          </w:p>
        </w:tc>
        <w:tc>
          <w:tcPr>
            <w:tcW w:type="pct" w:w="24%"/>
            <w:tcMar>
              <w:top w:type="dxa" w:w="50"/>
              <w:left w:type="dxa" w:w="90"/>
              <w:bottom w:type="dxa" w:w="50"/>
              <w:right w:type="dxa" w:w="90"/>
            </w:tcMar>
          </w:tcPr>
          <w:p>
            <w:pPr>
              <w:bidi/>
              <w:spacing w:line="276"/>
              <w:jc w:val="start"/>
            </w:pPr>
            <w:r>
              <w:rPr>
                <w:rFonts w:ascii="Arial" w:cs="Arial" w:hAnsi="Arial"/>
                <w:color w:val="000000"/>
                <w:sz w:val="19"/>
                <w:szCs w:val="19"/>
                <w:rtl/>
              </w:rPr>
              <w:t xml:space="preserve">سعر البوابة المباشر أعلى من سعر الوسيط المعاد بيعه</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15%</w:t>
            </w:r>
          </w:p>
        </w:tc>
        <w:tc>
          <w:tcPr>
            <w:tcW w:type="pct" w:w="34%"/>
            <w:tcMar>
              <w:top w:type="dxa" w:w="50"/>
              <w:left w:type="dxa" w:w="90"/>
              <w:bottom w:type="dxa" w:w="50"/>
              <w:right w:type="dxa" w:w="90"/>
            </w:tcMar>
          </w:tcPr>
          <w:p>
            <w:pPr>
              <w:bidi/>
              <w:spacing w:line="276"/>
              <w:jc w:val="start"/>
            </w:pPr>
            <w:r>
              <w:rPr>
                <w:rFonts w:ascii="Arial" w:cs="Arial" w:hAnsi="Arial"/>
                <w:color w:val="000000"/>
                <w:sz w:val="19"/>
                <w:szCs w:val="19"/>
                <w:rtl/>
              </w:rPr>
              <w:t xml:space="preserve">تحقق من تكافؤ الموديلات حرفيًا (الموديلات الأربعة الموثقة) — إن تأكد التفوق فالوسيط يملك ترتيبًا خاصًا: وثق واحتفظ به</w:t>
            </w:r>
          </w:p>
        </w:tc>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تأكيد التفوق = بقاء على الوسيط وإغلاق ملف البوابة مؤقتًا</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S-C4</w:t>
            </w:r>
          </w:p>
        </w:tc>
        <w:tc>
          <w:tcPr>
            <w:tcW w:type="pct" w:w="2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أعطال خوادم متكررة (موثقة بإعلانات قناتهم نفسها)</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15%</w:t>
            </w:r>
          </w:p>
        </w:tc>
        <w:tc>
          <w:tcPr>
            <w:tcW w:type="pct" w:w="3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اشترط سياسة استبدال أو تمديد مكتوبة قبل أول رصيد — إعلانات الأعطال لديهم تسبق شكوى العملاء فتصلح نظام إنذار مبكر مجاني</w:t>
            </w:r>
          </w:p>
        </w:tc>
        <w:tc>
          <w:tcPr>
            <w:tcW w:type="pct" w:w="2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رفض أي سياسة مع تاريخ أعطال موثق = توريد احتياطي فقط</w:t>
            </w:r>
          </w:p>
        </w:tc>
      </w:tr>
    </w:tbl>
    <w:p>
      <w:pPr>
        <w:spacing w:after="140"/>
      </w:pPr>
    </w:p>
    <w:p>
      <w:pPr>
        <w:pStyle w:val="Heading2"/>
        <w:bidi/>
        <w:spacing w:after="120" w:before="260" w:line="312"/>
        <w:jc w:val="start"/>
      </w:pPr>
      <w:bookmarkStart w:id="100020" w:name="_Toc100020"/>
      <w:r>
        <w:rPr>
          <w:rFonts w:ascii="Arial" w:cs="Arial" w:hAnsi="Arial"/>
          <w:b/>
          <w:bCs/>
          <w:color w:val="8A6D2F"/>
          <w:sz w:val="27"/>
          <w:szCs w:val="27"/>
          <w:rtl/>
        </w:rPr>
        <w:t xml:space="preserve">سيناريوهات DigitalCore وRichAIStore وAIVerseX وAISUBSID</w:t>
      </w:r>
      <w:bookmarkEnd w:id="100020"/>
    </w:p>
    <w:p>
      <w:pPr>
        <w:bidi/>
        <w:spacing w:after="140" w:line="312"/>
        <w:jc w:val="both"/>
      </w:pPr>
      <w:r>
        <w:rPr>
          <w:rFonts w:ascii="Arial" w:cs="Arial" w:hAnsi="Arial"/>
          <w:color w:val="000000"/>
          <w:sz w:val="24"/>
          <w:szCs w:val="24"/>
          <w:rtl/>
        </w:rPr>
        <w:t xml:space="preserve">هذه الأطراف الأربعة تشترك في خاصية واحدة ترفع احتمالات السيناريوهات التعاونية لديها: كلها بنى تجارية منظمة بواجهات موثقة (توثيق تقني كامل للمورد الأول، ونظام تذاكر معتمد للثاني، وقناة إعلانات نشطة بالغة الضخامة للثالث). سيناريوهاتها مجمعة في الجدول التالي، وأخطر ما فيها ليس أي سيناريو منفرد بل نمط السؤال عن قناة البيع لديك (S-E3) الذي يتكرر لدى لوحات الوكالة تحديدًا — والجواب الموحد الجاهز له حقيقي ولا يحتاج تلفيقًا: متجر آلي بتكامل الواجهات البرمجية، وهي إجابة تتطابق مع المنتج الذي يسوّقه هؤلاء الأطراف أنفسهم فتتحول من سؤال تحقق إلى نقطة تعاطف مؤسسية. أما AISUBSID فقد أُضيف لها سيناريو الهجرة (متصل بالفجوة G-6) لأن إعلان هجرة النطاقات بتاريخ 02/10 قد يعني إعادة بناء البنية كلها، والفحص الحي للبوت هو أول إجراء في موجة التجهيز قبل أي شيء آخر.</w:t>
      </w:r>
    </w:p>
    <w:p>
      <w:pPr>
        <w:keepNext/>
        <w:bidi/>
        <w:spacing w:after="80" w:before="180" w:line="312"/>
        <w:jc w:val="start"/>
      </w:pPr>
      <w:r>
        <w:rPr>
          <w:rFonts w:ascii="Arial" w:cs="Arial" w:hAnsi="Arial"/>
          <w:b/>
          <w:bCs/>
          <w:color w:val="1A1A1A"/>
          <w:sz w:val="21"/>
          <w:szCs w:val="21"/>
          <w:rtl/>
        </w:rPr>
        <w:t xml:space="preserve">جدول 8: سيناريوهات الأطراف الأربعة المتبقية</w:t>
      </w:r>
    </w:p>
    <w:tbl>
      <w:tblPr>
        <w:bidiVisual/>
        <w:tblW w:type="pct" w:w="100%"/>
        <w:tblBorders>
          <w:top w:val="single" w:color="C9A84C" w:sz="4"/>
          <w:left w:val="none"/>
          <w:bottom w:val="single" w:color="C9A84C" w:sz="4"/>
          <w:right w:val="none"/>
          <w:insideH w:val="single" w:color="DDD5C0" w:sz="2"/>
          <w:insideV w:val="single" w:color="DDD5C0" w:sz="2"/>
        </w:tblBorders>
      </w:tblPr>
      <w:tblGrid>
        <w:gridCol w:w="100"/>
        <w:gridCol w:w="100"/>
        <w:gridCol w:w="100"/>
        <w:gridCol w:w="100"/>
        <w:gridCol w:w="100"/>
      </w:tblGrid>
      <w:tr>
        <w:trPr>
          <w:cantSplit/>
          <w:tblHeader/>
        </w:trPr>
        <w:tc>
          <w:tcPr>
            <w:tcW w:type="pct" w:w="7%"/>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الرمز</w:t>
            </w:r>
          </w:p>
        </w:tc>
        <w:tc>
          <w:tcPr>
            <w:tcW w:type="pct" w:w="13%"/>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الطرف</w:t>
            </w:r>
          </w:p>
        </w:tc>
        <w:tc>
          <w:tcPr>
            <w:tcW w:type="pct" w:w="27%"/>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السيناريو المتوقع</w:t>
            </w:r>
          </w:p>
        </w:tc>
        <w:tc>
          <w:tcPr>
            <w:tcW w:type="pct" w:w="9%"/>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الاحتمال</w:t>
            </w:r>
          </w:p>
        </w:tc>
        <w:tc>
          <w:tcPr>
            <w:tcW w:type="pct" w:w="44%"/>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الرد المدروس</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S-D1</w:t>
            </w:r>
          </w:p>
        </w:tc>
        <w:tc>
          <w:tcPr>
            <w:tcW w:type="pct" w:w="13%"/>
            <w:tcMar>
              <w:top w:type="dxa" w:w="50"/>
              <w:left w:type="dxa" w:w="90"/>
              <w:bottom w:type="dxa" w:w="50"/>
              <w:right w:type="dxa" w:w="90"/>
            </w:tcMar>
          </w:tcPr>
          <w:p>
            <w:pPr>
              <w:bidi/>
              <w:spacing w:line="276"/>
              <w:jc w:val="start"/>
            </w:pPr>
            <w:r>
              <w:rPr>
                <w:rFonts w:ascii="Arial" w:cs="Arial" w:hAnsi="Arial"/>
                <w:color w:val="000000"/>
                <w:sz w:val="19"/>
                <w:szCs w:val="19"/>
                <w:rtl/>
              </w:rPr>
              <w:t xml:space="preserve">DigitalCore</w:t>
            </w:r>
          </w:p>
        </w:tc>
        <w:tc>
          <w:tcPr>
            <w:tcW w:type="pct" w:w="27%"/>
            <w:tcMar>
              <w:top w:type="dxa" w:w="50"/>
              <w:left w:type="dxa" w:w="90"/>
              <w:bottom w:type="dxa" w:w="50"/>
              <w:right w:type="dxa" w:w="90"/>
            </w:tcMar>
          </w:tcPr>
          <w:p>
            <w:pPr>
              <w:bidi/>
              <w:spacing w:line="276"/>
              <w:jc w:val="start"/>
            </w:pPr>
            <w:r>
              <w:rPr>
                <w:rFonts w:ascii="Arial" w:cs="Arial" w:hAnsi="Arial"/>
                <w:color w:val="000000"/>
                <w:sz w:val="19"/>
                <w:szCs w:val="19"/>
                <w:rtl/>
              </w:rPr>
              <w:t xml:space="preserve">يعملون بالجدول المنشور (3–4 شرائح تدرج)</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50%</w:t>
            </w:r>
          </w:p>
        </w:tc>
        <w:tc>
          <w:tcPr>
            <w:tcW w:type="pct" w:w="44%"/>
            <w:tcMar>
              <w:top w:type="dxa" w:w="50"/>
              <w:left w:type="dxa" w:w="90"/>
              <w:bottom w:type="dxa" w:w="50"/>
              <w:right w:type="dxa" w:w="90"/>
            </w:tcMar>
          </w:tcPr>
          <w:p>
            <w:pPr>
              <w:bidi/>
              <w:spacing w:line="276"/>
              <w:jc w:val="start"/>
            </w:pPr>
            <w:r>
              <w:rPr>
                <w:rFonts w:ascii="Arial" w:cs="Arial" w:hAnsi="Arial"/>
                <w:color w:val="000000"/>
                <w:sz w:val="19"/>
                <w:szCs w:val="19"/>
                <w:rtl/>
              </w:rPr>
              <w:t xml:space="preserve">اطلب شريحة إضافية عند 100+ وحدة مستشهدًا بشرائحهم المنشورة نفسها — طلب طبيعي داخل منطق تسعيرهم المعلن</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S-D2</w:t>
            </w:r>
          </w:p>
        </w:tc>
        <w:tc>
          <w:tcPr>
            <w:tcW w:type="pct" w:w="1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DigitalCore</w:t>
            </w:r>
          </w:p>
        </w:tc>
        <w:tc>
          <w:tcPr>
            <w:tcW w:type="pct" w:w="2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الأسعار نهائية بلا تفاوض</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20%</w:t>
            </w:r>
          </w:p>
        </w:tc>
        <w:tc>
          <w:tcPr>
            <w:tcW w:type="pct" w:w="4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اختبار شراء موثق ثم إعادة فتح ببيانات نمو فعلية — التفاوض بالسلوك لا بالكلام</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S-D3</w:t>
            </w:r>
          </w:p>
        </w:tc>
        <w:tc>
          <w:tcPr>
            <w:tcW w:type="pct" w:w="13%"/>
            <w:tcMar>
              <w:top w:type="dxa" w:w="50"/>
              <w:left w:type="dxa" w:w="90"/>
              <w:bottom w:type="dxa" w:w="50"/>
              <w:right w:type="dxa" w:w="90"/>
            </w:tcMar>
          </w:tcPr>
          <w:p>
            <w:pPr>
              <w:bidi/>
              <w:spacing w:line="276"/>
              <w:jc w:val="start"/>
            </w:pPr>
            <w:r>
              <w:rPr>
                <w:rFonts w:ascii="Arial" w:cs="Arial" w:hAnsi="Arial"/>
                <w:color w:val="000000"/>
                <w:sz w:val="19"/>
                <w:szCs w:val="19"/>
                <w:rtl/>
              </w:rPr>
              <w:t xml:space="preserve">DigitalCore</w:t>
            </w:r>
          </w:p>
        </w:tc>
        <w:tc>
          <w:tcPr>
            <w:tcW w:type="pct" w:w="27%"/>
            <w:tcMar>
              <w:top w:type="dxa" w:w="50"/>
              <w:left w:type="dxa" w:w="90"/>
              <w:bottom w:type="dxa" w:w="50"/>
              <w:right w:type="dxa" w:w="90"/>
            </w:tcMar>
          </w:tcPr>
          <w:p>
            <w:pPr>
              <w:bidi/>
              <w:spacing w:line="276"/>
              <w:jc w:val="start"/>
            </w:pPr>
            <w:r>
              <w:rPr>
                <w:rFonts w:ascii="Arial" w:cs="Arial" w:hAnsi="Arial"/>
                <w:color w:val="000000"/>
                <w:sz w:val="19"/>
                <w:szCs w:val="19"/>
                <w:rtl/>
              </w:rPr>
              <w:t xml:space="preserve">تفاعل تقني احترافي (توثيق كامل)</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30%</w:t>
            </w:r>
          </w:p>
        </w:tc>
        <w:tc>
          <w:tcPr>
            <w:tcW w:type="pct" w:w="44%"/>
            <w:tcMar>
              <w:top w:type="dxa" w:w="50"/>
              <w:left w:type="dxa" w:w="90"/>
              <w:bottom w:type="dxa" w:w="50"/>
              <w:right w:type="dxa" w:w="90"/>
            </w:tcMar>
          </w:tcPr>
          <w:p>
            <w:pPr>
              <w:bidi/>
              <w:spacing w:line="276"/>
              <w:jc w:val="start"/>
            </w:pPr>
            <w:r>
              <w:rPr>
                <w:rFonts w:ascii="Arial" w:cs="Arial" w:hAnsi="Arial"/>
                <w:color w:val="000000"/>
                <w:sz w:val="19"/>
                <w:szCs w:val="19"/>
                <w:rtl/>
              </w:rPr>
              <w:t xml:space="preserve">استخدم مفردات وثائقهم بدقة (priceFrom وtiers وendpoints) — يرفع جودة الرد وسرعته</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S-E1</w:t>
            </w:r>
          </w:p>
        </w:tc>
        <w:tc>
          <w:tcPr>
            <w:tcW w:type="pct" w:w="1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RichAIStore</w:t>
            </w:r>
          </w:p>
        </w:tc>
        <w:tc>
          <w:tcPr>
            <w:tcW w:type="pct" w:w="2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سعر الوكيل الحالي هو السعر</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40%</w:t>
            </w:r>
          </w:p>
        </w:tc>
        <w:tc>
          <w:tcPr>
            <w:tcW w:type="pct" w:w="4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تذكرة API موثقة: تحسين سعر الوحدة عند 100/500 لعائلة CDK مع مقارنة سعر التجزئة الموثق من واجهتهم</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S-E2</w:t>
            </w:r>
          </w:p>
        </w:tc>
        <w:tc>
          <w:tcPr>
            <w:tcW w:type="pct" w:w="13%"/>
            <w:tcMar>
              <w:top w:type="dxa" w:w="50"/>
              <w:left w:type="dxa" w:w="90"/>
              <w:bottom w:type="dxa" w:w="50"/>
              <w:right w:type="dxa" w:w="90"/>
            </w:tcMar>
          </w:tcPr>
          <w:p>
            <w:pPr>
              <w:bidi/>
              <w:spacing w:line="276"/>
              <w:jc w:val="start"/>
            </w:pPr>
            <w:r>
              <w:rPr>
                <w:rFonts w:ascii="Arial" w:cs="Arial" w:hAnsi="Arial"/>
                <w:color w:val="000000"/>
                <w:sz w:val="19"/>
                <w:szCs w:val="19"/>
                <w:rtl/>
              </w:rPr>
              <w:t xml:space="preserve">RichAIStore</w:t>
            </w:r>
          </w:p>
        </w:tc>
        <w:tc>
          <w:tcPr>
            <w:tcW w:type="pct" w:w="27%"/>
            <w:tcMar>
              <w:top w:type="dxa" w:w="50"/>
              <w:left w:type="dxa" w:w="90"/>
              <w:bottom w:type="dxa" w:w="50"/>
              <w:right w:type="dxa" w:w="90"/>
            </w:tcMar>
          </w:tcPr>
          <w:p>
            <w:pPr>
              <w:bidi/>
              <w:spacing w:line="276"/>
              <w:jc w:val="start"/>
            </w:pPr>
            <w:r>
              <w:rPr>
                <w:rFonts w:ascii="Arial" w:cs="Arial" w:hAnsi="Arial"/>
                <w:color w:val="000000"/>
                <w:sz w:val="19"/>
                <w:szCs w:val="19"/>
                <w:rtl/>
              </w:rPr>
              <w:t xml:space="preserve">بطء الرد (مشغل فردي خلف لوحة متقنة)</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25%</w:t>
            </w:r>
          </w:p>
        </w:tc>
        <w:tc>
          <w:tcPr>
            <w:tcW w:type="pct" w:w="44%"/>
            <w:tcMar>
              <w:top w:type="dxa" w:w="50"/>
              <w:left w:type="dxa" w:w="90"/>
              <w:bottom w:type="dxa" w:w="50"/>
              <w:right w:type="dxa" w:w="90"/>
            </w:tcMar>
          </w:tcPr>
          <w:p>
            <w:pPr>
              <w:bidi/>
              <w:spacing w:line="276"/>
              <w:jc w:val="start"/>
            </w:pPr>
            <w:r>
              <w:rPr>
                <w:rFonts w:ascii="Arial" w:cs="Arial" w:hAnsi="Arial"/>
                <w:color w:val="000000"/>
                <w:sz w:val="19"/>
                <w:szCs w:val="19"/>
                <w:rtl/>
              </w:rPr>
              <w:t xml:space="preserve">إيقاع 72 ساعة — التذاكر تحفظ أثرًا ورقيًا كاملًا لا تملكه قناة أخرى</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S-E3</w:t>
            </w:r>
          </w:p>
        </w:tc>
        <w:tc>
          <w:tcPr>
            <w:tcW w:type="pct" w:w="1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RichAIStore</w:t>
            </w:r>
          </w:p>
        </w:tc>
        <w:tc>
          <w:tcPr>
            <w:tcW w:type="pct" w:w="2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يسألون عن قناة البيع لديك</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35%</w:t>
            </w:r>
          </w:p>
        </w:tc>
        <w:tc>
          <w:tcPr>
            <w:tcW w:type="pct" w:w="4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جواب موحد: متجر آلي بتكامل API — يتطابق مع تسويقهم هم فلا يحتاج تلفيقًا</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S-F1</w:t>
            </w:r>
          </w:p>
        </w:tc>
        <w:tc>
          <w:tcPr>
            <w:tcW w:type="pct" w:w="13%"/>
            <w:tcMar>
              <w:top w:type="dxa" w:w="50"/>
              <w:left w:type="dxa" w:w="90"/>
              <w:bottom w:type="dxa" w:w="50"/>
              <w:right w:type="dxa" w:w="90"/>
            </w:tcMar>
          </w:tcPr>
          <w:p>
            <w:pPr>
              <w:bidi/>
              <w:spacing w:line="276"/>
              <w:jc w:val="start"/>
            </w:pPr>
            <w:r>
              <w:rPr>
                <w:rFonts w:ascii="Arial" w:cs="Arial" w:hAnsi="Arial"/>
                <w:color w:val="000000"/>
                <w:sz w:val="19"/>
                <w:szCs w:val="19"/>
                <w:rtl/>
              </w:rPr>
              <w:t xml:space="preserve">AIVerseX</w:t>
            </w:r>
          </w:p>
        </w:tc>
        <w:tc>
          <w:tcPr>
            <w:tcW w:type="pct" w:w="27%"/>
            <w:tcMar>
              <w:top w:type="dxa" w:w="50"/>
              <w:left w:type="dxa" w:w="90"/>
              <w:bottom w:type="dxa" w:w="50"/>
              <w:right w:type="dxa" w:w="90"/>
            </w:tcMar>
          </w:tcPr>
          <w:p>
            <w:pPr>
              <w:bidi/>
              <w:spacing w:line="276"/>
              <w:jc w:val="start"/>
            </w:pPr>
            <w:r>
              <w:rPr>
                <w:rFonts w:ascii="Arial" w:cs="Arial" w:hAnsi="Arial"/>
                <w:color w:val="000000"/>
                <w:sz w:val="19"/>
                <w:szCs w:val="19"/>
                <w:rtl/>
              </w:rPr>
              <w:t xml:space="preserve">تسعير متقلب قائم على الفلاشات (11–24 ساعة)</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40%</w:t>
            </w:r>
          </w:p>
        </w:tc>
        <w:tc>
          <w:tcPr>
            <w:tcW w:type="pct" w:w="44%"/>
            <w:tcMar>
              <w:top w:type="dxa" w:w="50"/>
              <w:left w:type="dxa" w:w="90"/>
              <w:bottom w:type="dxa" w:w="50"/>
              <w:right w:type="dxa" w:w="90"/>
            </w:tcMar>
          </w:tcPr>
          <w:p>
            <w:pPr>
              <w:bidi/>
              <w:spacing w:line="276"/>
              <w:jc w:val="start"/>
            </w:pPr>
            <w:r>
              <w:rPr>
                <w:rFonts w:ascii="Arial" w:cs="Arial" w:hAnsi="Arial"/>
                <w:color w:val="000000"/>
                <w:sz w:val="19"/>
                <w:szCs w:val="19"/>
                <w:rtl/>
              </w:rPr>
              <w:t xml:space="preserve">اطلب تثبيت سعر جملة 30 يومًا عند حجم أسبوعي معلن — الفلاش الموثق 0.39 هو نقطة الارتكاز</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S-F2</w:t>
            </w:r>
          </w:p>
        </w:tc>
        <w:tc>
          <w:tcPr>
            <w:tcW w:type="pct" w:w="1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AIVerseX</w:t>
            </w:r>
          </w:p>
        </w:tc>
        <w:tc>
          <w:tcPr>
            <w:tcW w:type="pct" w:w="2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تذبذب التوفر (16 من 35 متوفرًا فقط رغم إعلان 3,804)</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20%</w:t>
            </w:r>
          </w:p>
        </w:tc>
        <w:tc>
          <w:tcPr>
            <w:tcW w:type="pct" w:w="4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اشترط أولوية توفير بعقد صغير مسبق الدفع جزئيًا</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S-F3</w:t>
            </w:r>
          </w:p>
        </w:tc>
        <w:tc>
          <w:tcPr>
            <w:tcW w:type="pct" w:w="13%"/>
            <w:tcMar>
              <w:top w:type="dxa" w:w="50"/>
              <w:left w:type="dxa" w:w="90"/>
              <w:bottom w:type="dxa" w:w="50"/>
              <w:right w:type="dxa" w:w="90"/>
            </w:tcMar>
          </w:tcPr>
          <w:p>
            <w:pPr>
              <w:bidi/>
              <w:spacing w:line="276"/>
              <w:jc w:val="start"/>
            </w:pPr>
            <w:r>
              <w:rPr>
                <w:rFonts w:ascii="Arial" w:cs="Arial" w:hAnsi="Arial"/>
                <w:color w:val="000000"/>
                <w:sz w:val="19"/>
                <w:szCs w:val="19"/>
                <w:rtl/>
              </w:rPr>
              <w:t xml:space="preserve">AIVerseX</w:t>
            </w:r>
          </w:p>
        </w:tc>
        <w:tc>
          <w:tcPr>
            <w:tcW w:type="pct" w:w="27%"/>
            <w:tcMar>
              <w:top w:type="dxa" w:w="50"/>
              <w:left w:type="dxa" w:w="90"/>
              <w:bottom w:type="dxa" w:w="50"/>
              <w:right w:type="dxa" w:w="90"/>
            </w:tcMar>
          </w:tcPr>
          <w:p>
            <w:pPr>
              <w:bidi/>
              <w:spacing w:line="276"/>
              <w:jc w:val="start"/>
            </w:pPr>
            <w:r>
              <w:rPr>
                <w:rFonts w:ascii="Arial" w:cs="Arial" w:hAnsi="Arial"/>
                <w:color w:val="000000"/>
                <w:sz w:val="19"/>
                <w:szCs w:val="19"/>
                <w:rtl/>
              </w:rPr>
              <w:t xml:space="preserve">إلحاح لمعرفة حجم أعمالك الكامل</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5%</w:t>
            </w:r>
          </w:p>
        </w:tc>
        <w:tc>
          <w:tcPr>
            <w:tcW w:type="pct" w:w="44%"/>
            <w:tcMar>
              <w:top w:type="dxa" w:w="50"/>
              <w:left w:type="dxa" w:w="90"/>
              <w:bottom w:type="dxa" w:w="50"/>
              <w:right w:type="dxa" w:w="90"/>
            </w:tcMar>
          </w:tcPr>
          <w:p>
            <w:pPr>
              <w:bidi/>
              <w:spacing w:line="276"/>
              <w:jc w:val="start"/>
            </w:pPr>
            <w:r>
              <w:rPr>
                <w:rFonts w:ascii="Arial" w:cs="Arial" w:hAnsi="Arial"/>
                <w:color w:val="000000"/>
                <w:sz w:val="19"/>
                <w:szCs w:val="19"/>
                <w:rtl/>
              </w:rPr>
              <w:t xml:space="preserve">أرقام متحفظة ثابتة قابلة للتصديق — وطلب كشوف رسمية انسحاب مهذب</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S-F4</w:t>
            </w:r>
          </w:p>
        </w:tc>
        <w:tc>
          <w:tcPr>
            <w:tcW w:type="pct" w:w="1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AIVerseX</w:t>
            </w:r>
          </w:p>
        </w:tc>
        <w:tc>
          <w:tcPr>
            <w:tcW w:type="pct" w:w="2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بيع عادي بلا تعقيدات</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35%</w:t>
            </w:r>
          </w:p>
        </w:tc>
        <w:tc>
          <w:tcPr>
            <w:tcW w:type="pct" w:w="4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شراء انتهازي موثق للفلاشات يغذي قياس الجودة (G-8)</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S-G1</w:t>
            </w:r>
          </w:p>
        </w:tc>
        <w:tc>
          <w:tcPr>
            <w:tcW w:type="pct" w:w="13%"/>
            <w:tcMar>
              <w:top w:type="dxa" w:w="50"/>
              <w:left w:type="dxa" w:w="90"/>
              <w:bottom w:type="dxa" w:w="50"/>
              <w:right w:type="dxa" w:w="90"/>
            </w:tcMar>
          </w:tcPr>
          <w:p>
            <w:pPr>
              <w:bidi/>
              <w:spacing w:line="276"/>
              <w:jc w:val="start"/>
            </w:pPr>
            <w:r>
              <w:rPr>
                <w:rFonts w:ascii="Arial" w:cs="Arial" w:hAnsi="Arial"/>
                <w:color w:val="000000"/>
                <w:sz w:val="19"/>
                <w:szCs w:val="19"/>
                <w:rtl/>
              </w:rPr>
              <w:t xml:space="preserve">AISUBSID</w:t>
            </w:r>
          </w:p>
        </w:tc>
        <w:tc>
          <w:tcPr>
            <w:tcW w:type="pct" w:w="27%"/>
            <w:tcMar>
              <w:top w:type="dxa" w:w="50"/>
              <w:left w:type="dxa" w:w="90"/>
              <w:bottom w:type="dxa" w:w="50"/>
              <w:right w:type="dxa" w:w="90"/>
            </w:tcMar>
          </w:tcPr>
          <w:p>
            <w:pPr>
              <w:bidi/>
              <w:spacing w:line="276"/>
              <w:jc w:val="start"/>
            </w:pPr>
            <w:r>
              <w:rPr>
                <w:rFonts w:ascii="Arial" w:cs="Arial" w:hAnsi="Arial"/>
                <w:color w:val="000000"/>
                <w:sz w:val="19"/>
                <w:szCs w:val="19"/>
                <w:rtl/>
              </w:rPr>
              <w:t xml:space="preserve">البوت حي بعد هجرة النطاقات</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50%</w:t>
            </w:r>
          </w:p>
        </w:tc>
        <w:tc>
          <w:tcPr>
            <w:tcW w:type="pct" w:w="44%"/>
            <w:tcMar>
              <w:top w:type="dxa" w:w="50"/>
              <w:left w:type="dxa" w:w="90"/>
              <w:bottom w:type="dxa" w:w="50"/>
              <w:right w:type="dxa" w:w="90"/>
            </w:tcMar>
          </w:tcPr>
          <w:p>
            <w:pPr>
              <w:bidi/>
              <w:spacing w:line="276"/>
              <w:jc w:val="start"/>
            </w:pPr>
            <w:r>
              <w:rPr>
                <w:rFonts w:ascii="Arial" w:cs="Arial" w:hAnsi="Arial"/>
                <w:color w:val="000000"/>
                <w:sz w:val="19"/>
                <w:szCs w:val="19"/>
                <w:rtl/>
              </w:rPr>
              <w:t xml:space="preserve">استعلام جملة مكتوب (10–50 وحدة) + سؤال الطريقة VIP أو UPI لقياس البقاء</w:t>
            </w:r>
          </w:p>
        </w:tc>
      </w:tr>
      <w:tr>
        <w:trPr>
          <w:cantSplit/>
        </w:trPr>
        <w:tc>
          <w:tcPr>
            <w:tcW w:type="pct" w:w="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S-G2</w:t>
            </w:r>
          </w:p>
        </w:tc>
        <w:tc>
          <w:tcPr>
            <w:tcW w:type="pct" w:w="13%"/>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AISUBSID</w:t>
            </w:r>
          </w:p>
        </w:tc>
        <w:tc>
          <w:tcPr>
            <w:tcW w:type="pct" w:w="27%"/>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البوت ميت أو المزرعة أوقفت بعد ترقيع متوقع</w:t>
            </w:r>
          </w:p>
        </w:tc>
        <w:tc>
          <w:tcPr>
            <w:tcW w:type="pct" w:w="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30%</w:t>
            </w:r>
          </w:p>
        </w:tc>
        <w:tc>
          <w:tcPr>
            <w:tcW w:type="pct" w:w="44%"/>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أولوية منخفضة وإعادة فحص أسبوعي — ورقة الضغط تنتقل لسعر K12 لدى المنافس (4.58)</w:t>
            </w:r>
          </w:p>
        </w:tc>
      </w:tr>
      <w:tr>
        <w:trPr>
          <w:cantSplit/>
        </w:trPr>
        <w:tc>
          <w:tcPr>
            <w:tcW w:type="pct" w:w="7%"/>
            <w:tcMar>
              <w:top w:type="dxa" w:w="50"/>
              <w:left w:type="dxa" w:w="90"/>
              <w:bottom w:type="dxa" w:w="50"/>
              <w:right w:type="dxa" w:w="90"/>
            </w:tcMar>
          </w:tcPr>
          <w:p>
            <w:pPr>
              <w:bidi/>
              <w:spacing w:line="276"/>
              <w:jc w:val="start"/>
            </w:pPr>
            <w:r>
              <w:rPr>
                <w:rFonts w:ascii="Arial" w:cs="Arial" w:hAnsi="Arial"/>
                <w:color w:val="000000"/>
                <w:sz w:val="19"/>
                <w:szCs w:val="19"/>
                <w:rtl/>
              </w:rPr>
              <w:t xml:space="preserve">S-G3</w:t>
            </w:r>
          </w:p>
        </w:tc>
        <w:tc>
          <w:tcPr>
            <w:tcW w:type="pct" w:w="13%"/>
            <w:tcMar>
              <w:top w:type="dxa" w:w="50"/>
              <w:left w:type="dxa" w:w="90"/>
              <w:bottom w:type="dxa" w:w="50"/>
              <w:right w:type="dxa" w:w="90"/>
            </w:tcMar>
          </w:tcPr>
          <w:p>
            <w:pPr>
              <w:bidi/>
              <w:spacing w:line="276"/>
              <w:jc w:val="start"/>
            </w:pPr>
            <w:r>
              <w:rPr>
                <w:rFonts w:ascii="Arial" w:cs="Arial" w:hAnsi="Arial"/>
                <w:color w:val="000000"/>
                <w:sz w:val="19"/>
                <w:szCs w:val="19"/>
                <w:rtl/>
              </w:rPr>
              <w:t xml:space="preserve">AISUBSID</w:t>
            </w:r>
          </w:p>
        </w:tc>
        <w:tc>
          <w:tcPr>
            <w:tcW w:type="pct" w:w="27%"/>
            <w:tcMar>
              <w:top w:type="dxa" w:w="50"/>
              <w:left w:type="dxa" w:w="90"/>
              <w:bottom w:type="dxa" w:w="50"/>
              <w:right w:type="dxa" w:w="90"/>
            </w:tcMar>
          </w:tcPr>
          <w:p>
            <w:pPr>
              <w:bidi/>
              <w:spacing w:line="276"/>
              <w:jc w:val="start"/>
            </w:pPr>
            <w:r>
              <w:rPr>
                <w:rFonts w:ascii="Arial" w:cs="Arial" w:hAnsi="Arial"/>
                <w:color w:val="000000"/>
                <w:sz w:val="19"/>
                <w:szCs w:val="19"/>
                <w:rtl/>
              </w:rPr>
              <w:t xml:space="preserve">دفع مسبق كامل لطلب الجملة الأول</w:t>
            </w:r>
          </w:p>
        </w:tc>
        <w:tc>
          <w:tcPr>
            <w:tcW w:type="pct" w:w="9%"/>
            <w:tcMar>
              <w:top w:type="dxa" w:w="50"/>
              <w:left w:type="dxa" w:w="90"/>
              <w:bottom w:type="dxa" w:w="50"/>
              <w:right w:type="dxa" w:w="90"/>
            </w:tcMar>
          </w:tcPr>
          <w:p>
            <w:pPr>
              <w:bidi/>
              <w:spacing w:line="276"/>
              <w:jc w:val="start"/>
            </w:pPr>
            <w:r>
              <w:rPr>
                <w:rFonts w:ascii="Arial" w:cs="Arial" w:hAnsi="Arial"/>
                <w:color w:val="000000"/>
                <w:sz w:val="19"/>
                <w:szCs w:val="19"/>
                <w:rtl/>
              </w:rPr>
              <w:t xml:space="preserve">20%</w:t>
            </w:r>
          </w:p>
        </w:tc>
        <w:tc>
          <w:tcPr>
            <w:tcW w:type="pct" w:w="44%"/>
            <w:tcMar>
              <w:top w:type="dxa" w:w="50"/>
              <w:left w:type="dxa" w:w="90"/>
              <w:bottom w:type="dxa" w:w="50"/>
              <w:right w:type="dxa" w:w="90"/>
            </w:tcMar>
          </w:tcPr>
          <w:p>
            <w:pPr>
              <w:bidi/>
              <w:spacing w:line="276"/>
              <w:jc w:val="start"/>
            </w:pPr>
            <w:r>
              <w:rPr>
                <w:rFonts w:ascii="Arial" w:cs="Arial" w:hAnsi="Arial"/>
                <w:color w:val="000000"/>
                <w:sz w:val="19"/>
                <w:szCs w:val="19"/>
                <w:rtl/>
              </w:rPr>
              <w:t xml:space="preserve">عينة 5 حسابات أولًا (البروتوكول المعتمد) ثم الطلب الكبير</w:t>
            </w:r>
          </w:p>
        </w:tc>
      </w:tr>
    </w:tbl>
    <w:p>
      <w:pPr>
        <w:spacing w:after="140"/>
      </w:pPr>
    </w:p>
    <w:p>
      <w:pPr>
        <w:pStyle w:val="Heading2"/>
        <w:bidi/>
        <w:spacing w:after="120" w:before="260" w:line="312"/>
        <w:jc w:val="start"/>
      </w:pPr>
      <w:bookmarkStart w:id="100021" w:name="_Toc100021"/>
      <w:r>
        <w:rPr>
          <w:rFonts w:ascii="Arial" w:cs="Arial" w:hAnsi="Arial"/>
          <w:b/>
          <w:bCs/>
          <w:color w:val="8A6D2F"/>
          <w:sz w:val="27"/>
          <w:szCs w:val="27"/>
          <w:rtl/>
        </w:rPr>
        <w:t xml:space="preserve">السيناريوهات العرضية العامة — تنطبق على أي طرف</w:t>
      </w:r>
      <w:bookmarkEnd w:id="100021"/>
    </w:p>
    <w:p>
      <w:pPr>
        <w:bidi/>
        <w:spacing w:after="140" w:line="312"/>
        <w:jc w:val="both"/>
      </w:pPr>
      <w:r>
        <w:rPr>
          <w:rFonts w:ascii="Arial" w:cs="Arial" w:hAnsi="Arial"/>
          <w:color w:val="000000"/>
          <w:sz w:val="24"/>
          <w:szCs w:val="24"/>
          <w:rtl/>
        </w:rPr>
        <w:t xml:space="preserve">ثلاثة سيناريوهات عرضية تتجاوز الأطراف المنفردة وتستحق قرارًا مكتوبًا مسبقًا لأنها إن وقعت لا تحتمل الارتجال. أولها طلب التوثيق بالهوية الرسمية (S-X1): الرد مهذب وقاطع — سياسة المشتريات لا تسمح بمشاركة مستندات هوية مع موردين جدد قبل سجل تعامل، والإصرار انسحاب نهائي. وثانيها الاحتيال الصريح (S-X2): إيداع يختفي بلا تسليم — والدرع هو الهيكل نفسه (أصغر إيداع ممكن، ووحدة واحدة أولًا، وأثر ورقي مؤرخ قبل أي مبلغ معتبر)، والعتبة قائمة سوداء داخلية وإغلاق ملف الطرف. وثالثها اكتشاف نشاط الاستخبارات (S-X3): والأهم فيه أن هيكل الحملة نفسه هو الدرع — فكل ما يعرفه أي طرف عنك هو أنك عميل API لديه، وهذا صحيح وموثق؛ أما عمق المعرفة البنيوية فلا يظهر في أي تفاعل مصمم أصلا لعدم لمسه. فإن جاء سؤال مباشر عن المتجر أو البنية رغم كل شيء، فالرد إنهاء المحادثة بهدوء وتجميد الطرف ثلاثين يومًا بلا أي تفسير.</w:t>
      </w:r>
    </w:p>
    <w:p>
      <w:pPr>
        <w:pStyle w:val="Heading1"/>
        <w:bidi/>
        <w:spacing w:after="170" w:before="380" w:line="312"/>
        <w:jc w:val="start"/>
      </w:pPr>
      <w:bookmarkStart w:id="100022" w:name="_Toc100022"/>
      <w:r>
        <w:rPr>
          <w:rFonts w:ascii="Arial" w:cs="Arial" w:hAnsi="Arial"/>
          <w:b/>
          <w:bCs/>
          <w:color w:val="1A1A1A"/>
          <w:sz w:val="32"/>
          <w:szCs w:val="32"/>
          <w:rtl/>
        </w:rPr>
        <w:t xml:space="preserve">9. أوراق الضغط السعرية الموثقة</w:t>
      </w:r>
      <w:bookmarkEnd w:id="100022"/>
    </w:p>
    <w:p>
      <w:pPr>
        <w:bidi/>
        <w:spacing w:after="140" w:line="312"/>
        <w:jc w:val="both"/>
      </w:pPr>
      <w:r>
        <w:rPr>
          <w:rFonts w:ascii="Arial" w:cs="Arial" w:hAnsi="Arial"/>
          <w:color w:val="000000"/>
          <w:sz w:val="24"/>
          <w:szCs w:val="24"/>
          <w:rtl/>
        </w:rPr>
        <w:t xml:space="preserve">ورقة الضغط ليست رقمًا واحدًا بل تركيبة من ثلاثة أرقام: تكلفة StackVault الموثقة للعائلة (وهي سقف منطقي لأي عرض يُطلب منك)، والقاع البديل الموثق لدى منافس أو أكثر (وهو نقطة الارتكاز التي تطلبها)، والمصدر المؤرخ (وهو ما يجعل الطلب مسندًا لا متعنتًا). وقاعدة الاستخدام صارمة: يُذكر القاع البديل بصيغة «أرى في السوق أسعارًا عند كذا» دون كشف مصدره التفصيلي ودون ذكر أي تحليل مقارن موحد — فكشف أن لديك كتالوجًا موحدًا لأكثر من ألف سجل من أحد عشر كتالوجًا هو بالضبط نوع الانكشاف الذي يقلب الميزة إلى شبهة استطلاع منظم. الأرقام في الجدول التالي مأخوذة من الكتالوج الموحد وإعلانات القنوات المؤرخة، وكلها إعلانية لم تتحقق بمعاملة (قاعدة G-7).</w:t>
      </w:r>
    </w:p>
    <w:p>
      <w:pPr>
        <w:keepNext/>
        <w:bidi/>
        <w:spacing w:after="80" w:before="180" w:line="312"/>
        <w:jc w:val="start"/>
      </w:pPr>
      <w:r>
        <w:rPr>
          <w:rFonts w:ascii="Arial" w:cs="Arial" w:hAnsi="Arial"/>
          <w:b/>
          <w:bCs/>
          <w:color w:val="1A1A1A"/>
          <w:sz w:val="21"/>
          <w:szCs w:val="21"/>
          <w:rtl/>
        </w:rPr>
        <w:t xml:space="preserve">جدول 9: أوراق الضغط الإحدى عشرة</w:t>
      </w:r>
    </w:p>
    <w:tbl>
      <w:tblPr>
        <w:bidiVisual/>
        <w:tblW w:type="pct" w:w="100%"/>
        <w:tblBorders>
          <w:top w:val="single" w:color="C9A84C" w:sz="4"/>
          <w:left w:val="none"/>
          <w:bottom w:val="single" w:color="C9A84C" w:sz="4"/>
          <w:right w:val="none"/>
          <w:insideH w:val="single" w:color="DDD5C0" w:sz="2"/>
          <w:insideV w:val="single" w:color="DDD5C0" w:sz="2"/>
        </w:tblBorders>
      </w:tblPr>
      <w:tblGrid>
        <w:gridCol w:w="100"/>
        <w:gridCol w:w="100"/>
        <w:gridCol w:w="100"/>
        <w:gridCol w:w="100"/>
      </w:tblGrid>
      <w:tr>
        <w:trPr>
          <w:cantSplit/>
          <w:tblHeader/>
        </w:trPr>
        <w:tc>
          <w:tcPr>
            <w:tcW w:type="pct" w:w="19%"/>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العائلة</w:t>
            </w:r>
          </w:p>
        </w:tc>
        <w:tc>
          <w:tcPr>
            <w:tcW w:type="pct" w:w="19%"/>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تكلفة SV الموثقة</w:t>
            </w:r>
          </w:p>
        </w:tc>
        <w:tc>
          <w:tcPr>
            <w:tcW w:type="pct" w:w="32%"/>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القاع البديل الموثق</w:t>
            </w:r>
          </w:p>
        </w:tc>
        <w:tc>
          <w:tcPr>
            <w:tcW w:type="pct" w:w="30%"/>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نقطة الارتكاز</w:t>
            </w:r>
          </w:p>
        </w:tc>
      </w:tr>
      <w:tr>
        <w:trPr>
          <w:cantSplit/>
        </w:trPr>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ChatGPT Plus (شهر، ضمان)</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$10.67–11.05</w:t>
            </w:r>
          </w:p>
        </w:tc>
        <w:tc>
          <w:tcPr>
            <w:tcW w:type="pct" w:w="32%"/>
            <w:tcMar>
              <w:top w:type="dxa" w:w="50"/>
              <w:left w:type="dxa" w:w="90"/>
              <w:bottom w:type="dxa" w:w="50"/>
              <w:right w:type="dxa" w:w="90"/>
            </w:tcMar>
          </w:tcPr>
          <w:p>
            <w:pPr>
              <w:bidi/>
              <w:spacing w:line="276"/>
              <w:jc w:val="start"/>
            </w:pPr>
            <w:r>
              <w:rPr>
                <w:rFonts w:ascii="Arial" w:cs="Arial" w:hAnsi="Arial"/>
                <w:color w:val="000000"/>
                <w:sz w:val="19"/>
                <w:szCs w:val="19"/>
                <w:rtl/>
              </w:rPr>
              <w:t xml:space="preserve">جملة إندونيسية 2.50 · فلاش 2.80 · VIP منافس 10.77</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اطلب تسعيرًا مفصولًا بالطريقة — الفارق الموثق يقارب أربعة أضعاف</w:t>
            </w:r>
          </w:p>
        </w:tc>
      </w:tr>
      <w:tr>
        <w:trPr>
          <w:cantSplit/>
        </w:trPr>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ChatGPT Plus K12 (سنتان)</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$4.62</w:t>
            </w:r>
          </w:p>
        </w:tc>
        <w:tc>
          <w:tcPr>
            <w:tcW w:type="pct" w:w="3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API المنصة معلن 3.80 (−18%) · منافس 4.58</w:t>
            </w:r>
          </w:p>
        </w:tc>
        <w:tc>
          <w:tcPr>
            <w:tcW w:type="pct" w:w="3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مطابقة السعر المعلن رسميًا في قناته هو — ورقة مكتوبة بيده</w:t>
            </w:r>
          </w:p>
        </w:tc>
      </w:tr>
      <w:tr>
        <w:trPr>
          <w:cantSplit/>
        </w:trPr>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Office 365 Plus (سنة)</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$0.21</w:t>
            </w:r>
          </w:p>
        </w:tc>
        <w:tc>
          <w:tcPr>
            <w:tcW w:type="pct" w:w="32%"/>
            <w:tcMar>
              <w:top w:type="dxa" w:w="50"/>
              <w:left w:type="dxa" w:w="90"/>
              <w:bottom w:type="dxa" w:w="50"/>
              <w:right w:type="dxa" w:w="90"/>
            </w:tcMar>
          </w:tcPr>
          <w:p>
            <w:pPr>
              <w:bidi/>
              <w:spacing w:line="276"/>
              <w:jc w:val="start"/>
            </w:pPr>
            <w:r>
              <w:rPr>
                <w:rFonts w:ascii="Arial" w:cs="Arial" w:hAnsi="Arial"/>
                <w:color w:val="000000"/>
                <w:sz w:val="19"/>
                <w:szCs w:val="19"/>
                <w:rtl/>
              </w:rPr>
              <w:t xml:space="preserve">جملة معلنة 0.17 (−19%) · متجر منافس 0.29</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مطابقة سعر الجملة المعلن</w:t>
            </w:r>
          </w:p>
        </w:tc>
      </w:tr>
      <w:tr>
        <w:trPr>
          <w:cantSplit/>
        </w:trPr>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Gemini Pro 18 شهرًا</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≈$0.39–0.55</w:t>
            </w:r>
          </w:p>
        </w:tc>
        <w:tc>
          <w:tcPr>
            <w:tcW w:type="pct" w:w="3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API المنصة 0.50 · فلاش منافس 0.39 · إعادة تموين 0.45–0.55</w:t>
            </w:r>
          </w:p>
        </w:tc>
        <w:tc>
          <w:tcPr>
            <w:tcW w:type="pct" w:w="3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اطلب ≤0.45 مثبتًا 30 يومًا — أربع بدائل موثقة تجعله واقعيًا</w:t>
            </w:r>
          </w:p>
        </w:tc>
      </w:tr>
      <w:tr>
        <w:trPr>
          <w:cantSplit/>
        </w:trPr>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رصيد Codex/AI</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هامش وسيط 15–25%</w:t>
            </w:r>
          </w:p>
        </w:tc>
        <w:tc>
          <w:tcPr>
            <w:tcW w:type="pct" w:w="32%"/>
            <w:tcMar>
              <w:top w:type="dxa" w:w="50"/>
              <w:left w:type="dxa" w:w="90"/>
              <w:bottom w:type="dxa" w:w="50"/>
              <w:right w:type="dxa" w:w="90"/>
            </w:tcMar>
          </w:tcPr>
          <w:p>
            <w:pPr>
              <w:bidi/>
              <w:spacing w:line="276"/>
              <w:jc w:val="start"/>
            </w:pPr>
            <w:r>
              <w:rPr>
                <w:rFonts w:ascii="Arial" w:cs="Arial" w:hAnsi="Arial"/>
                <w:color w:val="000000"/>
                <w:sz w:val="19"/>
                <w:szCs w:val="19"/>
                <w:rtl/>
              </w:rPr>
              <w:t xml:space="preserve">بوابة المنبع مباشرة (قائمة 15 موديلًا موثقة)</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حساب موزع مباشر يقطع الهامش على أغلى العائلات</w:t>
            </w:r>
          </w:p>
        </w:tc>
      </w:tr>
      <w:tr>
        <w:trPr>
          <w:cantSplit/>
        </w:trPr>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Duolingo Super 12 شهرًا</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$0.15–0.23</w:t>
            </w:r>
          </w:p>
        </w:tc>
        <w:tc>
          <w:tcPr>
            <w:tcW w:type="pct" w:w="3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شرائح مورد منشورة: 0.55/0.50/0.45</w:t>
            </w:r>
          </w:p>
        </w:tc>
        <w:tc>
          <w:tcPr>
            <w:tcW w:type="pct" w:w="3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0.45 عند 25+ وحدة — شريحة منشورة رقميًا</w:t>
            </w:r>
          </w:p>
        </w:tc>
      </w:tr>
      <w:tr>
        <w:trPr>
          <w:cantSplit/>
        </w:trPr>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Canva Pro (سنتان)</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$0.60</w:t>
            </w:r>
          </w:p>
        </w:tc>
        <w:tc>
          <w:tcPr>
            <w:tcW w:type="pct" w:w="32%"/>
            <w:tcMar>
              <w:top w:type="dxa" w:w="50"/>
              <w:left w:type="dxa" w:w="90"/>
              <w:bottom w:type="dxa" w:w="50"/>
              <w:right w:type="dxa" w:w="90"/>
            </w:tcMar>
          </w:tcPr>
          <w:p>
            <w:pPr>
              <w:bidi/>
              <w:spacing w:line="276"/>
              <w:jc w:val="start"/>
            </w:pPr>
            <w:r>
              <w:rPr>
                <w:rFonts w:ascii="Arial" w:cs="Arial" w:hAnsi="Arial"/>
                <w:color w:val="000000"/>
                <w:sz w:val="19"/>
                <w:szCs w:val="19"/>
                <w:rtl/>
              </w:rPr>
              <w:t xml:space="preserve">فلاشات متكررة أقل من 0.60 بقناة المنصة</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راقب الفلاشات قبل أي طلبية — لا التزام بسعر قائمة</w:t>
            </w:r>
          </w:p>
        </w:tc>
      </w:tr>
      <w:tr>
        <w:trPr>
          <w:cantSplit/>
        </w:trPr>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CapCut Pro (شهر)</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$1.25</w:t>
            </w:r>
          </w:p>
        </w:tc>
        <w:tc>
          <w:tcPr>
            <w:tcW w:type="pct" w:w="3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مرجع تاريخي: المنبع نفسه باع بـ0.8 سابقًا</w:t>
            </w:r>
          </w:p>
        </w:tc>
        <w:tc>
          <w:tcPr>
            <w:tcW w:type="pct" w:w="3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سعر المنبع الفعلي أقل بوضوح — اطلب تسعيرة جملة صريحة</w:t>
            </w:r>
          </w:p>
        </w:tc>
      </w:tr>
      <w:tr>
        <w:trPr>
          <w:cantSplit/>
        </w:trPr>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Adobe Express</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$0.50</w:t>
            </w:r>
          </w:p>
        </w:tc>
        <w:tc>
          <w:tcPr>
            <w:tcW w:type="pct" w:w="32%"/>
            <w:tcMar>
              <w:top w:type="dxa" w:w="50"/>
              <w:left w:type="dxa" w:w="90"/>
              <w:bottom w:type="dxa" w:w="50"/>
              <w:right w:type="dxa" w:w="90"/>
            </w:tcMar>
          </w:tcPr>
          <w:p>
            <w:pPr>
              <w:bidi/>
              <w:spacing w:line="276"/>
              <w:jc w:val="start"/>
            </w:pPr>
            <w:r>
              <w:rPr>
                <w:rFonts w:ascii="Arial" w:cs="Arial" w:hAnsi="Arial"/>
                <w:color w:val="000000"/>
                <w:sz w:val="19"/>
                <w:szCs w:val="19"/>
                <w:rtl/>
              </w:rPr>
              <w:t xml:space="preserve">متجر منافس 0.40 (−20%)</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حوّل العائلة للمنافس أو اعرض سعره ورقة ضغط</w:t>
            </w:r>
          </w:p>
        </w:tc>
      </w:tr>
      <w:tr>
        <w:trPr>
          <w:cantSplit/>
        </w:trPr>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Gmail (حسابات مستقرة)</w:t>
            </w:r>
          </w:p>
        </w:tc>
        <w:tc>
          <w:tcPr>
            <w:tcW w:type="pct" w:w="19%"/>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غير معزولة</w:t>
            </w:r>
          </w:p>
        </w:tc>
        <w:tc>
          <w:tcPr>
            <w:tcW w:type="pct" w:w="3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0.80 رابط / 0.75 API / 0.60 جملة (معنون رسميًا)</w:t>
            </w:r>
          </w:p>
        </w:tc>
        <w:tc>
          <w:tcPr>
            <w:tcW w:type="pct" w:w="3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سعر الجملة المعلن — مطاببة مباشرة</w:t>
            </w:r>
          </w:p>
        </w:tc>
      </w:tr>
      <w:tr>
        <w:trPr>
          <w:cantSplit/>
        </w:trPr>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Deepseek API</w:t>
            </w:r>
          </w:p>
        </w:tc>
        <w:tc>
          <w:tcPr>
            <w:tcW w:type="pct" w:w="19%"/>
            <w:tcMar>
              <w:top w:type="dxa" w:w="50"/>
              <w:left w:type="dxa" w:w="90"/>
              <w:bottom w:type="dxa" w:w="50"/>
              <w:right w:type="dxa" w:w="90"/>
            </w:tcMar>
          </w:tcPr>
          <w:p>
            <w:pPr>
              <w:bidi/>
              <w:spacing w:line="276"/>
              <w:jc w:val="start"/>
            </w:pPr>
            <w:r>
              <w:rPr>
                <w:rFonts w:ascii="Arial" w:cs="Arial" w:hAnsi="Arial"/>
                <w:color w:val="000000"/>
                <w:sz w:val="19"/>
                <w:szCs w:val="19"/>
                <w:rtl/>
              </w:rPr>
              <w:t xml:space="preserve">أغلى عبر القناة الرئيسة</w:t>
            </w:r>
          </w:p>
        </w:tc>
        <w:tc>
          <w:tcPr>
            <w:tcW w:type="pct" w:w="32%"/>
            <w:tcMar>
              <w:top w:type="dxa" w:w="50"/>
              <w:left w:type="dxa" w:w="90"/>
              <w:bottom w:type="dxa" w:w="50"/>
              <w:right w:type="dxa" w:w="90"/>
            </w:tcMar>
          </w:tcPr>
          <w:p>
            <w:pPr>
              <w:bidi/>
              <w:spacing w:line="276"/>
              <w:jc w:val="start"/>
            </w:pPr>
            <w:r>
              <w:rPr>
                <w:rFonts w:ascii="Arial" w:cs="Arial" w:hAnsi="Arial"/>
                <w:color w:val="000000"/>
                <w:sz w:val="19"/>
                <w:szCs w:val="19"/>
                <w:rtl/>
              </w:rPr>
              <w:t xml:space="preserve">المنصة الفيتنامية أرخص 1.6–1.7× (الاستثناء الموثق)</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وجّه هذه العائلة للمنصة الأرخص أياً كانت نتائج باقي التفاوض</w:t>
            </w:r>
          </w:p>
        </w:tc>
      </w:tr>
    </w:tbl>
    <w:p>
      <w:pPr>
        <w:spacing w:after="140"/>
      </w:pPr>
    </w:p>
    <w:p>
      <w:pPr>
        <w:bidi/>
        <w:spacing w:after="140" w:line="312"/>
        <w:jc w:val="both"/>
      </w:pPr>
      <w:r>
        <w:rPr>
          <w:rFonts w:ascii="Arial" w:cs="Arial" w:hAnsi="Arial"/>
          <w:color w:val="000000"/>
          <w:sz w:val="24"/>
          <w:szCs w:val="24"/>
          <w:rtl/>
        </w:rPr>
        <w:t xml:space="preserve">مرجع الفحص الشامل لأي «تسعيرة جملة» يدّعيها أي طرف خلال الحملة: نسبة السعر الوسيطة الموثقة بين قناة المنصة الرئيسة والمنصة الفيتنامية الشقيقة تساوي 0.912 (بربع أول 0.764 وربع ثالث 1.066 على 111 زوجًا مطابقًا) — فأي عرض يبتعد عن هذا النطاق بلا تفسير جودة يُعامل بوصفه تسعيرًا غير طبيعي: إما مغرية مؤقتة تستوجب الحذر من الجودة، أو مبالغة تستوجب الرفض الفوري.</w:t>
      </w:r>
    </w:p>
    <w:p>
      <w:pPr>
        <w:pStyle w:val="Heading1"/>
        <w:bidi/>
        <w:spacing w:after="170" w:before="380" w:line="312"/>
        <w:jc w:val="start"/>
      </w:pPr>
      <w:bookmarkStart w:id="100023" w:name="_Toc100023"/>
      <w:r>
        <w:rPr>
          <w:rFonts w:ascii="Arial" w:cs="Arial" w:hAnsi="Arial"/>
          <w:b/>
          <w:bCs/>
          <w:color w:val="1A1A1A"/>
          <w:sz w:val="32"/>
          <w:szCs w:val="32"/>
          <w:rtl/>
        </w:rPr>
        <w:t xml:space="preserve">10. النصوص الافتتاحية الجاهزة</w:t>
      </w:r>
      <w:bookmarkEnd w:id="100023"/>
    </w:p>
    <w:p>
      <w:pPr>
        <w:bidi/>
        <w:spacing w:after="140" w:line="312"/>
        <w:jc w:val="both"/>
      </w:pPr>
      <w:r>
        <w:rPr>
          <w:rFonts w:ascii="Arial" w:cs="Arial" w:hAnsi="Arial"/>
          <w:color w:val="000000"/>
          <w:sz w:val="24"/>
          <w:szCs w:val="24"/>
          <w:rtl/>
        </w:rPr>
        <w:t xml:space="preserve">النصوص التالية جاهزة للنسخ الحرفي بعد استبدال المتغيرات المحددة في موجة التجهيز (الأرقام الشهرية المعلنة). صيغت كل نص بلسان الطرف المستهدف وبمرجعيته اللغوية، وكلها تلتزم القواعد الثلاث الصارمة: لا ذكر لأي معرفة بنيوية، وأرقام متحفظة ثابتة بين الأطراف، وطلب محدد قابل للرد المكتوب (جدول أو سعر أو سياسة) لا سؤال عام. النص العربي لسوكبيت مفتتح بإشارة كونه عميل API قائم — وهي الحقيقة الموثقة التي تفتح الباب دون أي تمهيد مصطنع.</w:t>
      </w:r>
    </w:p>
    <w:p>
      <w:pPr>
        <w:keepNext/>
        <w:bidi/>
        <w:spacing w:after="60" w:before="180" w:line="300"/>
        <w:jc w:val="start"/>
      </w:pPr>
      <w:r>
        <w:rPr>
          <w:rFonts w:ascii="Arial" w:cs="Arial" w:hAnsi="Arial"/>
          <w:b/>
          <w:bCs/>
          <w:color w:val="8A6D2F"/>
          <w:sz w:val="21"/>
          <w:szCs w:val="21"/>
          <w:rtl/>
        </w:rPr>
        <w:t xml:space="preserve">T1 — سوكبيت (تيليجرام sookbit@ أو واتساب +33) — عربي</w:t>
      </w:r>
    </w:p>
    <w:p>
      <w:pPr>
        <w:pBdr>
          <w:top w:val="single" w:color="DDD5C0" w:sz="2" w:space="4"/>
          <w:bottom w:val="single" w:color="DDD5C0" w:sz="2" w:space="4"/>
          <w:left w:val="single" w:color="DDD5C0" w:sz="2" w:space="4"/>
          <w:right w:val="single" w:color="C9A84C" w:sz="14" w:space="8"/>
        </w:pBdr>
        <w:shd w:fill="F5F2E8" w:val="clear"/>
        <w:bidi/>
        <w:spacing w:after="160" w:line="312"/>
        <w:jc w:val="start"/>
      </w:pPr>
      <w:r>
        <w:rPr>
          <w:rFonts w:ascii="Arial" w:cs="Arial" w:hAnsi="Arial"/>
          <w:color w:val="000000"/>
          <w:sz w:val="22"/>
          <w:szCs w:val="22"/>
          <w:rtl/>
        </w:rPr>
        <w:t xml:space="preserve">السلام عليكم، معك أحمد — عميل API عندكم عبر بوت ProdSeller. أجهّز إطلاق متجر اشتراكات رقمية وسأبدأ بحجم شهري ثابت على عائلات ChatGPT وGemini وOffice. شفت بالقناة أسعار API المعلنة (مثل K12 بـ3.80 والـOffice جملة بـ0.17). ممكن الجدول الكامل لأسعار API/الجملة؟ وبحسب الحجم الشهري، ما أفضل تدرج تقدرون تعطونه؟</w:t>
      </w:r>
    </w:p>
    <w:p>
      <w:pPr>
        <w:keepNext/>
        <w:bidi/>
        <w:spacing w:after="60" w:before="180" w:line="300"/>
        <w:jc w:val="start"/>
      </w:pPr>
      <w:r>
        <w:rPr>
          <w:rFonts w:ascii="Arial" w:cs="Arial" w:hAnsi="Arial"/>
          <w:b/>
          <w:bCs/>
          <w:color w:val="8A6D2F"/>
          <w:sz w:val="21"/>
          <w:szCs w:val="21"/>
          <w:rtl/>
        </w:rPr>
        <w:t xml:space="preserve">T2 — سوكبيت (واتساب +33) — بديل فرنسي عند أي إشارة تفضيل لغوي</w:t>
      </w:r>
    </w:p>
    <w:p>
      <w:pPr>
        <w:pBdr>
          <w:top w:val="single" w:color="DDD5C0" w:sz="2" w:space="4"/>
          <w:bottom w:val="single" w:color="DDD5C0" w:sz="2" w:space="4"/>
          <w:left w:val="single" w:color="C9A84C" w:sz="14" w:space="8"/>
          <w:right w:val="single" w:color="DDD5C0" w:sz="2" w:space="4"/>
        </w:pBdr>
        <w:shd w:fill="F5F2E8" w:val="clear"/>
        <w:spacing w:after="160" w:line="300"/>
        <w:jc w:val="left"/>
      </w:pPr>
      <w:r>
        <w:rPr>
          <w:rFonts w:ascii="Arial" w:cs="Arial" w:hAnsi="Arial"/>
          <w:color w:val="000000"/>
          <w:sz w:val="21"/>
          <w:szCs w:val="21"/>
        </w:rPr>
        <w:t xml:space="preserve">Bonjour, client API de ProdSellerBot ici. Je prépare le lancement d'une boutique d'abonnements numériques avec un volume mensuel fixe (ChatGPT, Gemini, Office). Pourriez-vous m'envoyer la grille tarifaire API/grossiste complète, ainsi que vos paliers selon le volume ? Merci.</w:t>
      </w:r>
    </w:p>
    <w:p>
      <w:pPr>
        <w:keepNext/>
        <w:bidi/>
        <w:spacing w:after="60" w:before="180" w:line="300"/>
        <w:jc w:val="start"/>
      </w:pPr>
      <w:r>
        <w:rPr>
          <w:rFonts w:ascii="Arial" w:cs="Arial" w:hAnsi="Arial"/>
          <w:b/>
          <w:bCs/>
          <w:color w:val="8A6D2F"/>
          <w:sz w:val="21"/>
          <w:szCs w:val="21"/>
          <w:rtl/>
        </w:rPr>
        <w:t xml:space="preserve">T3 — HitMeow/canboso (الدعم HitmeowSupport@ أو المالك vahnix@) — إنجليزي</w:t>
      </w:r>
    </w:p>
    <w:p>
      <w:pPr>
        <w:pBdr>
          <w:top w:val="single" w:color="DDD5C0" w:sz="2" w:space="4"/>
          <w:bottom w:val="single" w:color="DDD5C0" w:sz="2" w:space="4"/>
          <w:left w:val="single" w:color="C9A84C" w:sz="14" w:space="8"/>
          <w:right w:val="single" w:color="DDD5C0" w:sz="2" w:space="4"/>
        </w:pBdr>
        <w:shd w:fill="F5F2E8" w:val="clear"/>
        <w:spacing w:after="160" w:line="300"/>
        <w:jc w:val="left"/>
      </w:pPr>
      <w:r>
        <w:rPr>
          <w:rFonts w:ascii="Arial" w:cs="Arial" w:hAnsi="Arial"/>
          <w:color w:val="000000"/>
          <w:sz w:val="21"/>
          <w:szCs w:val="21"/>
        </w:rPr>
        <w:t xml:space="preserve">Hello! I run a PremiKey API account (ready to top up via Binance Pay). I'm launching a subscription store and need volume pricing for: ChatGPT Plus VIP (monthly, warranty), K12 2yr, and Deepseek API credits. Could you share your quantity tier table and replacement policy? Starting around 30-50 units/month, scaling up.</w:t>
      </w:r>
    </w:p>
    <w:p>
      <w:pPr>
        <w:keepNext/>
        <w:bidi/>
        <w:spacing w:after="60" w:before="180" w:line="300"/>
        <w:jc w:val="start"/>
      </w:pPr>
      <w:r>
        <w:rPr>
          <w:rFonts w:ascii="Arial" w:cs="Arial" w:hAnsi="Arial"/>
          <w:b/>
          <w:bCs/>
          <w:color w:val="8A6D2F"/>
          <w:sz w:val="21"/>
          <w:szCs w:val="21"/>
          <w:rtl/>
        </w:rPr>
        <w:t xml:space="preserve">T4 — DigitalCore (بوت DCoreStoreBot@ أو قناة DGTsupply@) — إنجليزي</w:t>
      </w:r>
    </w:p>
    <w:p>
      <w:pPr>
        <w:pBdr>
          <w:top w:val="single" w:color="DDD5C0" w:sz="2" w:space="4"/>
          <w:bottom w:val="single" w:color="DDD5C0" w:sz="2" w:space="4"/>
          <w:left w:val="single" w:color="C9A84C" w:sz="14" w:space="8"/>
          <w:right w:val="single" w:color="DDD5C0" w:sz="2" w:space="4"/>
        </w:pBdr>
        <w:shd w:fill="F5F2E8" w:val="clear"/>
        <w:spacing w:after="160" w:line="300"/>
        <w:jc w:val="left"/>
      </w:pPr>
      <w:r>
        <w:rPr>
          <w:rFonts w:ascii="Arial" w:cs="Arial" w:hAnsi="Arial"/>
          <w:color w:val="000000"/>
          <w:sz w:val="21"/>
          <w:szCs w:val="21"/>
        </w:rPr>
        <w:t xml:space="preserve">Hello, I've reviewed your API docs (digitalcore.top/docs) and the published tier pricing. I'm preparing a subscription store launch. Two questions: (1) do you offer a tier above the published bands for 100+ units (e.g., Gemini 18M, Duolingo, Coursera)? (2) what are your replacement terms for a first test order?</w:t>
      </w:r>
    </w:p>
    <w:p>
      <w:pPr>
        <w:keepNext/>
        <w:bidi/>
        <w:spacing w:after="60" w:before="180" w:line="300"/>
        <w:jc w:val="start"/>
      </w:pPr>
      <w:r>
        <w:rPr>
          <w:rFonts w:ascii="Arial" w:cs="Arial" w:hAnsi="Arial"/>
          <w:b/>
          <w:bCs/>
          <w:color w:val="8A6D2F"/>
          <w:sz w:val="21"/>
          <w:szCs w:val="21"/>
          <w:rtl/>
        </w:rPr>
        <w:t xml:space="preserve">T5 — RichAIStore (تذكرة عبر API أو بوت RichAIStoreBot@) — إنجليزي</w:t>
      </w:r>
    </w:p>
    <w:p>
      <w:pPr>
        <w:pBdr>
          <w:top w:val="single" w:color="DDD5C0" w:sz="2" w:space="4"/>
          <w:bottom w:val="single" w:color="DDD5C0" w:sz="2" w:space="4"/>
          <w:left w:val="single" w:color="C9A84C" w:sz="14" w:space="8"/>
          <w:right w:val="single" w:color="DDD5C0" w:sz="2" w:space="4"/>
        </w:pBdr>
        <w:shd w:fill="F5F2E8" w:val="clear"/>
        <w:spacing w:after="160" w:line="300"/>
        <w:jc w:val="left"/>
      </w:pPr>
      <w:r>
        <w:rPr>
          <w:rFonts w:ascii="Arial" w:cs="Arial" w:hAnsi="Arial"/>
          <w:color w:val="000000"/>
          <w:sz w:val="21"/>
          <w:szCs w:val="21"/>
        </w:rPr>
        <w:t xml:space="preserve">Hi, I'm an API reseller integrating your Reseller API v1.0.0 into an automated store. My monthly volume on CDK products (Google 5TB family) is growing. Could we review my current unit prices against a 100/500-unit tier? Happy to commit to a monthly minimum for better rates.</w:t>
      </w:r>
    </w:p>
    <w:p>
      <w:pPr>
        <w:keepNext/>
        <w:bidi/>
        <w:spacing w:after="60" w:before="180" w:line="300"/>
        <w:jc w:val="start"/>
      </w:pPr>
      <w:r>
        <w:rPr>
          <w:rFonts w:ascii="Arial" w:cs="Arial" w:hAnsi="Arial"/>
          <w:b/>
          <w:bCs/>
          <w:color w:val="8A6D2F"/>
          <w:sz w:val="21"/>
          <w:szCs w:val="21"/>
          <w:rtl/>
        </w:rPr>
        <w:t xml:space="preserve">T6 — AIVerseX (بوت AIVerseXBot@) — إنجليزي</w:t>
      </w:r>
    </w:p>
    <w:p>
      <w:pPr>
        <w:pBdr>
          <w:top w:val="single" w:color="DDD5C0" w:sz="2" w:space="4"/>
          <w:bottom w:val="single" w:color="DDD5C0" w:sz="2" w:space="4"/>
          <w:left w:val="single" w:color="C9A84C" w:sz="14" w:space="8"/>
          <w:right w:val="single" w:color="DDD5C0" w:sz="2" w:space="4"/>
        </w:pBdr>
        <w:shd w:fill="F5F2E8" w:val="clear"/>
        <w:spacing w:after="160" w:line="300"/>
        <w:jc w:val="left"/>
      </w:pPr>
      <w:r>
        <w:rPr>
          <w:rFonts w:ascii="Arial" w:cs="Arial" w:hAnsi="Arial"/>
          <w:color w:val="000000"/>
          <w:sz w:val="21"/>
          <w:szCs w:val="21"/>
        </w:rPr>
        <w:t xml:space="preserve">Hello, I buy Gemini Pro 18M regularly (your flash price is competitive). Instead of catching flashes, I'd like a fixed 30-day wholesale price for a weekly volume of 30-50 units. Do you offer volume contracts? Also interested in Office 365 and Adobe Express at scale.</w:t>
      </w:r>
    </w:p>
    <w:p>
      <w:pPr>
        <w:keepNext/>
        <w:bidi/>
        <w:spacing w:after="60" w:before="180" w:line="300"/>
        <w:jc w:val="start"/>
      </w:pPr>
      <w:r>
        <w:rPr>
          <w:rFonts w:ascii="Arial" w:cs="Arial" w:hAnsi="Arial"/>
          <w:b/>
          <w:bCs/>
          <w:color w:val="8A6D2F"/>
          <w:sz w:val="21"/>
          <w:szCs w:val="21"/>
          <w:rtl/>
        </w:rPr>
        <w:t xml:space="preserve">T7 — AISUBSID (المالك AisubsIDFounder@) — إنجليزي</w:t>
      </w:r>
    </w:p>
    <w:p>
      <w:pPr>
        <w:pBdr>
          <w:top w:val="single" w:color="DDD5C0" w:sz="2" w:space="4"/>
          <w:bottom w:val="single" w:color="DDD5C0" w:sz="2" w:space="4"/>
          <w:left w:val="single" w:color="C9A84C" w:sz="14" w:space="8"/>
          <w:right w:val="single" w:color="DDD5C0" w:sz="2" w:space="4"/>
        </w:pBdr>
        <w:shd w:fill="F5F2E8" w:val="clear"/>
        <w:spacing w:after="160" w:line="300"/>
        <w:jc w:val="left"/>
      </w:pPr>
      <w:r>
        <w:rPr>
          <w:rFonts w:ascii="Arial" w:cs="Arial" w:hAnsi="Arial"/>
          <w:color w:val="000000"/>
          <w:sz w:val="21"/>
          <w:szCs w:val="21"/>
        </w:rPr>
        <w:t xml:space="preserve">Hello, I saw your channel announcement about the domain migration. I'm preparing a bulk purchase of ChatGPT Plus (10-50 units to start, growing monthly). Your bulk price was $2.50 - is it still valid post-migration? Also: are these UPI or VIP method accounts? I test survival rates before committing.</w:t>
      </w:r>
    </w:p>
    <w:p>
      <w:pPr>
        <w:keepNext/>
        <w:bidi/>
        <w:spacing w:after="60" w:before="180" w:line="300"/>
        <w:jc w:val="start"/>
      </w:pPr>
      <w:r>
        <w:rPr>
          <w:rFonts w:ascii="Arial" w:cs="Arial" w:hAnsi="Arial"/>
          <w:b/>
          <w:bCs/>
          <w:color w:val="8A6D2F"/>
          <w:sz w:val="21"/>
          <w:szCs w:val="21"/>
          <w:rtl/>
        </w:rPr>
        <w:t xml:space="preserve">T8 — teamsoclo (أدمن القناة/البوابة) — إنجليزي مبسط</w:t>
      </w:r>
    </w:p>
    <w:p>
      <w:pPr>
        <w:pBdr>
          <w:top w:val="single" w:color="DDD5C0" w:sz="2" w:space="4"/>
          <w:bottom w:val="single" w:color="DDD5C0" w:sz="2" w:space="4"/>
          <w:left w:val="single" w:color="C9A84C" w:sz="14" w:space="8"/>
          <w:right w:val="single" w:color="DDD5C0" w:sz="2" w:space="4"/>
        </w:pBdr>
        <w:shd w:fill="F5F2E8" w:val="clear"/>
        <w:spacing w:after="160" w:line="300"/>
        <w:jc w:val="left"/>
      </w:pPr>
      <w:r>
        <w:rPr>
          <w:rFonts w:ascii="Arial" w:cs="Arial" w:hAnsi="Arial"/>
          <w:color w:val="000000"/>
          <w:sz w:val="21"/>
          <w:szCs w:val="21"/>
        </w:rPr>
        <w:t xml:space="preserve">Hello, I operate a subscription store and buy AI credit products (Codex family) through a reseller. I'm interested in a direct reseller account on your gateway (gpt.teamsoclo.site). Could you share the reseller requirements, the current rate card for the 15 models, and your replacement policy for downtime?</w:t>
      </w:r>
    </w:p>
    <w:p>
      <w:pPr>
        <w:keepNext/>
        <w:bidi/>
        <w:spacing w:after="60" w:before="180" w:line="300"/>
        <w:jc w:val="start"/>
      </w:pPr>
      <w:r>
        <w:rPr>
          <w:rFonts w:ascii="Arial" w:cs="Arial" w:hAnsi="Arial"/>
          <w:b/>
          <w:bCs/>
          <w:color w:val="8A6D2F"/>
          <w:sz w:val="21"/>
          <w:szCs w:val="21"/>
          <w:rtl/>
        </w:rPr>
        <w:t xml:space="preserve">T9 — aivaulthub reseller (بوت Gemini_Shop_Robot@) — إنجليزي</w:t>
      </w:r>
    </w:p>
    <w:p>
      <w:pPr>
        <w:pBdr>
          <w:top w:val="single" w:color="DDD5C0" w:sz="2" w:space="4"/>
          <w:bottom w:val="single" w:color="DDD5C0" w:sz="2" w:space="4"/>
          <w:left w:val="single" w:color="C9A84C" w:sz="14" w:space="8"/>
          <w:right w:val="single" w:color="DDD5C0" w:sz="2" w:space="4"/>
        </w:pBdr>
        <w:shd w:fill="F5F2E8" w:val="clear"/>
        <w:spacing w:after="160" w:line="300"/>
        <w:jc w:val="left"/>
      </w:pPr>
      <w:r>
        <w:rPr>
          <w:rFonts w:ascii="Arial" w:cs="Arial" w:hAnsi="Arial"/>
          <w:color w:val="000000"/>
          <w:sz w:val="21"/>
          <w:szCs w:val="21"/>
        </w:rPr>
        <w:t xml:space="preserve">Hello, I have a reseller API account and I'm scaling Gemini Pro 18M sales. Could you share your current reseller rate card for the Gemini family, and any volume tiers above the standard reseller price?</w:t>
      </w:r>
    </w:p>
    <w:p>
      <w:pPr>
        <w:bidi/>
        <w:spacing w:after="140" w:line="312"/>
        <w:jc w:val="both"/>
      </w:pPr>
      <w:r>
        <w:rPr>
          <w:rFonts w:ascii="Arial" w:cs="Arial" w:hAnsi="Arial"/>
          <w:color w:val="000000"/>
          <w:sz w:val="24"/>
          <w:szCs w:val="24"/>
          <w:rtl/>
        </w:rPr>
        <w:t xml:space="preserve">متغير وحيد يحتاج تثبيتًا قبل الإرسال: نطاق الوحدات الشهرية المعلنة (المقترح خمسون إلى مئتي وحدة عبر أربع إلى ست عائلات). يُثبّت الرقم في موجة التجهيز ويُستخدم حرفيًا أمام كل الأطراف دون تناقض — فالأطراف المتشابكة في هذا السوق تتشارك المعلومات أسرع مما تتشارك المنتجات، وأي تناقض في أرقامك بين طرفين هو أضعف نقطة يمكن كشفك منها. وأما بقية عناصر النصوص فثابتة ومصممة بحيث لا تحتاج تعديلًا مهما تغيرت نتائج الموجات.</w:t>
      </w:r>
    </w:p>
    <w:p>
      <w:pPr>
        <w:pStyle w:val="Heading1"/>
        <w:bidi/>
        <w:spacing w:after="170" w:before="380" w:line="312"/>
        <w:jc w:val="start"/>
      </w:pPr>
      <w:bookmarkStart w:id="100024" w:name="_Toc100024"/>
      <w:r>
        <w:rPr>
          <w:rFonts w:ascii="Arial" w:cs="Arial" w:hAnsi="Arial"/>
          <w:b/>
          <w:bCs/>
          <w:color w:val="1A1A1A"/>
          <w:sz w:val="32"/>
          <w:szCs w:val="32"/>
          <w:rtl/>
        </w:rPr>
        <w:t xml:space="preserve">11. سلّم الميزانية وبوابات التحقق بالمعاملة</w:t>
      </w:r>
      <w:bookmarkEnd w:id="100024"/>
    </w:p>
    <w:p>
      <w:pPr>
        <w:bidi/>
        <w:spacing w:after="140" w:line="312"/>
        <w:jc w:val="both"/>
      </w:pPr>
      <w:r>
        <w:rPr>
          <w:rFonts w:ascii="Arial" w:cs="Arial" w:hAnsi="Arial"/>
          <w:color w:val="000000"/>
          <w:sz w:val="24"/>
          <w:szCs w:val="24"/>
          <w:rtl/>
        </w:rPr>
        <w:t xml:space="preserve">سلّم الميزانية ليس قائمة سقوف فقط بل قائمة قرارات مسبقة الصياغة: لكل درجة إيداع سقف مالي، وغرض استخباراتي محدد يبررها، وشرط نجاح يقرر ما إذا كانت الدرجة التالية تفتح. الدرجات من الأسفل: أولًا الاستعلام المكتوب المجاني (صفر دولار) وغرضه جداول الأسعار والسياسات؛ ثانيًا اختبار الشراء المصغر لدى مورد الجملة الموثق والمتجر المتخصص والمنصة الفيتنامية (عشرة إلى خمسين دولارًا لكل طرف) وغرضه قياس الجودة والبقاء وسرعة التسليم؛ ثالثًا إيداع المنصة الأم المختبر (ثلاثون إلى خمسون دولارًا) وشرطه إيصال موثق يكشف سكة الدفع؛ رابعًا رصيد بوابة المنبع وعينة الجملة الإندونيسية (خمسون إلى مائة وخمسة وعشرين دولارًا) وغرضه إثبات عقد المنبع المباشر. والسقف الإجمالي للافتتاح كله ثلاثمائة دولار لا تتجاوز بقرار المستخدم وحده.</w:t>
      </w:r>
    </w:p>
    <w:p>
      <w:pPr>
        <w:bidi/>
        <w:spacing w:after="140" w:line="312"/>
        <w:jc w:val="both"/>
      </w:pPr>
      <w:r>
        <w:rPr>
          <w:rFonts w:ascii="Arial" w:cs="Arial" w:hAnsi="Arial"/>
          <w:color w:val="000000"/>
          <w:sz w:val="24"/>
          <w:szCs w:val="24"/>
          <w:rtl/>
        </w:rPr>
        <w:t xml:space="preserve">الربط بالفجوات المفتوحة في المرجع الحاكم هو ما يجعل كل درجة إيداع استثمارًا مزدوجًا (توريدًا واستخباراتًا): فاتورة إيداع المنصة الأم قد تكشف الاسم القانوني للمشغل وتغلق آخر بقايا فجوة G-1a؛ وعينة الحسابات الإندونيسية تقيس فارق البقاء بين طريقتي VIP وUPI وتغذي فجوة G-8؛ والفحص الحي لبوت المزرعة بعد إعلان الهجرة يحسم فجوة G-6؛ والسؤال المباشر المدمج في محادثات لوحة الوكالة عن الفرق بين منتجي SLOT وCDK لعائلة Google يحسم فجوة G-4 التي لا تُحسم إلا بسؤال البائعين؛ وأول تسليم فعلي من أي مورد يكشف بصمات روابط المصدر ويغذي استدلال G-2. هكذا تتحول كل خطوة تفاوضية إلى تقدم استخباراتي حتى لو لم تُثمر تفاوضيًا.</w:t>
      </w:r>
    </w:p>
    <w:p>
      <w:pPr>
        <w:keepNext/>
        <w:bidi/>
        <w:spacing w:after="80" w:before="180" w:line="312"/>
        <w:jc w:val="start"/>
      </w:pPr>
      <w:r>
        <w:rPr>
          <w:rFonts w:ascii="Arial" w:cs="Arial" w:hAnsi="Arial"/>
          <w:b/>
          <w:bCs/>
          <w:color w:val="1A1A1A"/>
          <w:sz w:val="21"/>
          <w:szCs w:val="21"/>
          <w:rtl/>
        </w:rPr>
        <w:t xml:space="preserve">جدول 10: سلّم الميزانية وأغراض التحقق</w:t>
      </w:r>
    </w:p>
    <w:tbl>
      <w:tblPr>
        <w:bidiVisual/>
        <w:tblW w:type="pct" w:w="100%"/>
        <w:tblBorders>
          <w:top w:val="single" w:color="C9A84C" w:sz="4"/>
          <w:left w:val="none"/>
          <w:bottom w:val="single" w:color="C9A84C" w:sz="4"/>
          <w:right w:val="none"/>
          <w:insideH w:val="single" w:color="DDD5C0" w:sz="2"/>
          <w:insideV w:val="single" w:color="DDD5C0" w:sz="2"/>
        </w:tblBorders>
      </w:tblPr>
      <w:tblGrid>
        <w:gridCol w:w="100"/>
        <w:gridCol w:w="100"/>
        <w:gridCol w:w="100"/>
        <w:gridCol w:w="100"/>
      </w:tblGrid>
      <w:tr>
        <w:trPr>
          <w:cantSplit/>
          <w:tblHeader/>
        </w:trPr>
        <w:tc>
          <w:tcPr>
            <w:tcW w:type="pct" w:w="26%"/>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الدرجة</w:t>
            </w:r>
          </w:p>
        </w:tc>
        <w:tc>
          <w:tcPr>
            <w:tcW w:type="pct" w:w="12%"/>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السقف</w:t>
            </w:r>
          </w:p>
        </w:tc>
        <w:tc>
          <w:tcPr>
            <w:tcW w:type="pct" w:w="30%"/>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الغرض التفاوضي</w:t>
            </w:r>
          </w:p>
        </w:tc>
        <w:tc>
          <w:tcPr>
            <w:tcW w:type="pct" w:w="32%"/>
            <w:shd w:fill="C9A84C" w:val="clear"/>
            <w:tcMar>
              <w:top w:type="dxa" w:w="60"/>
              <w:left w:type="dxa" w:w="90"/>
              <w:bottom w:type="dxa" w:w="60"/>
              <w:right w:type="dxa" w:w="90"/>
            </w:tcMar>
          </w:tcPr>
          <w:p>
            <w:pPr>
              <w:bidi/>
              <w:spacing w:line="276"/>
              <w:jc w:val="center"/>
            </w:pPr>
            <w:r>
              <w:rPr>
                <w:rFonts w:ascii="Arial" w:cs="Arial" w:hAnsi="Arial"/>
                <w:b/>
                <w:bCs/>
                <w:color w:val="1A1A1A"/>
                <w:sz w:val="20"/>
                <w:szCs w:val="20"/>
                <w:rtl/>
              </w:rPr>
              <w:t xml:space="preserve">الغرض الاستخباراتي (فجوة PMRF)</w:t>
            </w:r>
          </w:p>
        </w:tc>
      </w:tr>
      <w:tr>
        <w:trPr>
          <w:cantSplit/>
        </w:trPr>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استعلام مكتوب (كل أطراف W1)</w:t>
            </w:r>
          </w:p>
        </w:tc>
        <w:tc>
          <w:tcPr>
            <w:tcW w:type="pct" w:w="12%"/>
            <w:tcMar>
              <w:top w:type="dxa" w:w="50"/>
              <w:left w:type="dxa" w:w="90"/>
              <w:bottom w:type="dxa" w:w="50"/>
              <w:right w:type="dxa" w:w="90"/>
            </w:tcMar>
          </w:tcPr>
          <w:p>
            <w:pPr>
              <w:bidi/>
              <w:spacing w:line="276"/>
              <w:jc w:val="start"/>
            </w:pPr>
            <w:r>
              <w:rPr>
                <w:rFonts w:ascii="Arial" w:cs="Arial" w:hAnsi="Arial"/>
                <w:color w:val="000000"/>
                <w:sz w:val="19"/>
                <w:szCs w:val="19"/>
                <w:rtl/>
              </w:rPr>
              <w:t xml:space="preserve">صفر</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جداول أسعار وسياسات مكتوبة</w:t>
            </w:r>
          </w:p>
        </w:tc>
        <w:tc>
          <w:tcPr>
            <w:tcW w:type="pct" w:w="32%"/>
            <w:tcMar>
              <w:top w:type="dxa" w:w="50"/>
              <w:left w:type="dxa" w:w="90"/>
              <w:bottom w:type="dxa" w:w="50"/>
              <w:right w:type="dxa" w:w="90"/>
            </w:tcMar>
          </w:tcPr>
          <w:p>
            <w:pPr>
              <w:bidi/>
              <w:spacing w:line="276"/>
              <w:jc w:val="start"/>
            </w:pPr>
            <w:r>
              <w:rPr>
                <w:rFonts w:ascii="Arial" w:cs="Arial" w:hAnsi="Arial"/>
                <w:color w:val="000000"/>
                <w:sz w:val="19"/>
                <w:szCs w:val="19"/>
                <w:rtl/>
              </w:rPr>
              <w:t xml:space="preserve">تحديث لقطة الأسعار الحية</w:t>
            </w:r>
          </w:p>
        </w:tc>
      </w:tr>
      <w:tr>
        <w:trPr>
          <w:cantSplit/>
        </w:trPr>
        <w:tc>
          <w:tcPr>
            <w:tcW w:type="pct" w:w="2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اختبار شراء مصغر (DigitalCore · AIVerseX · canboso)</w:t>
            </w:r>
          </w:p>
        </w:tc>
        <w:tc>
          <w:tcPr>
            <w:tcW w:type="pct" w:w="1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10–50 للطرف</w:t>
            </w:r>
          </w:p>
        </w:tc>
        <w:tc>
          <w:tcPr>
            <w:tcW w:type="pct" w:w="3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إثبات جدية + قياس جودة</w:t>
            </w:r>
          </w:p>
        </w:tc>
        <w:tc>
          <w:tcPr>
            <w:tcW w:type="pct" w:w="3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G-8: قياس البقاء والاستبدال</w:t>
            </w:r>
          </w:p>
        </w:tc>
      </w:tr>
      <w:tr>
        <w:trPr>
          <w:cantSplit/>
        </w:trPr>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إيداع المنصة الأم بفاتورة</w:t>
            </w:r>
          </w:p>
        </w:tc>
        <w:tc>
          <w:tcPr>
            <w:tcW w:type="pct" w:w="12%"/>
            <w:tcMar>
              <w:top w:type="dxa" w:w="50"/>
              <w:left w:type="dxa" w:w="90"/>
              <w:bottom w:type="dxa" w:w="50"/>
              <w:right w:type="dxa" w:w="90"/>
            </w:tcMar>
          </w:tcPr>
          <w:p>
            <w:pPr>
              <w:bidi/>
              <w:spacing w:line="276"/>
              <w:jc w:val="start"/>
            </w:pPr>
            <w:r>
              <w:rPr>
                <w:rFonts w:ascii="Arial" w:cs="Arial" w:hAnsi="Arial"/>
                <w:color w:val="000000"/>
                <w:sz w:val="19"/>
                <w:szCs w:val="19"/>
                <w:rtl/>
              </w:rPr>
              <w:t xml:space="preserve">30–50</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فتح الجدول المخفي والتدرج</w:t>
            </w:r>
          </w:p>
        </w:tc>
        <w:tc>
          <w:tcPr>
            <w:tcW w:type="pct" w:w="32%"/>
            <w:tcMar>
              <w:top w:type="dxa" w:w="50"/>
              <w:left w:type="dxa" w:w="90"/>
              <w:bottom w:type="dxa" w:w="50"/>
              <w:right w:type="dxa" w:w="90"/>
            </w:tcMar>
          </w:tcPr>
          <w:p>
            <w:pPr>
              <w:bidi/>
              <w:spacing w:line="276"/>
              <w:jc w:val="start"/>
            </w:pPr>
            <w:r>
              <w:rPr>
                <w:rFonts w:ascii="Arial" w:cs="Arial" w:hAnsi="Arial"/>
                <w:color w:val="000000"/>
                <w:sz w:val="19"/>
                <w:szCs w:val="19"/>
                <w:rtl/>
              </w:rPr>
              <w:t xml:space="preserve">G-1a: الاسم القانوني عبر سكة الدفع</w:t>
            </w:r>
          </w:p>
        </w:tc>
      </w:tr>
      <w:tr>
        <w:trPr>
          <w:cantSplit/>
        </w:trPr>
        <w:tc>
          <w:tcPr>
            <w:tcW w:type="pct" w:w="26%"/>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رصيد بوابة المنبع + عينة جملة إندونيسية</w:t>
            </w:r>
          </w:p>
        </w:tc>
        <w:tc>
          <w:tcPr>
            <w:tcW w:type="pct" w:w="1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75–125</w:t>
            </w:r>
          </w:p>
        </w:tc>
        <w:tc>
          <w:tcPr>
            <w:tcW w:type="pct" w:w="30%"/>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إثبات عقد منبع مباشر</w:t>
            </w:r>
          </w:p>
        </w:tc>
        <w:tc>
          <w:tcPr>
            <w:tcW w:type="pct" w:w="32%"/>
            <w:shd w:fill="F5F2E8" w:val="clear"/>
            <w:tcMar>
              <w:top w:type="dxa" w:w="50"/>
              <w:left w:type="dxa" w:w="90"/>
              <w:bottom w:type="dxa" w:w="50"/>
              <w:right w:type="dxa" w:w="90"/>
            </w:tcMar>
          </w:tcPr>
          <w:p>
            <w:pPr>
              <w:bidi/>
              <w:spacing w:line="276"/>
              <w:jc w:val="start"/>
            </w:pPr>
            <w:r>
              <w:rPr>
                <w:rFonts w:ascii="Arial" w:cs="Arial" w:hAnsi="Arial"/>
                <w:color w:val="000000"/>
                <w:sz w:val="19"/>
                <w:szCs w:val="19"/>
                <w:rtl/>
              </w:rPr>
              <w:t xml:space="preserve">G-2: بصمة روابط المصدر عند التسليم</w:t>
            </w:r>
          </w:p>
        </w:tc>
      </w:tr>
      <w:tr>
        <w:trPr>
          <w:cantSplit/>
        </w:trPr>
        <w:tc>
          <w:tcPr>
            <w:tcW w:type="pct" w:w="26%"/>
            <w:tcMar>
              <w:top w:type="dxa" w:w="50"/>
              <w:left w:type="dxa" w:w="90"/>
              <w:bottom w:type="dxa" w:w="50"/>
              <w:right w:type="dxa" w:w="90"/>
            </w:tcMar>
          </w:tcPr>
          <w:p>
            <w:pPr>
              <w:bidi/>
              <w:spacing w:line="276"/>
              <w:jc w:val="start"/>
            </w:pPr>
            <w:r>
              <w:rPr>
                <w:rFonts w:ascii="Arial" w:cs="Arial" w:hAnsi="Arial"/>
                <w:color w:val="000000"/>
                <w:sz w:val="19"/>
                <w:szCs w:val="19"/>
                <w:rtl/>
              </w:rPr>
              <w:t xml:space="preserve">السقف الإجمالي لحملة الافتتاح</w:t>
            </w:r>
          </w:p>
        </w:tc>
        <w:tc>
          <w:tcPr>
            <w:tcW w:type="pct" w:w="12%"/>
            <w:tcMar>
              <w:top w:type="dxa" w:w="50"/>
              <w:left w:type="dxa" w:w="90"/>
              <w:bottom w:type="dxa" w:w="50"/>
              <w:right w:type="dxa" w:w="90"/>
            </w:tcMar>
          </w:tcPr>
          <w:p>
            <w:pPr>
              <w:bidi/>
              <w:spacing w:line="276"/>
              <w:jc w:val="start"/>
            </w:pPr>
            <w:r>
              <w:rPr>
                <w:rFonts w:ascii="Arial" w:cs="Arial" w:hAnsi="Arial"/>
                <w:color w:val="000000"/>
                <w:sz w:val="19"/>
                <w:szCs w:val="19"/>
                <w:rtl/>
              </w:rPr>
              <w:t xml:space="preserve">300</w:t>
            </w:r>
          </w:p>
        </w:tc>
        <w:tc>
          <w:tcPr>
            <w:tcW w:type="pct" w:w="30%"/>
            <w:tcMar>
              <w:top w:type="dxa" w:w="50"/>
              <w:left w:type="dxa" w:w="90"/>
              <w:bottom w:type="dxa" w:w="50"/>
              <w:right w:type="dxa" w:w="90"/>
            </w:tcMar>
          </w:tcPr>
          <w:p>
            <w:pPr>
              <w:bidi/>
              <w:spacing w:line="276"/>
              <w:jc w:val="start"/>
            </w:pPr>
            <w:r>
              <w:rPr>
                <w:rFonts w:ascii="Arial" w:cs="Arial" w:hAnsi="Arial"/>
                <w:color w:val="000000"/>
                <w:sz w:val="19"/>
                <w:szCs w:val="19"/>
                <w:rtl/>
              </w:rPr>
              <w:t xml:space="preserve">ثلاثة أطراف فعالة على الأقل</w:t>
            </w:r>
          </w:p>
        </w:tc>
        <w:tc>
          <w:tcPr>
            <w:tcW w:type="pct" w:w="32%"/>
            <w:tcMar>
              <w:top w:type="dxa" w:w="50"/>
              <w:left w:type="dxa" w:w="90"/>
              <w:bottom w:type="dxa" w:w="50"/>
              <w:right w:type="dxa" w:w="90"/>
            </w:tcMar>
          </w:tcPr>
          <w:p>
            <w:pPr>
              <w:bidi/>
              <w:spacing w:line="276"/>
              <w:jc w:val="start"/>
            </w:pPr>
            <w:r>
              <w:rPr>
                <w:rFonts w:ascii="Arial" w:cs="Arial" w:hAnsi="Arial"/>
                <w:color w:val="000000"/>
                <w:sz w:val="19"/>
                <w:szCs w:val="19"/>
                <w:rtl/>
              </w:rPr>
              <w:t xml:space="preserve">إغلاق أو تقليص G-4 وG-6 وG-8</w:t>
            </w:r>
          </w:p>
        </w:tc>
      </w:tr>
    </w:tbl>
    <w:p>
      <w:pPr>
        <w:spacing w:after="140"/>
      </w:pPr>
    </w:p>
    <w:p>
      <w:pPr>
        <w:bidi/>
        <w:spacing w:after="140" w:line="312"/>
        <w:jc w:val="both"/>
      </w:pPr>
      <w:r>
        <w:rPr>
          <w:rFonts w:ascii="Arial" w:cs="Arial" w:hAnsi="Arial"/>
          <w:color w:val="000000"/>
          <w:sz w:val="24"/>
          <w:szCs w:val="24"/>
          <w:rtl/>
        </w:rPr>
        <w:t xml:space="preserve">قاعدة الدفع الموحدة لكل الدرجات: عملات مشفرة فقط بالقنوات الرسمية المعلنة لكل طرف (عنوان TRC-20 أو Binance Pay حسب ما يعلنه الطرف)، ولا تشارك أبدًا قناة دفع مرتبطة بهويتك الشخصية الرسمية مع أي طرف قبل سجل تعامل موثق، ولا يُستخدم أي وسط دفع يتطلب مستندات هوية. وكل دفعة تُوثق بلقطة شاشة ومرجع معاملة في سجل الحملة قبل إرسالها، والوصول الفعلي للمنتج يوثق كذلك — فالأثر الورقي الكامل هو حمايتك الوحيدة في سوق لا يعرف النزاعات الرسمية.</w:t>
      </w:r>
    </w:p>
    <w:p>
      <w:pPr>
        <w:pStyle w:val="Heading1"/>
        <w:bidi/>
        <w:spacing w:after="170" w:before="380" w:line="312"/>
        <w:jc w:val="start"/>
      </w:pPr>
      <w:bookmarkStart w:id="100025" w:name="_Toc100025"/>
      <w:r>
        <w:rPr>
          <w:rFonts w:ascii="Arial" w:cs="Arial" w:hAnsi="Arial"/>
          <w:b/>
          <w:bCs/>
          <w:color w:val="1A1A1A"/>
          <w:sz w:val="32"/>
          <w:szCs w:val="32"/>
          <w:rtl/>
        </w:rPr>
        <w:t xml:space="preserve">12. سجل الحملة ومؤشرات النجاح ومعايير الإيقاف</w:t>
      </w:r>
      <w:bookmarkEnd w:id="100025"/>
    </w:p>
    <w:p>
      <w:pPr>
        <w:bidi/>
        <w:spacing w:after="140" w:line="312"/>
        <w:jc w:val="both"/>
      </w:pPr>
      <w:r>
        <w:rPr>
          <w:rFonts w:ascii="Arial" w:cs="Arial" w:hAnsi="Arial"/>
          <w:color w:val="000000"/>
          <w:sz w:val="24"/>
          <w:szCs w:val="24"/>
          <w:rtl/>
        </w:rPr>
        <w:t xml:space="preserve">كل تفاعل في الحملة — رسالة، تذكرة، دفعة، تسليم، صمت — يُسجل فور حدوثه في سجل الحملة بحقول ثابتة: التاريخ والوقت، والطرف، والقناة، والطريقة المستخدمة من السلّم الخماسي، ورمز السيناريو الذي تحقق فعليًا من مصفوفة السيناريوهات، ونص الرد ملخصًا، والنتيجة، والخطوة التالية وتاريخها المستهدف. هذا السجل ليس رفاهية تنظيمية بل هو ذاكرة الحملة التشغيلية: بموجبه تُحدَّث احتمالات السيناريوهات بعد كل تفاعل (فالسيناريو الذي تحقق يرفع وزن سيناريوهاته المتجاورة)، وتُبنى ورقة كل طرف التفاوضية التراكمية، ويُحاسب أداء الحملة على مؤشرات لا على انطباعات. ويُحفظ السجل بملف مستقل يُحدث مع كل تفاعل ويُراجع عند كل بوابة موجة.</w:t>
      </w:r>
    </w:p>
    <w:p>
      <w:pPr>
        <w:bidi/>
        <w:spacing w:after="140" w:line="312"/>
        <w:jc w:val="both"/>
      </w:pPr>
      <w:r>
        <w:rPr>
          <w:rFonts w:ascii="Arial" w:cs="Arial" w:hAnsi="Arial"/>
          <w:color w:val="000000"/>
          <w:sz w:val="24"/>
          <w:szCs w:val="24"/>
          <w:rtl/>
        </w:rPr>
        <w:t xml:space="preserve">مؤشرات نجاح حملة الافتتاح خمسة، وكلها قابلة للقياس الموضوعي: أولًا جمع جداول أسعار أو سياسات مكتوبة من خمسة أطراف على الأقل (لا عروض شفهية)؛ ثانيًا تحقيق تحسين سعري موثق لا يقل عن عشرة بالمئة تحت تكلفة StackVault المرصودة في ثلاث عائلات رئيسية على الأقل؛ ثالثًا تنفيذ اختبار شراء موثق واحد على الأقل لكل طرف مصنف «فعالًا» في نهاية الحملة؛ رابعًا إغلاق عقد منبع مباشر واحد يعمل فعليًا (بوابة أو مزرعة)؛ خامسًا تقدم استخباراتي موثق في فجوات المرجع الحاكم المفتوحة (الاسم القانوني، أو حالة المزرعة الإندونيسية، أو قياس البقاء، أو الفرق بين المنتجين). وأما معايير الإيقاف فثلاثة لا استثناء فيها: طلب توثيق هوية رسمية مع إصرار يوقف الطرف نهائيًا؛ وخسارة أي إيداع اختباري بلا تسليم يوقف الطرف ويحوله للقائمة السوداء الداخلية؛ وأي مؤشر يكشف أن الطرف يربط تفاعلك بنشاط استطلاعي يجمّد الحملة كلها ثلاثين يومًا بمراجعة شاملة للهوية والقنوات.</w:t>
      </w:r>
    </w:p>
    <w:p>
      <w:pPr>
        <w:pStyle w:val="Heading1"/>
        <w:bidi/>
        <w:spacing w:after="170" w:before="380" w:line="312"/>
        <w:jc w:val="start"/>
      </w:pPr>
      <w:bookmarkStart w:id="100026" w:name="_Toc100026"/>
      <w:r>
        <w:rPr>
          <w:rFonts w:ascii="Arial" w:cs="Arial" w:hAnsi="Arial"/>
          <w:b/>
          <w:bCs/>
          <w:color w:val="1A1A1A"/>
          <w:sz w:val="32"/>
          <w:szCs w:val="32"/>
          <w:rtl/>
        </w:rPr>
        <w:t xml:space="preserve">13. ملحق المصادر — خريطة كل رقم في هذا الدليل</w:t>
      </w:r>
      <w:bookmarkEnd w:id="100026"/>
    </w:p>
    <w:p>
      <w:pPr>
        <w:bidi/>
        <w:spacing w:after="140" w:line="312"/>
        <w:jc w:val="both"/>
      </w:pPr>
      <w:r>
        <w:rPr>
          <w:rFonts w:ascii="Arial" w:cs="Arial" w:hAnsi="Arial"/>
          <w:color w:val="000000"/>
          <w:sz w:val="24"/>
          <w:szCs w:val="24"/>
          <w:rtl/>
        </w:rPr>
        <w:t xml:space="preserve">كل رقم وكل سلوك ورد في هذا الدليل يستند إلى مصدر موثق في أصول المشروع، وليس فيه رقم واحد بلا مرجع. تكلفة StackVault للعائلات (K12 بـ4.62، وPlus بـ10.67–11.05، وOffice بـ0.21، وCanva بـ0.60، وDuolingo بـ0.15–0.23، وCapCut بـ1.25، وAdobe بـ0.50) مأخوذة من حقل التكلفة في أرشيف الكتالوج الموحد (357 سجلًا بينها 356 بتكلفة موثقة، بهامش وسيط 20.1%). والأسعار المعلنة لقناة المنصة (K12 بـ3.80 بتاريخ 20/09، وOffice جملة بـ0.17 وGmail بـ0.60/0.75/0.80 وDuolingo بـ0.55 بتاريخ 19/09) موثقة بإعلانات القناة الرسمية المؤرخة في بطاقات الموردين. وأسعار المنافسين (جملة المزرعة الإندونيسية 2.50 وفلاشها 2.80 بتاريخ 27–28/09، وفلاش AIVerseX بـ0.39 بتاريخ 28/09، وK12 لدى المنافس الفيتنامي بـ4.58 بتاريخ 28/09، وVIP بـ10.77 بتاريخ 25/09) موثقة بإعلانات قنواتهم المؤرخة. وتدرجات مورد الجملة الموثق (شرائح Gemini 0.80/0.75/0.70 وDuolingo 0.55/0.50/0.45 وCoursera حتى 4 شرائح) مقروءة مباشرة من واجهته البرمجية بتاريخ 02/10. وقائمة بوابة المنبع (خمسة عشر موديلًا) مقروءة من صفحة أسعارها الحية. ونسبة المقارنة 0.912 محسوبة من 111 زوجًا مطابقًا بين كتالوجين (التحليل R3/P3a). والقنوات الاتصالية لكل طرف موثقة بفحص سلبي حي بتاريخ 30/09 في بطاقات الموردين وتقارير هوية المشغل بتاريخ 02/10. والبنية الهرمية للأطراف (المنصة الأم والمنصة الشقيقة والبوابة المنبع واللوحات) محسومة في المرجع الحاكم v1.4 بأدلته السبعة.</w:t>
      </w:r>
    </w:p>
    <w:p>
      <w:pPr>
        <w:bidi/>
        <w:spacing w:after="140" w:line="312"/>
        <w:jc w:val="both"/>
      </w:pPr>
      <w:r>
        <w:rPr>
          <w:rFonts w:ascii="Arial" w:cs="Arial" w:hAnsi="Arial"/>
          <w:color w:val="000000"/>
          <w:sz w:val="24"/>
          <w:szCs w:val="24"/>
          <w:rtl/>
        </w:rPr>
        <w:t xml:space="preserve">التذكير الختامي بالقاعدة التأسيسية: كل هذه الأرقام إعلانية بتاريخ رصدها، ولم يُنفذ في المشروع كله شراء تحقق واحد بعد (فجوة G-7 المفتوحة بقرار المستخدم). لذلك تُعامل أوراق الضغط أرضيةً تفاوضية لا عقودًا نهائية، ويُعاد قياس أي رقم حاسم عبر الشراء الاختباري قبل بناء أي التزام تشغيلي عليه. عند تحقق أول معاملة موثقة، تُحدَّث هذه الوثيقة والمصفوفة معًا بإصدار مراجعة يسجل الفروق بين الأسعار المعلنة والفعلية لكل طرف — وهو الفارق الذي يحدد وحده الشكل النهائي لشبكة التوريد.</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bidi/>
      <w:jc w:val="start"/>
    </w:pPr>
    <w:r>
      <w:rPr>
        <w:rFonts w:ascii="Arial" w:cs="Arial" w:hAnsi="Arial"/>
        <w:color w:val="808080"/>
        <w:sz w:val="18"/>
        <w:szCs w:val="18"/>
        <w:rtl/>
      </w:rPr>
      <w:t xml:space="preserve">دليل حملة التفاوض الافتتاحية — الطبقة التشغيلية على PMRF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70" w:before="380" w:line="312"/>
      <w:outlineLvl w:val="0"/>
    </w:pPr>
    <w:rPr>
      <w:rFonts w:ascii="Arial" w:cs="Arial" w:hAnsi="Arial"/>
      <w:b/>
      <w:bCs/>
      <w:color w:val="1A1A1A"/>
      <w:sz w:val="32"/>
      <w:szCs w:val="32"/>
    </w:rPr>
  </w:style>
  <w:style w:type="paragraph" w:styleId="Heading2">
    <w:name w:val="Heading 2"/>
    <w:basedOn w:val="Normal"/>
    <w:next w:val="Normal"/>
    <w:qFormat/>
    <w:pPr>
      <w:spacing w:after="120" w:before="260" w:line="312"/>
      <w:outlineLvl w:val="1"/>
    </w:pPr>
    <w:rPr>
      <w:rFonts w:ascii="Arial" w:cs="Arial" w:hAnsi="Arial"/>
      <w:b/>
      <w:bCs/>
      <w:color w:val="8A6D2F"/>
      <w:sz w:val="27"/>
      <w:szCs w:val="27"/>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2026-10-02T03:12:44.246Z</dcterms:created>
  <dcterms:modified xsi:type="dcterms:W3CDTF">2026-10-02T03:12:44.246Z</dcterms:modified>
</cp:coreProperties>
</file>

<file path=docProps/custom.xml><?xml version="1.0" encoding="utf-8"?>
<Properties xmlns="http://schemas.openxmlformats.org/officeDocument/2006/custom-properties" xmlns:vt="http://schemas.openxmlformats.org/officeDocument/2006/docPropsVTypes"/>
</file>