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F2B33" w:val="clear"/>
          </w:tcPr>
          <w:p>
            <w:pPr>
              <w:spacing w:before="4092"/>
            </w:pPr>
          </w:p>
          <w:p>
            <w:pPr>
              <w:pBdr>
                <w:bottom w:val="single" w:color="3FC1A9" w:sz="6" w:space="8"/>
              </w:pBdr>
              <w:bidi/>
              <w:spacing w:after="500" w:line="276"/>
              <w:ind w:left="800" w:right="1200"/>
              <w:jc w:val="start"/>
            </w:pPr>
            <w:r>
              <w:rPr>
                <w:rFonts w:ascii="Arial" w:cs="Arial" w:hAnsi="Arial"/>
                <w:color w:val="3FC1A9"/>
                <w:spacing w:val="40"/>
                <w:sz w:val="18"/>
                <w:szCs w:val="18"/>
              </w:rPr>
              <w:t xml:space="preserve">V  E  R  I  F  I  E  D     S  U  P  P  L  Y     S  O  U  R  C  E  S</w:t>
            </w:r>
          </w:p>
          <w:p>
            <w:pPr>
              <w:bidi/>
              <w:spacing w:after="100" w:line="920" w:lineRule="atLeast"/>
              <w:ind w:right="1200"/>
              <w:jc w:val="start"/>
            </w:pPr>
            <w:r>
              <w:rPr>
                <w:rFonts w:ascii="Arial" w:cs="Arial" w:hAnsi="Arial"/>
                <w:b/>
                <w:bCs/>
                <w:color w:val="FFFFFF"/>
                <w:sz w:val="80"/>
                <w:szCs w:val="80"/>
                <w:rtl/>
              </w:rPr>
              <w:t xml:space="preserve">مصادر التوريد الموثقة</w:t>
            </w:r>
          </w:p>
          <w:p>
            <w:pPr>
              <w:bidi/>
              <w:spacing w:after="300" w:line="920" w:lineRule="atLeast"/>
              <w:ind w:right="1200"/>
              <w:jc w:val="start"/>
            </w:pPr>
            <w:r>
              <w:rPr>
                <w:rFonts w:ascii="Arial" w:cs="Arial" w:hAnsi="Arial"/>
                <w:b/>
                <w:bCs/>
                <w:color w:val="FFFFFF"/>
                <w:sz w:val="80"/>
                <w:szCs w:val="80"/>
                <w:rtl/>
              </w:rPr>
              <w:t xml:space="preserve">للكيانات السبعة</w:t>
            </w:r>
          </w:p>
          <w:p>
            <w:pPr>
              <w:bidi/>
              <w:spacing w:after="800" w:line="312"/>
              <w:ind w:right="1200"/>
              <w:jc w:val="start"/>
            </w:pPr>
            <w:r>
              <w:rPr>
                <w:rFonts w:ascii="Arial" w:cs="Arial" w:hAnsi="Arial"/>
                <w:color w:val="B7CDD3"/>
                <w:sz w:val="24"/>
                <w:szCs w:val="24"/>
                <w:rtl/>
              </w:rPr>
              <w:t xml:space="preserve">تحديد مصدر التوريد الدقيق والتصنيف البنيوي الحاسم لكل مورد (مصنع / مورد جملة / متجر) — والتحقق المباشر من كل رابط: فعلي أم لا</w:t>
            </w:r>
          </w:p>
          <w:p>
            <w:pPr>
              <w:pBdr>
                <w:right w:val="single" w:color="3FC1A9" w:sz="8" w:space="12"/>
              </w:pBdr>
              <w:bidi/>
              <w:spacing w:after="80" w:line="312"/>
              <w:ind w:right="1400"/>
              <w:jc w:val="start"/>
            </w:pPr>
            <w:r>
              <w:rPr>
                <w:rFonts w:ascii="Arial" w:cs="Arial" w:hAnsi="Arial"/>
                <w:color w:val="9AB8BE"/>
                <w:sz w:val="24"/>
                <w:szCs w:val="24"/>
                <w:rtl/>
              </w:rPr>
              <w:t xml:space="preserve">النطاق: ProdSeller · Team Sóc Lọ · Evo Era · HitMeowShop · AISUBSID · storeBatmanBot · AiVerseX Hub</w:t>
            </w:r>
          </w:p>
          <w:p>
            <w:pPr>
              <w:pBdr>
                <w:right w:val="single" w:color="3FC1A9" w:sz="8" w:space="12"/>
              </w:pBdr>
              <w:bidi/>
              <w:spacing w:after="80" w:line="312"/>
              <w:ind w:right="1400"/>
              <w:jc w:val="start"/>
            </w:pPr>
            <w:r>
              <w:rPr>
                <w:rFonts w:ascii="Arial" w:cs="Arial" w:hAnsi="Arial"/>
                <w:color w:val="9AB8BE"/>
                <w:sz w:val="24"/>
                <w:szCs w:val="24"/>
                <w:rtl/>
              </w:rPr>
              <w:t xml:space="preserve">المرجع الحي: stackvault.shop — كتالوج 345 منتجًا (بادرتي ps_ و mr_)</w:t>
            </w:r>
          </w:p>
          <w:p>
            <w:pPr>
              <w:pBdr>
                <w:right w:val="single" w:color="3FC1A9" w:sz="8" w:space="12"/>
              </w:pBdr>
              <w:bidi/>
              <w:spacing w:after="80" w:line="312"/>
              <w:ind w:right="1400"/>
              <w:jc w:val="start"/>
            </w:pPr>
            <w:r>
              <w:rPr>
                <w:rFonts w:ascii="Arial" w:cs="Arial" w:hAnsi="Arial"/>
                <w:color w:val="9AB8BE"/>
                <w:sz w:val="24"/>
                <w:szCs w:val="24"/>
                <w:rtl/>
              </w:rPr>
              <w:t xml:space="preserve">الفحص الحي: 33 هدفًا — 30/09/2026 — منهجية OSINT سلبي صرف</w:t>
            </w:r>
          </w:p>
          <w:p>
            <w:pPr>
              <w:pBdr>
                <w:right w:val="single" w:color="3FC1A9" w:sz="8" w:space="12"/>
              </w:pBdr>
              <w:bidi/>
              <w:spacing w:after="80" w:line="312"/>
              <w:ind w:right="1400"/>
              <w:jc w:val="start"/>
            </w:pPr>
            <w:r>
              <w:rPr>
                <w:rFonts w:ascii="Arial" w:cs="Arial" w:hAnsi="Arial"/>
                <w:color w:val="9AB8BE"/>
                <w:sz w:val="24"/>
                <w:szCs w:val="24"/>
                <w:rtl/>
              </w:rPr>
              <w:t xml:space="preserve">التصنيف: ملف استخباري تشغيلي — للاستخدام الداخلي</w:t>
            </w:r>
          </w:p>
          <w:p>
            <w:pPr>
              <w:spacing w:before="4092"/>
            </w:pPr>
          </w:p>
          <w:p>
            <w:pPr>
              <w:pBdr>
                <w:top w:val="single" w:color="3FC1A9" w:sz="2" w:space="8"/>
              </w:pBdr>
              <w:bidi/>
              <w:spacing w:before="200" w:line="276"/>
              <w:ind w:left="800" w:right="1200"/>
              <w:jc w:val="start"/>
            </w:pPr>
            <w:r>
              <w:rPr>
                <w:rFonts w:ascii="Arial" w:cs="Arial" w:hAnsi="Arial"/>
                <w:color w:val="6E8B91"/>
                <w:sz w:val="16"/>
                <w:szCs w:val="16"/>
                <w:rtl/>
              </w:rPr>
              <w:t xml:space="preserve">2026-09-30</w:t>
            </w:r>
            <w:r>
              <w:rPr>
                <w:rFonts w:ascii="Arial" w:cs="Arial" w:hAnsi="Arial"/>
              </w:rPr>
              <w:t xml:space="preserve">                                        </w:t>
            </w:r>
            <w:r>
              <w:rPr>
                <w:rFonts w:ascii="Arial" w:cs="Arial" w:hAnsi="Arial"/>
                <w:color w:val="6E8B91"/>
                <w:sz w:val="16"/>
                <w:szCs w:val="16"/>
              </w:rPr>
              <w:t xml:space="preserve">Live-verified OSINT — Read-only</w:t>
            </w:r>
          </w:p>
        </w:tc>
      </w:tr>
    </w:tbl>
    <w:p>
      <w:pPr>
        <w:sectPr>
          <w:pgSz w:w="11906" w:h="16838" w:orient="portrait"/>
          <w:pgMar w:top="0" w:right="0" w:bottom="0" w:left="0" w:header="708" w:footer="708" w:gutter="0"/>
          <w:docGrid w:linePitch="360"/>
        </w:sectPr>
      </w:pPr>
    </w:p>
    <w:p>
      <w:pPr>
        <w:spacing w:after="360" w:before="480"/>
        <w:jc w:val="center"/>
      </w:pPr>
      <w:r>
        <w:rPr>
          <w:rFonts w:ascii="Arial" w:cs="Arial" w:hAnsi="Arial"/>
          <w:b/>
          <w:bCs/>
          <w:color w:val="0F2B33"/>
          <w:sz w:val="32"/>
          <w:szCs w:val="32"/>
          <w:rtl/>
        </w:rPr>
        <w:t xml:space="preserve">المحتويات</w:t>
      </w:r>
    </w:p>
    <w:sdt>
      <w:sdtPr>
        <w:alias w:val="Table of Contents"/>
      </w:sdtPr>
      <w:sdtContent>
        <w:p>
          <w:r>
            <w:fldChar w:fldCharType="begin" w:dirty="true"/>
          </w:r>
          <w:r>
            <w:instrText xml:space="preserve">TOC \h \o "1-1"</w:instrText>
          </w:r>
          <w:r>
            <w:fldChar w:fldCharType="separate"/>
          </w:r>
        </w:p>
        <w:p>
          <w:pPr>
            <w:pStyle w:val="9"/>
            <w:tabs>
              <w:tab w:val="right" w:leader="dot" w:pos="9026"/>
            </w:tabs>
            <w:spacing w:before="120" w:after="60"/>
          </w:pPr>
          <w:hyperlink w:anchor="_Toc100000" w:history="1">
            <w:r>
              <w:rPr>
                <w:rStyle w:val="Hyperlink"/>
              </w:rPr>
              <w:t>1. الملخص التنفيذي</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التصنيف الحاسم: مصنع أم مورد جملة أم متجر</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منهجية التحقق ومعايير الحكم على الروابط</w:t>
            </w:r>
            <w:r>
              <w:tab/>
            </w:r>
            <w:r>
              <w:fldChar w:fldCharType="begin"/>
            </w:r>
            <w:r>
              <w:instrText xml:space="preserve"> PAGEREF _Toc100002 \h </w:instrText>
            </w:r>
            <w:r>
              <w:fldChar w:fldCharType="separate"/>
            </w:r>
            <w:r>
              <w:t>3</w:t>
            </w:r>
            <w:r>
              <w:fldChar w:fldCharType="end"/>
            </w:r>
          </w:hyperlink>
        </w:p>
        <w:p>
          <w:pPr>
            <w:pStyle w:val="9"/>
            <w:tabs>
              <w:tab w:val="right" w:leader="dot" w:pos="9026"/>
            </w:tabs>
            <w:spacing w:before="120" w:after="60"/>
          </w:pPr>
          <w:hyperlink w:anchor="_Toc100003" w:history="1">
            <w:r>
              <w:rPr>
                <w:rStyle w:val="Hyperlink"/>
              </w:rPr>
              <w:t>4. التحقق من الرابط الرئيسي: stackvault.shop</w:t>
            </w:r>
            <w:r>
              <w:tab/>
            </w:r>
            <w:r>
              <w:fldChar w:fldCharType="begin"/>
            </w:r>
            <w:r>
              <w:instrText xml:space="preserve"> PAGEREF _Toc100003 \h </w:instrText>
            </w:r>
            <w:r>
              <w:fldChar w:fldCharType="separate"/>
            </w:r>
            <w:r>
              <w:t>4</w:t>
            </w:r>
            <w:r>
              <w:fldChar w:fldCharType="end"/>
            </w:r>
          </w:hyperlink>
        </w:p>
        <w:p>
          <w:pPr>
            <w:pStyle w:val="9"/>
            <w:tabs>
              <w:tab w:val="right" w:leader="dot" w:pos="9026"/>
            </w:tabs>
            <w:spacing w:before="120" w:after="60"/>
          </w:pPr>
          <w:hyperlink w:anchor="_Toc100004" w:history="1">
            <w:r>
              <w:rPr>
                <w:rStyle w:val="Hyperlink"/>
              </w:rPr>
              <w:t>5. المصفوفة الشاملة لنتائج التحقق</w:t>
            </w:r>
            <w:r>
              <w:tab/>
            </w:r>
            <w:r>
              <w:fldChar w:fldCharType="begin"/>
            </w:r>
            <w:r>
              <w:instrText xml:space="preserve"> PAGEREF _Toc100004 \h </w:instrText>
            </w:r>
            <w:r>
              <w:fldChar w:fldCharType="separate"/>
            </w:r>
            <w:r>
              <w:t>5</w:t>
            </w:r>
            <w:r>
              <w:fldChar w:fldCharType="end"/>
            </w:r>
          </w:hyperlink>
        </w:p>
        <w:p>
          <w:pPr>
            <w:pStyle w:val="9"/>
            <w:tabs>
              <w:tab w:val="right" w:leader="dot" w:pos="9026"/>
            </w:tabs>
            <w:spacing w:before="120" w:after="60"/>
          </w:pPr>
          <w:hyperlink w:anchor="_Toc100005" w:history="1">
            <w:r>
              <w:rPr>
                <w:rStyle w:val="Hyperlink"/>
              </w:rPr>
              <w:t>6. ProdSeller — المورد الرئيسي (بادئة ps_)</w:t>
            </w:r>
            <w:r>
              <w:tab/>
            </w:r>
            <w:r>
              <w:fldChar w:fldCharType="begin"/>
            </w:r>
            <w:r>
              <w:instrText xml:space="preserve"> PAGEREF _Toc100005 \h </w:instrText>
            </w:r>
            <w:r>
              <w:fldChar w:fldCharType="separate"/>
            </w:r>
            <w:r>
              <w:t>6</w:t>
            </w:r>
            <w:r>
              <w:fldChar w:fldCharType="end"/>
            </w:r>
          </w:hyperlink>
        </w:p>
        <w:p>
          <w:pPr>
            <w:pStyle w:val="11"/>
            <w:ind w:left="360"/>
            <w:tabs>
              <w:tab w:val="right" w:leader="dot" w:pos="9026"/>
            </w:tabs>
            <w:spacing w:before="120" w:after="60"/>
          </w:pPr>
          <w:hyperlink w:anchor="_Toc100006" w:history="1">
            <w:r>
              <w:rPr>
                <w:rStyle w:val="Hyperlink"/>
              </w:rPr>
              <w:t>البطاقة التعريفية والدور في سلسلة التوريد</w:t>
            </w:r>
            <w:r>
              <w:tab/>
            </w:r>
            <w:r>
              <w:fldChar w:fldCharType="begin"/>
            </w:r>
            <w:r>
              <w:instrText xml:space="preserve"> PAGEREF _Toc100006 \h </w:instrText>
            </w:r>
            <w:r>
              <w:fldChar w:fldCharType="separate"/>
            </w:r>
            <w:r>
              <w:t>6</w:t>
            </w:r>
            <w:r>
              <w:fldChar w:fldCharType="end"/>
            </w:r>
          </w:hyperlink>
        </w:p>
        <w:p>
          <w:pPr>
            <w:pStyle w:val="11"/>
            <w:ind w:left="360"/>
            <w:tabs>
              <w:tab w:val="right" w:leader="dot" w:pos="9026"/>
            </w:tabs>
            <w:spacing w:before="120" w:after="60"/>
          </w:pPr>
          <w:hyperlink w:anchor="_Toc100007" w:history="1">
            <w:r>
              <w:rPr>
                <w:rStyle w:val="Hyperlink"/>
              </w:rPr>
              <w:t>مصدر التوريد الدقيق والروابط الموثقة</w:t>
            </w:r>
            <w:r>
              <w:tab/>
            </w:r>
            <w:r>
              <w:fldChar w:fldCharType="begin"/>
            </w:r>
            <w:r>
              <w:instrText xml:space="preserve"> PAGEREF _Toc100007 \h </w:instrText>
            </w:r>
            <w:r>
              <w:fldChar w:fldCharType="separate"/>
            </w:r>
            <w:r>
              <w:t>6</w:t>
            </w:r>
            <w:r>
              <w:fldChar w:fldCharType="end"/>
            </w:r>
          </w:hyperlink>
        </w:p>
        <w:p>
          <w:pPr>
            <w:pStyle w:val="11"/>
            <w:ind w:left="360"/>
            <w:tabs>
              <w:tab w:val="right" w:leader="dot" w:pos="9026"/>
            </w:tabs>
            <w:spacing w:before="120" w:after="60"/>
          </w:pPr>
          <w:hyperlink w:anchor="_Toc100008" w:history="1">
            <w:r>
              <w:rPr>
                <w:rStyle w:val="Hyperlink"/>
              </w:rPr>
              <w:t>الأسعار الموثقة من مصادر المورد نفسه</w:t>
            </w:r>
            <w:r>
              <w:tab/>
            </w:r>
            <w:r>
              <w:fldChar w:fldCharType="begin"/>
            </w:r>
            <w:r>
              <w:instrText xml:space="preserve"> PAGEREF _Toc100008 \h </w:instrText>
            </w:r>
            <w:r>
              <w:fldChar w:fldCharType="separate"/>
            </w:r>
            <w:r>
              <w:t>7</w:t>
            </w:r>
            <w:r>
              <w:fldChar w:fldCharType="end"/>
            </w:r>
          </w:hyperlink>
        </w:p>
        <w:p>
          <w:pPr>
            <w:pStyle w:val="9"/>
            <w:tabs>
              <w:tab w:val="right" w:leader="dot" w:pos="9026"/>
            </w:tabs>
            <w:spacing w:before="120" w:after="60"/>
          </w:pPr>
          <w:hyperlink w:anchor="_Toc100009" w:history="1">
            <w:r>
              <w:rPr>
                <w:rStyle w:val="Hyperlink"/>
              </w:rPr>
              <w:t>7. Team Sóc Lọ — المصنّع المنبع (فيتنام)</w:t>
            </w:r>
            <w:r>
              <w:tab/>
            </w:r>
            <w:r>
              <w:fldChar w:fldCharType="begin"/>
            </w:r>
            <w:r>
              <w:instrText xml:space="preserve"> PAGEREF _Toc100009 \h </w:instrText>
            </w:r>
            <w:r>
              <w:fldChar w:fldCharType="separate"/>
            </w:r>
            <w:r>
              <w:t>7</w:t>
            </w:r>
            <w:r>
              <w:fldChar w:fldCharType="end"/>
            </w:r>
          </w:hyperlink>
        </w:p>
        <w:p>
          <w:pPr>
            <w:pStyle w:val="11"/>
            <w:ind w:left="360"/>
            <w:tabs>
              <w:tab w:val="right" w:leader="dot" w:pos="9026"/>
            </w:tabs>
            <w:spacing w:before="120" w:after="60"/>
          </w:pPr>
          <w:hyperlink w:anchor="_Toc100010" w:history="1">
            <w:r>
              <w:rPr>
                <w:rStyle w:val="Hyperlink"/>
              </w:rPr>
              <w:t>البطاقة التعريفية والدور في سلسلة التوريد</w:t>
            </w:r>
            <w:r>
              <w:tab/>
            </w:r>
            <w:r>
              <w:fldChar w:fldCharType="begin"/>
            </w:r>
            <w:r>
              <w:instrText xml:space="preserve"> PAGEREF _Toc100010 \h </w:instrText>
            </w:r>
            <w:r>
              <w:fldChar w:fldCharType="separate"/>
            </w:r>
            <w:r>
              <w:t>7</w:t>
            </w:r>
            <w:r>
              <w:fldChar w:fldCharType="end"/>
            </w:r>
          </w:hyperlink>
        </w:p>
        <w:p>
          <w:pPr>
            <w:pStyle w:val="11"/>
            <w:ind w:left="360"/>
            <w:tabs>
              <w:tab w:val="right" w:leader="dot" w:pos="9026"/>
            </w:tabs>
            <w:spacing w:before="120" w:after="60"/>
          </w:pPr>
          <w:hyperlink w:anchor="_Toc100011" w:history="1">
            <w:r>
              <w:rPr>
                <w:rStyle w:val="Hyperlink"/>
              </w:rPr>
              <w:t>مصدر التوريد الدقيق والروابط الموثقة</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الأسعار وشروط التعامل</w:t>
            </w:r>
            <w:r>
              <w:tab/>
            </w:r>
            <w:r>
              <w:fldChar w:fldCharType="begin"/>
            </w:r>
            <w:r>
              <w:instrText xml:space="preserve"> PAGEREF _Toc100012 \h </w:instrText>
            </w:r>
            <w:r>
              <w:fldChar w:fldCharType="separate"/>
            </w:r>
            <w:r>
              <w:t>8</w:t>
            </w:r>
            <w:r>
              <w:fldChar w:fldCharType="end"/>
            </w:r>
          </w:hyperlink>
        </w:p>
        <w:p>
          <w:pPr>
            <w:pStyle w:val="9"/>
            <w:tabs>
              <w:tab w:val="right" w:leader="dot" w:pos="9026"/>
            </w:tabs>
            <w:spacing w:before="120" w:after="60"/>
          </w:pPr>
          <w:hyperlink w:anchor="_Toc100013" w:history="1">
            <w:r>
              <w:rPr>
                <w:rStyle w:val="Hyperlink"/>
              </w:rPr>
              <w:t>8. Evo Era — المصدر اليدوي (بادئة mr_)</w:t>
            </w:r>
            <w:r>
              <w:tab/>
            </w:r>
            <w:r>
              <w:fldChar w:fldCharType="begin"/>
            </w:r>
            <w:r>
              <w:instrText xml:space="preserve"> PAGEREF _Toc100013 \h </w:instrText>
            </w:r>
            <w:r>
              <w:fldChar w:fldCharType="separate"/>
            </w:r>
            <w:r>
              <w:t>8</w:t>
            </w:r>
            <w:r>
              <w:fldChar w:fldCharType="end"/>
            </w:r>
          </w:hyperlink>
        </w:p>
        <w:p>
          <w:pPr>
            <w:pStyle w:val="11"/>
            <w:ind w:left="360"/>
            <w:tabs>
              <w:tab w:val="right" w:leader="dot" w:pos="9026"/>
            </w:tabs>
            <w:spacing w:before="120" w:after="60"/>
          </w:pPr>
          <w:hyperlink w:anchor="_Toc100014" w:history="1">
            <w:r>
              <w:rPr>
                <w:rStyle w:val="Hyperlink"/>
              </w:rPr>
              <w:t>البطاقة التعريفية والدور في سلسلة التوريد</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مصدر التوريد الدقيق والدليل على الهوية</w:t>
            </w:r>
            <w:r>
              <w:tab/>
            </w:r>
            <w:r>
              <w:fldChar w:fldCharType="begin"/>
            </w:r>
            <w:r>
              <w:instrText xml:space="preserve"> PAGEREF _Toc100015 \h </w:instrText>
            </w:r>
            <w:r>
              <w:fldChar w:fldCharType="separate"/>
            </w:r>
            <w:r>
              <w:t>9</w:t>
            </w:r>
            <w:r>
              <w:fldChar w:fldCharType="end"/>
            </w:r>
          </w:hyperlink>
        </w:p>
        <w:p>
          <w:pPr>
            <w:pStyle w:val="11"/>
            <w:ind w:left="360"/>
            <w:tabs>
              <w:tab w:val="right" w:leader="dot" w:pos="9026"/>
            </w:tabs>
            <w:spacing w:before="120" w:after="60"/>
          </w:pPr>
          <w:hyperlink w:anchor="_Toc100016" w:history="1">
            <w:r>
              <w:rPr>
                <w:rStyle w:val="Hyperlink"/>
              </w:rPr>
              <w:t>الأسعار الموثقة من مصادر المورد نفسه</w:t>
            </w:r>
            <w:r>
              <w:tab/>
            </w:r>
            <w:r>
              <w:fldChar w:fldCharType="begin"/>
            </w:r>
            <w:r>
              <w:instrText xml:space="preserve"> PAGEREF _Toc100016 \h </w:instrText>
            </w:r>
            <w:r>
              <w:fldChar w:fldCharType="separate"/>
            </w:r>
            <w:r>
              <w:t>9</w:t>
            </w:r>
            <w:r>
              <w:fldChar w:fldCharType="end"/>
            </w:r>
          </w:hyperlink>
        </w:p>
        <w:p>
          <w:pPr>
            <w:pStyle w:val="9"/>
            <w:tabs>
              <w:tab w:val="right" w:leader="dot" w:pos="9026"/>
            </w:tabs>
            <w:spacing w:before="120" w:after="60"/>
          </w:pPr>
          <w:hyperlink w:anchor="_Toc100017" w:history="1">
            <w:r>
              <w:rPr>
                <w:rStyle w:val="Hyperlink"/>
              </w:rPr>
              <w:t>9. HitMeowShop — البديل المنافس (مشغّل فيتنامي)</w:t>
            </w:r>
            <w:r>
              <w:tab/>
            </w:r>
            <w:r>
              <w:fldChar w:fldCharType="begin"/>
            </w:r>
            <w:r>
              <w:instrText xml:space="preserve"> PAGEREF _Toc100017 \h </w:instrText>
            </w:r>
            <w:r>
              <w:fldChar w:fldCharType="separate"/>
            </w:r>
            <w:r>
              <w:t>10</w:t>
            </w:r>
            <w:r>
              <w:fldChar w:fldCharType="end"/>
            </w:r>
          </w:hyperlink>
        </w:p>
        <w:p>
          <w:pPr>
            <w:pStyle w:val="11"/>
            <w:ind w:left="360"/>
            <w:tabs>
              <w:tab w:val="right" w:leader="dot" w:pos="9026"/>
            </w:tabs>
            <w:spacing w:before="120" w:after="60"/>
          </w:pPr>
          <w:hyperlink w:anchor="_Toc100018" w:history="1">
            <w:r>
              <w:rPr>
                <w:rStyle w:val="Hyperlink"/>
              </w:rPr>
              <w:t>البطاقة التعريفية والدور في سلسلة التوريد</w:t>
            </w:r>
            <w:r>
              <w:tab/>
            </w:r>
            <w:r>
              <w:fldChar w:fldCharType="begin"/>
            </w:r>
            <w:r>
              <w:instrText xml:space="preserve"> PAGEREF _Toc100018 \h </w:instrText>
            </w:r>
            <w:r>
              <w:fldChar w:fldCharType="separate"/>
            </w:r>
            <w:r>
              <w:t>10</w:t>
            </w:r>
            <w:r>
              <w:fldChar w:fldCharType="end"/>
            </w:r>
          </w:hyperlink>
        </w:p>
        <w:p>
          <w:pPr>
            <w:pStyle w:val="11"/>
            <w:ind w:left="360"/>
            <w:tabs>
              <w:tab w:val="right" w:leader="dot" w:pos="9026"/>
            </w:tabs>
            <w:spacing w:before="120" w:after="60"/>
          </w:pPr>
          <w:hyperlink w:anchor="_Toc100019" w:history="1">
            <w:r>
              <w:rPr>
                <w:rStyle w:val="Hyperlink"/>
              </w:rPr>
              <w:t>مصدر التوريد الدقيق والروابط الموثقة</w:t>
            </w:r>
            <w:r>
              <w:tab/>
            </w:r>
            <w:r>
              <w:fldChar w:fldCharType="begin"/>
            </w:r>
            <w:r>
              <w:instrText xml:space="preserve"> PAGEREF _Toc100019 \h </w:instrText>
            </w:r>
            <w:r>
              <w:fldChar w:fldCharType="separate"/>
            </w:r>
            <w:r>
              <w:t>10</w:t>
            </w:r>
            <w:r>
              <w:fldChar w:fldCharType="end"/>
            </w:r>
          </w:hyperlink>
        </w:p>
        <w:p>
          <w:pPr>
            <w:pStyle w:val="11"/>
            <w:ind w:left="360"/>
            <w:tabs>
              <w:tab w:val="right" w:leader="dot" w:pos="9026"/>
            </w:tabs>
            <w:spacing w:before="120" w:after="60"/>
          </w:pPr>
          <w:hyperlink w:anchor="_Toc100020" w:history="1">
            <w:r>
              <w:rPr>
                <w:rStyle w:val="Hyperlink"/>
              </w:rPr>
              <w:t>الأسعار الموثقة من مصادر المورد نفسه</w:t>
            </w:r>
            <w:r>
              <w:tab/>
            </w:r>
            <w:r>
              <w:fldChar w:fldCharType="begin"/>
            </w:r>
            <w:r>
              <w:instrText xml:space="preserve"> PAGEREF _Toc100020 \h </w:instrText>
            </w:r>
            <w:r>
              <w:fldChar w:fldCharType="separate"/>
            </w:r>
            <w:r>
              <w:t>11</w:t>
            </w:r>
            <w:r>
              <w:fldChar w:fldCharType="end"/>
            </w:r>
          </w:hyperlink>
        </w:p>
        <w:p>
          <w:pPr>
            <w:pStyle w:val="9"/>
            <w:tabs>
              <w:tab w:val="right" w:leader="dot" w:pos="9026"/>
            </w:tabs>
            <w:spacing w:before="120" w:after="60"/>
          </w:pPr>
          <w:hyperlink w:anchor="_Toc100021" w:history="1">
            <w:r>
              <w:rPr>
                <w:rStyle w:val="Hyperlink"/>
              </w:rPr>
              <w:t>10. AISUBSID — ورقة الضغط السعري (إندونيسيا)</w:t>
            </w:r>
            <w:r>
              <w:tab/>
            </w:r>
            <w:r>
              <w:fldChar w:fldCharType="begin"/>
            </w:r>
            <w:r>
              <w:instrText xml:space="preserve"> PAGEREF _Toc100021 \h </w:instrText>
            </w:r>
            <w:r>
              <w:fldChar w:fldCharType="separate"/>
            </w:r>
            <w:r>
              <w:t>11</w:t>
            </w:r>
            <w:r>
              <w:fldChar w:fldCharType="end"/>
            </w:r>
          </w:hyperlink>
        </w:p>
        <w:p>
          <w:pPr>
            <w:pStyle w:val="11"/>
            <w:ind w:left="360"/>
            <w:tabs>
              <w:tab w:val="right" w:leader="dot" w:pos="9026"/>
            </w:tabs>
            <w:spacing w:before="120" w:after="60"/>
          </w:pPr>
          <w:hyperlink w:anchor="_Toc100022" w:history="1">
            <w:r>
              <w:rPr>
                <w:rStyle w:val="Hyperlink"/>
              </w:rPr>
              <w:t>البطاقة التعريفية والدور في سلسلة التوريد</w:t>
            </w:r>
            <w:r>
              <w:tab/>
            </w:r>
            <w:r>
              <w:fldChar w:fldCharType="begin"/>
            </w:r>
            <w:r>
              <w:instrText xml:space="preserve"> PAGEREF _Toc100022 \h </w:instrText>
            </w:r>
            <w:r>
              <w:fldChar w:fldCharType="separate"/>
            </w:r>
            <w:r>
              <w:t>11</w:t>
            </w:r>
            <w:r>
              <w:fldChar w:fldCharType="end"/>
            </w:r>
          </w:hyperlink>
        </w:p>
        <w:p>
          <w:pPr>
            <w:pStyle w:val="11"/>
            <w:ind w:left="360"/>
            <w:tabs>
              <w:tab w:val="right" w:leader="dot" w:pos="9026"/>
            </w:tabs>
            <w:spacing w:before="120" w:after="60"/>
          </w:pPr>
          <w:hyperlink w:anchor="_Toc100023" w:history="1">
            <w:r>
              <w:rPr>
                <w:rStyle w:val="Hyperlink"/>
              </w:rPr>
              <w:t>مصدر التوريد الدقيق والروابط الموثقة</w:t>
            </w:r>
            <w:r>
              <w:tab/>
            </w:r>
            <w:r>
              <w:fldChar w:fldCharType="begin"/>
            </w:r>
            <w:r>
              <w:instrText xml:space="preserve"> PAGEREF _Toc100023 \h </w:instrText>
            </w:r>
            <w:r>
              <w:fldChar w:fldCharType="separate"/>
            </w:r>
            <w:r>
              <w:t>11</w:t>
            </w:r>
            <w:r>
              <w:fldChar w:fldCharType="end"/>
            </w:r>
          </w:hyperlink>
        </w:p>
        <w:p>
          <w:pPr>
            <w:pStyle w:val="11"/>
            <w:ind w:left="360"/>
            <w:tabs>
              <w:tab w:val="right" w:leader="dot" w:pos="9026"/>
            </w:tabs>
            <w:spacing w:before="120" w:after="60"/>
          </w:pPr>
          <w:hyperlink w:anchor="_Toc100024" w:history="1">
            <w:r>
              <w:rPr>
                <w:rStyle w:val="Hyperlink"/>
              </w:rPr>
              <w:t>الأسعار الموثقة من مصادر المورد نفسه</w:t>
            </w:r>
            <w:r>
              <w:tab/>
            </w:r>
            <w:r>
              <w:fldChar w:fldCharType="begin"/>
            </w:r>
            <w:r>
              <w:instrText xml:space="preserve"> PAGEREF _Toc100024 \h </w:instrText>
            </w:r>
            <w:r>
              <w:fldChar w:fldCharType="separate"/>
            </w:r>
            <w:r>
              <w:t>12</w:t>
            </w:r>
            <w:r>
              <w:fldChar w:fldCharType="end"/>
            </w:r>
          </w:hyperlink>
        </w:p>
        <w:p>
          <w:pPr>
            <w:pStyle w:val="9"/>
            <w:tabs>
              <w:tab w:val="right" w:leader="dot" w:pos="9026"/>
            </w:tabs>
            <w:spacing w:before="120" w:after="60"/>
          </w:pPr>
          <w:hyperlink w:anchor="_Toc100025" w:history="1">
            <w:r>
              <w:rPr>
                <w:rStyle w:val="Hyperlink"/>
              </w:rPr>
              <w:t>11. storeBatmanBot — المرشح الجديد (إندونيسيا)</w:t>
            </w:r>
            <w:r>
              <w:tab/>
            </w:r>
            <w:r>
              <w:fldChar w:fldCharType="begin"/>
            </w:r>
            <w:r>
              <w:instrText xml:space="preserve"> PAGEREF _Toc100025 \h </w:instrText>
            </w:r>
            <w:r>
              <w:fldChar w:fldCharType="separate"/>
            </w:r>
            <w:r>
              <w:t>12</w:t>
            </w:r>
            <w:r>
              <w:fldChar w:fldCharType="end"/>
            </w:r>
          </w:hyperlink>
        </w:p>
        <w:p>
          <w:pPr>
            <w:pStyle w:val="11"/>
            <w:ind w:left="360"/>
            <w:tabs>
              <w:tab w:val="right" w:leader="dot" w:pos="9026"/>
            </w:tabs>
            <w:spacing w:before="120" w:after="60"/>
          </w:pPr>
          <w:hyperlink w:anchor="_Toc100026" w:history="1">
            <w:r>
              <w:rPr>
                <w:rStyle w:val="Hyperlink"/>
              </w:rPr>
              <w:t>البطاقة التعريفية والدور في سلسلة التوريد</w:t>
            </w:r>
            <w:r>
              <w:tab/>
            </w:r>
            <w:r>
              <w:fldChar w:fldCharType="begin"/>
            </w:r>
            <w:r>
              <w:instrText xml:space="preserve"> PAGEREF _Toc100026 \h </w:instrText>
            </w:r>
            <w:r>
              <w:fldChar w:fldCharType="separate"/>
            </w:r>
            <w:r>
              <w:t>13</w:t>
            </w:r>
            <w:r>
              <w:fldChar w:fldCharType="end"/>
            </w:r>
          </w:hyperlink>
        </w:p>
        <w:p>
          <w:pPr>
            <w:pStyle w:val="11"/>
            <w:ind w:left="360"/>
            <w:tabs>
              <w:tab w:val="right" w:leader="dot" w:pos="9026"/>
            </w:tabs>
            <w:spacing w:before="120" w:after="60"/>
          </w:pPr>
          <w:hyperlink w:anchor="_Toc100027" w:history="1">
            <w:r>
              <w:rPr>
                <w:rStyle w:val="Hyperlink"/>
              </w:rPr>
              <w:t>مصدر التوريد الدقيق والروابط الموثقة</w:t>
            </w:r>
            <w:r>
              <w:tab/>
            </w:r>
            <w:r>
              <w:fldChar w:fldCharType="begin"/>
            </w:r>
            <w:r>
              <w:instrText xml:space="preserve"> PAGEREF _Toc100027 \h </w:instrText>
            </w:r>
            <w:r>
              <w:fldChar w:fldCharType="separate"/>
            </w:r>
            <w:r>
              <w:t>13</w:t>
            </w:r>
            <w:r>
              <w:fldChar w:fldCharType="end"/>
            </w:r>
          </w:hyperlink>
        </w:p>
        <w:p>
          <w:pPr>
            <w:pStyle w:val="9"/>
            <w:tabs>
              <w:tab w:val="right" w:leader="dot" w:pos="9026"/>
            </w:tabs>
            <w:spacing w:before="120" w:after="60"/>
          </w:pPr>
          <w:hyperlink w:anchor="_Toc100028" w:history="1">
            <w:r>
              <w:rPr>
                <w:rStyle w:val="Hyperlink"/>
              </w:rPr>
              <w:t>12. AiVerseX Hub — المرشح الأكبر والأنشط (22,942 مشتركًا)</w:t>
            </w:r>
            <w:r>
              <w:tab/>
            </w:r>
            <w:r>
              <w:fldChar w:fldCharType="begin"/>
            </w:r>
            <w:r>
              <w:instrText xml:space="preserve"> PAGEREF _Toc100028 \h </w:instrText>
            </w:r>
            <w:r>
              <w:fldChar w:fldCharType="separate"/>
            </w:r>
            <w:r>
              <w:t>14</w:t>
            </w:r>
            <w:r>
              <w:fldChar w:fldCharType="end"/>
            </w:r>
          </w:hyperlink>
        </w:p>
        <w:p>
          <w:pPr>
            <w:pStyle w:val="11"/>
            <w:ind w:left="360"/>
            <w:tabs>
              <w:tab w:val="right" w:leader="dot" w:pos="9026"/>
            </w:tabs>
            <w:spacing w:before="120" w:after="60"/>
          </w:pPr>
          <w:hyperlink w:anchor="_Toc100029" w:history="1">
            <w:r>
              <w:rPr>
                <w:rStyle w:val="Hyperlink"/>
              </w:rPr>
              <w:t>البطاقة التعريفية والدور في سلسلة التوريد</w:t>
            </w:r>
            <w:r>
              <w:tab/>
            </w:r>
            <w:r>
              <w:fldChar w:fldCharType="begin"/>
            </w:r>
            <w:r>
              <w:instrText xml:space="preserve"> PAGEREF _Toc100029 \h </w:instrText>
            </w:r>
            <w:r>
              <w:fldChar w:fldCharType="separate"/>
            </w:r>
            <w:r>
              <w:t>14</w:t>
            </w:r>
            <w:r>
              <w:fldChar w:fldCharType="end"/>
            </w:r>
          </w:hyperlink>
        </w:p>
        <w:p>
          <w:pPr>
            <w:pStyle w:val="11"/>
            <w:ind w:left="360"/>
            <w:tabs>
              <w:tab w:val="right" w:leader="dot" w:pos="9026"/>
            </w:tabs>
            <w:spacing w:before="120" w:after="60"/>
          </w:pPr>
          <w:hyperlink w:anchor="_Toc100030" w:history="1">
            <w:r>
              <w:rPr>
                <w:rStyle w:val="Hyperlink"/>
              </w:rPr>
              <w:t>مصدر التوريد الدقيق والروابط الموثقة</w:t>
            </w:r>
            <w:r>
              <w:tab/>
            </w:r>
            <w:r>
              <w:fldChar w:fldCharType="begin"/>
            </w:r>
            <w:r>
              <w:instrText xml:space="preserve"> PAGEREF _Toc100030 \h </w:instrText>
            </w:r>
            <w:r>
              <w:fldChar w:fldCharType="separate"/>
            </w:r>
            <w:r>
              <w:t>14</w:t>
            </w:r>
            <w:r>
              <w:fldChar w:fldCharType="end"/>
            </w:r>
          </w:hyperlink>
        </w:p>
        <w:p>
          <w:pPr>
            <w:pStyle w:val="11"/>
            <w:ind w:left="360"/>
            <w:tabs>
              <w:tab w:val="right" w:leader="dot" w:pos="9026"/>
            </w:tabs>
            <w:spacing w:before="120" w:after="60"/>
          </w:pPr>
          <w:hyperlink w:anchor="_Toc100031" w:history="1">
            <w:r>
              <w:rPr>
                <w:rStyle w:val="Hyperlink"/>
              </w:rPr>
              <w:t>الأسعار الموثقة من مصادر المورد نفسه</w:t>
            </w:r>
            <w:r>
              <w:tab/>
            </w:r>
            <w:r>
              <w:fldChar w:fldCharType="begin"/>
            </w:r>
            <w:r>
              <w:instrText xml:space="preserve"> PAGEREF _Toc100031 \h </w:instrText>
            </w:r>
            <w:r>
              <w:fldChar w:fldCharType="separate"/>
            </w:r>
            <w:r>
              <w:t>15</w:t>
            </w:r>
            <w:r>
              <w:fldChar w:fldCharType="end"/>
            </w:r>
          </w:hyperlink>
        </w:p>
        <w:p>
          <w:pPr>
            <w:pStyle w:val="9"/>
            <w:tabs>
              <w:tab w:val="right" w:leader="dot" w:pos="9026"/>
            </w:tabs>
            <w:spacing w:before="120" w:after="60"/>
          </w:pPr>
          <w:hyperlink w:anchor="_Toc100032" w:history="1">
            <w:r>
              <w:rPr>
                <w:rStyle w:val="Hyperlink"/>
              </w:rPr>
              <w:t>13. خريطة سلسلة التوريد والخلاصة التنفيذية</w:t>
            </w:r>
            <w:r>
              <w:tab/>
            </w:r>
            <w:r>
              <w:fldChar w:fldCharType="begin"/>
            </w:r>
            <w:r>
              <w:instrText xml:space="preserve"> PAGEREF _Toc100032 \h </w:instrText>
            </w:r>
            <w:r>
              <w:fldChar w:fldCharType="separate"/>
            </w:r>
            <w:r>
              <w:t>15</w:t>
            </w:r>
            <w:r>
              <w:fldChar w:fldCharType="end"/>
            </w:r>
          </w:hyperlink>
        </w:p>
        <w:p>
          <w:pPr>
            <w:pStyle w:val="11"/>
            <w:ind w:left="360"/>
            <w:tabs>
              <w:tab w:val="right" w:leader="dot" w:pos="9026"/>
            </w:tabs>
            <w:spacing w:before="120" w:after="60"/>
          </w:pPr>
          <w:hyperlink w:anchor="_Toc100033" w:history="1">
            <w:r>
              <w:rPr>
                <w:rStyle w:val="Hyperlink"/>
              </w:rPr>
              <w:t>الخريطة الموحدة للسلسلة والتصنيف البنيوي كما أثبتها الفحص</w:t>
            </w:r>
            <w:r>
              <w:tab/>
            </w:r>
            <w:r>
              <w:fldChar w:fldCharType="begin"/>
            </w:r>
            <w:r>
              <w:instrText xml:space="preserve"> PAGEREF _Toc100033 \h </w:instrText>
            </w:r>
            <w:r>
              <w:fldChar w:fldCharType="separate"/>
            </w:r>
            <w:r>
              <w:t>15</w:t>
            </w:r>
            <w:r>
              <w:fldChar w:fldCharType="end"/>
            </w:r>
          </w:hyperlink>
        </w:p>
        <w:p>
          <w:pPr>
            <w:pStyle w:val="11"/>
            <w:ind w:left="360"/>
            <w:tabs>
              <w:tab w:val="right" w:leader="dot" w:pos="9026"/>
            </w:tabs>
            <w:spacing w:before="120" w:after="60"/>
          </w:pPr>
          <w:hyperlink w:anchor="_Toc100034" w:history="1">
            <w:r>
              <w:rPr>
                <w:rStyle w:val="Hyperlink"/>
              </w:rPr>
              <w:t>التوصيات التنفيذية المباشرة</w:t>
            </w:r>
            <w:r>
              <w:tab/>
            </w:r>
            <w:r>
              <w:fldChar w:fldCharType="begin"/>
            </w:r>
            <w:r>
              <w:instrText xml:space="preserve"> PAGEREF _Toc100034 \h </w:instrText>
            </w:r>
            <w:r>
              <w:fldChar w:fldCharType="separate"/>
            </w:r>
            <w:r>
              <w:t>16</w:t>
            </w:r>
            <w:r>
              <w:fldChar w:fldCharType="end"/>
            </w:r>
          </w:hyperlink>
        </w:p>
        <w:p>
          <w:r>
            <w:fldChar w:fldCharType="end"/>
          </w:r>
        </w:p>
      </w:sdtContent>
    </w:sdt>
    <w:p>
      <w:pPr>
        <w:bidi/>
        <w:spacing w:before="200"/>
      </w:pPr>
      <w:r>
        <w:rPr>
          <w:rFonts w:ascii="Arial" w:cs="Arial" w:hAnsi="Arial"/>
          <w:i/>
          <w:iCs/>
          <w:color w:val="888888"/>
          <w:sz w:val="18"/>
          <w:szCs w:val="18"/>
          <w:rtl/>
        </w:rPr>
        <w:t xml:space="preserve">ملاحظة: هذا الفهرس مولّد بحقول التحديث؛ لضمان دقة أرقام الصفحات بعد أي تعديل، انقر بزر الفأرة الأيمن على الفهرس ثم اختر «تحديث الحقل».</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bidi/>
        <w:spacing w:after="160" w:before="360" w:line="312"/>
        <w:jc w:val="start"/>
      </w:pPr>
      <w:bookmarkStart w:id="100000" w:name="_Toc100000"/>
      <w:r>
        <w:rPr>
          <w:rFonts w:ascii="Arial" w:cs="Arial" w:hAnsi="Arial"/>
          <w:b/>
          <w:bCs/>
          <w:color w:val="0F2B33"/>
          <w:sz w:val="32"/>
          <w:szCs w:val="32"/>
          <w:rtl/>
        </w:rPr>
        <w:t xml:space="preserve">1. الملخص التنفيذي</w:t>
      </w:r>
      <w:bookmarkEnd w:id="100000"/>
    </w:p>
    <w:p>
      <w:pPr>
        <w:bidi/>
        <w:spacing w:after="120" w:line="312"/>
        <w:jc w:val="start"/>
      </w:pPr>
      <w:r>
        <w:rPr>
          <w:rFonts w:ascii="Arial" w:cs="Arial" w:hAnsi="Arial"/>
          <w:color w:val="000000"/>
          <w:sz w:val="24"/>
          <w:szCs w:val="24"/>
          <w:rtl/>
        </w:rPr>
        <w:t xml:space="preserve">يجيب هذا الملف على طلب محدد: استخراج مصادر التوريد بدقة متناهية لكل مورد من القائمة المطلوبة، والتحقق المباشر من كل رابط — هل هو فعلي أم لا. بعد إزالة التكرار (ورد HitMeowShop مرتين، و@ProdSellerBot هو بوت المبيعات التابع لكيان ProdSeller نفسه) استقر النطاق على سبعة كيانات فريدة: ProdSeller، وTeam Sóc Lọ (teamsoclo)، وEvo Era، وHitMeowShop، وAISUBSID، وstoreBatmanBot، وAiVerseX Hub. خضع كل رابط معلن لهذه الكيانات لفحص حي مباشر بتاريخ 30/09/2026 (نحو الساعة 03:00 بتوقيت UTC) شمل 33 هدفًا: 27 هدفًا أساسيًا و6 أهداف تكميلية لعنقود storeBatman وجذر النطاقات.</w:t>
      </w:r>
    </w:p>
    <w:p>
      <w:pPr>
        <w:bidi/>
        <w:spacing w:after="120" w:line="312"/>
        <w:jc w:val="start"/>
      </w:pPr>
      <w:r>
        <w:rPr>
          <w:rFonts w:ascii="Arial" w:cs="Arial" w:hAnsi="Arial"/>
          <w:color w:val="000000"/>
          <w:sz w:val="24"/>
          <w:szCs w:val="24"/>
          <w:rtl/>
        </w:rPr>
        <w:t xml:space="preserve">النتيجة الحاسمة للتحقق: 27 رابطًا فعليًا مؤكدًا بمحتوى حي (رمز استجابة 200 مع علامات كيان فعلية: الاسم المعروض وعدد المشتركين وسجل النشر)، مقابل 5 روابط ميتة مؤكدة على مستوى DNS وهي: موقع prodseller.io مع صفحة توثيقه، والموقعان aiversex.com وaiversexhub.com، وجذر النطاق teamsoclo.site. كما ثبت أن المعرّف @AiVerseX_Hub (بالشرطة السفلية) غير موجود أصلًا وأن الصحيح هو @AiVerseXHub، وثبت أن @BatmanStoreBot و@batman_88889 كيانان مختلفان تمامًا عن storeBatmanBot رغم تشابه الأسماء — وهي تنبيهات منع الخطأ في الترخيص قبل أي تعامل.</w:t>
      </w:r>
    </w:p>
    <w:p>
      <w:pPr>
        <w:bidi/>
        <w:spacing w:after="120" w:line="312"/>
        <w:jc w:val="start"/>
      </w:pPr>
      <w:r>
        <w:rPr>
          <w:rFonts w:ascii="Arial" w:cs="Arial" w:hAnsi="Arial"/>
          <w:color w:val="000000"/>
          <w:sz w:val="24"/>
          <w:szCs w:val="24"/>
          <w:rtl/>
        </w:rPr>
        <w:t xml:space="preserve">على مستوى بنية التوريد، أظهر التحليل سلسلة ثلاثية الطبقات موثقة بالأدلة: المصنّع الفيتنامي Team Sóc Lọ يصنع حصص الذكاء الاصطناعي ويوزعها عبر لوحة New API الخاصة به؛ والموزع ProdSeller يقف فوقه وسيطًا يضيف 15 إلى 25 بالمئة، وهو المورد الفعلي لـ StackVault بـ 314 من 345 منتجًا (91 بالمئة عبر بادئة ps_)؛ فيما يغطي Evo Era الـ 30 منتجًا المتبقية (8.7 بالمئة عبر بادئة mr_) بتوريد يدوي قوامه أكواد عروض الشركات الناشئة وحسابات المزارع الهندية. أما HitMeowShop وAISUBSID فبديلان مقيّمان بلا حصة حالية، وstoreBatmanBot وAiVerseX Hub مرشحان جديدان لم يُقيّما بعد.</w:t>
      </w:r>
    </w:p>
    <w:p>
      <w:pPr>
        <w:bidi/>
        <w:spacing w:after="120" w:line="312"/>
        <w:jc w:val="start"/>
      </w:pPr>
      <w:r>
        <w:rPr>
          <w:rFonts w:ascii="Arial" w:cs="Arial" w:hAnsi="Arial"/>
          <w:color w:val="000000"/>
          <w:sz w:val="24"/>
          <w:szCs w:val="24"/>
          <w:rtl/>
        </w:rPr>
        <w:t xml:space="preserve">وعلى مستوى التصنيف البنيوي الحاسم (مصنع أم مورد جملة أم متجر)، تنقسم الكيانات السبعة إلى: مصنع واحد حقيقي هو Team Sóc Lọ (منبع إنتاج حصص الذكاء الاصطناعي)، ومصنع مزرعة متخصص هو AISUBSID (ينتج حسابات ChatGPT في مزرعة إندونيسية)، ومورد جملة واحد متكامل هو ProdSeller (موزع آلي فوق المصنّع)، ومورد جملة يدوي متخصص هو Evo Era (منبع تحصيل أكواد الناشئات وحسابات المزارع)، وثلاثة متاجر هي HitMeowShop (متجر منافس متكامل) وAiVerseX Hub (متجر آلي واسع النطاق) وstoreBatmanBot (متجر صغير محلي غير مقيّم). وأعمق طبقة جملة موثقة في سلسلة توريد StackVault هي المصنّع teamsoclo — طبقة جملة الجملة التي يمر عبرها 91 بالمئة من الكتالوج بعد أن يضيف عليها الموزع هامشه.</w:t>
      </w:r>
    </w:p>
    <w:p>
      <w:pPr>
        <w:bidi/>
        <w:spacing w:after="120" w:line="312"/>
        <w:jc w:val="start"/>
      </w:pPr>
      <w:r>
        <w:rPr>
          <w:rFonts w:ascii="Arial" w:cs="Arial" w:hAnsi="Arial"/>
          <w:color w:val="000000"/>
          <w:sz w:val="24"/>
          <w:szCs w:val="24"/>
          <w:rtl/>
        </w:rPr>
        <w:t xml:space="preserve">أبرز الفرص الموثقة المرتبطة بهذه المصادر: أسعار جملة AISUBSID لحسابات ChatGPT Plus عند 2.50 دولار مقابل تكلفة StackVault الحالية البالغة 5.72 دولارًا فأكثر (وفر يصل إلى 56 بالمئة على أكبر عائلة بيع)، وفلاش AiVerseX على Gemini عند 0.39 دولار الذي يساوي تكلفة StackVault بالضبط ويستوجب مراقبة إلزامية، والتعاقد المباشر مع المصنّع teamsoclo الذي يقطع هامش الوسيط على أغلى عائلات المتجر.</w:t>
      </w:r>
    </w:p>
    <w:p>
      <w:pPr>
        <w:pBdr>
          <w:top w:val="single" w:color="CFE0E3" w:sz="2" w:space="4"/>
          <w:bottom w:val="single" w:color="CFE0E3" w:sz="2" w:space="4"/>
          <w:left w:val="single" w:color="CFE0E3" w:sz="2" w:space="4"/>
          <w:right w:val="single" w:color="1D4A52" w:sz="12" w:space="8"/>
        </w:pBdr>
        <w:shd w:fill="EDF5F4" w:val="clear"/>
        <w:bidi/>
        <w:spacing w:after="160" w:before="120" w:line="312"/>
        <w:jc w:val="start"/>
      </w:pPr>
      <w:r>
        <w:rPr>
          <w:rFonts w:ascii="Arial" w:cs="Arial" w:hAnsi="Arial"/>
          <w:b/>
          <w:bCs/>
          <w:color w:val="17656F"/>
          <w:sz w:val="22"/>
          <w:szCs w:val="22"/>
          <w:rtl/>
        </w:rPr>
        <w:t xml:space="preserve">خلاصة حاكمة: </w:t>
      </w:r>
      <w:r>
        <w:rPr>
          <w:rFonts w:ascii="Arial" w:cs="Arial" w:hAnsi="Arial"/>
          <w:color w:val="000000"/>
          <w:sz w:val="22"/>
          <w:szCs w:val="22"/>
          <w:rtl/>
        </w:rPr>
        <w:t xml:space="preserve">كل رقم وكل حالة رابط في هذا الملف مصدرها فحص حي مباشر بتاريخ 30/09/2026 بمنهجية OSINT سلبي صرف (طلبات GET عامة فقط)، بلا أي تفاعل مع البوتات أو الحسابات أو أي عملية شراء.</w:t>
      </w:r>
    </w:p>
    <w:p>
      <w:pPr>
        <w:pStyle w:val="Heading1"/>
        <w:bidi/>
        <w:spacing w:after="160" w:before="360" w:line="312"/>
        <w:jc w:val="start"/>
      </w:pPr>
      <w:bookmarkStart w:id="100001" w:name="_Toc100001"/>
      <w:r>
        <w:rPr>
          <w:rFonts w:ascii="Arial" w:cs="Arial" w:hAnsi="Arial"/>
          <w:b/>
          <w:bCs/>
          <w:color w:val="0F2B33"/>
          <w:sz w:val="32"/>
          <w:szCs w:val="32"/>
          <w:rtl/>
        </w:rPr>
        <w:t xml:space="preserve">2. التصنيف الحاسم: مصنع أم مورد جملة أم متجر</w:t>
      </w:r>
      <w:bookmarkEnd w:id="100001"/>
    </w:p>
    <w:p>
      <w:pPr>
        <w:bidi/>
        <w:spacing w:after="120" w:line="312"/>
        <w:jc w:val="start"/>
      </w:pPr>
      <w:r>
        <w:rPr>
          <w:rFonts w:ascii="Arial" w:cs="Arial" w:hAnsi="Arial"/>
          <w:color w:val="000000"/>
          <w:sz w:val="24"/>
          <w:szCs w:val="24"/>
          <w:rtl/>
        </w:rPr>
        <w:t xml:space="preserve">يخلط هذا السوق عمدًا أو سهوًا بين ثلاث وظائف مختلفة جوهريًا: من يصنع المنتج، ومن يوزعه بالجملة، ومن يبيعه للعميل النهائي. ولتفادي هذا الخلط صُنّف الكيانات السبعة على نموذج أربع طبقات: طبقة الإنتاج (المصنع الذي يصنع المنتج منبعه)، فطبقة جملة الجملة (أول موزع يشتري من المصنع)، فطبقة الجملة (الموزعون فوق المتاجر)، فطبقة المتاجر (البائعون للعميل النهائي). والتصنيف مبني على أدلة تشغيلية لا على ادعاءات ذاتية: بنية القنوات (بيع B2B خالص أم بوتات تجزئة)، وطبيعة التسعير (جملة هرنية معلنة أم أسعار تجزئة)، والأدلة التقاطعية (اتجاه تدفق المنتجات الموثق بين الكيانات أنفسها).</w:t>
      </w:r>
    </w:p>
    <w:p>
      <w:pPr>
        <w:keepNext/>
        <w:bidi/>
        <w:spacing w:after="80" w:before="160" w:line="312"/>
        <w:jc w:val="start"/>
      </w:pPr>
      <w:r>
        <w:rPr>
          <w:rFonts w:ascii="Arial" w:cs="Arial" w:hAnsi="Arial"/>
          <w:b/>
          <w:bCs/>
          <w:color w:val="0F2B33"/>
          <w:sz w:val="21"/>
          <w:szCs w:val="21"/>
          <w:rtl/>
        </w:rPr>
        <w:t xml:space="preserve">جدول 1: التصنيف الحاسم للكيانات السبعة (مصنع / مورد جملة / متجر)</w:t>
      </w:r>
    </w:p>
    <w:tbl>
      <w:tblPr>
        <w:bidiVisual/>
        <w:tblW w:type="pct" w:w="100%"/>
        <w:tblBorders>
          <w:top w:val="single" w:color="1D4A52" w:sz="4"/>
          <w:left w:val="none"/>
          <w:bottom w:val="single" w:color="1D4A52" w:sz="4"/>
          <w:right w:val="none"/>
          <w:insideH w:val="single" w:color="CFE0E3" w:sz="2"/>
          <w:insideV w:val="single" w:color="CFE0E3" w:sz="2"/>
        </w:tblBorders>
      </w:tblPr>
      <w:tblGrid>
        <w:gridCol w:w="100"/>
        <w:gridCol w:w="100"/>
        <w:gridCol w:w="100"/>
        <w:gridCol w:w="100"/>
      </w:tblGrid>
      <w:tr>
        <w:trPr>
          <w:cantSplit/>
          <w:tblHeader/>
        </w:trPr>
        <w:tc>
          <w:tcPr>
            <w:tcW w:type="pct" w:w="25%"/>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الكيان</w:t>
            </w:r>
          </w:p>
        </w:tc>
        <w:tc>
          <w:tcPr>
            <w:tcW w:type="pct" w:w="25%"/>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التصنيف الحاسم</w:t>
            </w:r>
          </w:p>
        </w:tc>
        <w:tc>
          <w:tcPr>
            <w:tcW w:type="pct" w:w="25%"/>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الطبقة في السلسلة</w:t>
            </w:r>
          </w:p>
        </w:tc>
        <w:tc>
          <w:tcPr>
            <w:tcW w:type="pct" w:w="25%"/>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الدليل الحاسم</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Team Sóc Lọ</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مصنع (منبع إنتاج) — لا يبيع تجزئة إطلاقًا</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القاع — طبقة جملة الجملة</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يصنع حصص AI في pool حسابات ويوزعها B2B عبر برنامج Reseller ولوحة New API · قناته تخاطب المتاجر (các shop) · لا بوت تجزئة له</w:t>
            </w:r>
          </w:p>
        </w:tc>
      </w:tr>
      <w:tr>
        <w:trPr>
          <w:cantSplit/>
        </w:trPr>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AISUBSID</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مصنع مزرعة حسابات + مورد جملة</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منبع إنتاج في فئته (ChatGPT)</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سعر جملته 2.50 دولار أدنى من أي سعر وسيط معلن في السوق = ينتج ولا يعيد بيع · مزرعة إندونيسية بتسعير IDR مزدوج</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ProdSeller</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مورد جملة آلي (موزع) — ليس مصنعًا ولا متجر تجزئة</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جملة أولى فوق المتاجر</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كل منتجات المصنّع teamsoclo في كتالوج StackVault تحمل بادئته ps_ (22 من 22) = هو قناة مرور المصنّع · أسعار API وجملة معلنة · لا يصنع شيئًا</w:t>
            </w:r>
          </w:p>
        </w:tc>
      </w:tr>
      <w:tr>
        <w:trPr>
          <w:cantSplit/>
        </w:trPr>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Evo Era</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مورد جملة يدوي متخصص (منبع تحصيل أكواد)</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منبع موازٍ — تحصيل لا صناعة بنية تحتية</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يحصّل أكواد عروض الناشئات وحسابات المزارع الهندية ويسلّم يدويًا · StackVault يشتري منه بطبقة جملة أرخص 9 إلى 57 بالمئة من أسعار تجزئته المعلنة</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HitMeowShop</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متجر منافس متكامل — تجزئة أساسًا بقدرة جملة</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طبقة المتاجر — نفس طبقة StackVault</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بوتا تجزئة (إنجليزي وفيتنامي) بأسعار تجزئة معلنة (Plus VIP بـ 10.77 دولار) · باع 4,157 حسابًا للتجزئة · طبقة VIP للأفراد</w:t>
            </w:r>
          </w:p>
        </w:tc>
      </w:tr>
      <w:tr>
        <w:trPr>
          <w:cantSplit/>
        </w:trPr>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AiVerseX Hub</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متجر آلي واسع النطاق — تجزئة وفلاش بقدرة جملة</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طبقة المتاجر — الأكبر حجمًا</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بيع تجزئة آلي فوري عبر البوت لـ 22,942 مشتركًا · فلاشات تجزئة قصيرة (11 إلى 24 ساعة) · طبقات جملة على Gemini فقط</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storeBatmanBot</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متجر صغير (بائع تجزئة) — غير مقيّم</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طبقة المتاجر — محلي إندونيسي</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بوت بيع مباشر للعملاء بلا أي كتالوج أو بنية جملة ظاهرة · قناة إثباتات لتسليمات التجزئة · لا واجهة B2B معلنة</w:t>
            </w:r>
          </w:p>
        </w:tc>
      </w:tr>
    </w:tbl>
    <w:p>
      <w:pPr>
        <w:spacing w:after="120"/>
      </w:pPr>
    </w:p>
    <w:p>
      <w:pPr>
        <w:bidi/>
        <w:spacing w:after="120" w:line="312"/>
        <w:jc w:val="start"/>
      </w:pPr>
      <w:r>
        <w:rPr>
          <w:rFonts w:ascii="Arial" w:cs="Arial" w:hAnsi="Arial"/>
          <w:color w:val="000000"/>
          <w:sz w:val="24"/>
          <w:szCs w:val="24"/>
          <w:rtl/>
        </w:rPr>
        <w:t xml:space="preserve">من يصنع فعلًا — المصانع: اثنان فقط من السبعة يملكان أدلة إنتاج منبع. الأول Team Sóc Lọ: يصنع حصص الذكاء الاصطناعي في pool حسابات مكشوف، ودليله القاطع أن القيود التي تعلنها قناته بنفسها (تقييد OpenAI لحسابات Astra، وهجمات السبام 429، وترحيل الخوادم) هي قيود منشأ إنتاج لا قيود وسيط إعادة بيع، إضافة إلى برنامجه البنيوي لبيع الجملة للمتاجر حصرًا عبر Reseller. والثاني AISUBSID: مزرعة حسابات ChatGPT إندونيسية تنتج ما تبيعه، ودليلها الهيكلي أن سعر جملتها (2.50 دولار للحساب) أدنى من أي سعر وسيط معلن في السوق كله — ولا يمكن رياضيًا لوسيط أن يبيع تحت سعر مصدره، فلا يبقى تفسير إلا أنها المصدر ذاته.</w:t>
      </w:r>
    </w:p>
    <w:p>
      <w:pPr>
        <w:bidi/>
        <w:spacing w:after="120" w:line="312"/>
        <w:jc w:val="start"/>
      </w:pPr>
      <w:r>
        <w:rPr>
          <w:rFonts w:ascii="Arial" w:cs="Arial" w:hAnsi="Arial"/>
          <w:color w:val="000000"/>
          <w:sz w:val="24"/>
          <w:szCs w:val="24"/>
          <w:rtl/>
        </w:rPr>
        <w:t xml:space="preserve">من يوزع بالجملة — موردو الجملة: ProdSeller هو مورد الجملة المتكامل الوحيد في القائمة: يشتري من طبقة المصنّع ويوزع آليًا فوق المتاجر عبر بوت فوري التسليم وبرنامج API وطبقات أسعار مخفية لمستخدمي الجملة، ودليل موقعه الوسيط أن منتجات المصنّع الفيتنامي كلها (22 من 22) تصل السوق محملة ببادئته ps_. وأما Evo Era فمورد جملة يدوي متخصص بطبيعة مختلفة: منبع تحصيل لا موزعًا بنيويًا — يحصد أكواد عروض الشركات الناشئة من منابعها الترويجية ويجلب حسابات المزارع الهندية، ويبيعها بالجملة اليدوية لمن يعرف كيف يشتري بالطبقة الصحيحة من بوته، ويتضح ذلك من فارق 9 إلى 57 بالمئة بين أسعار تجزئته المعلنة في قناته وما يدفعه StackVault فعلًا.</w:t>
      </w:r>
    </w:p>
    <w:p>
      <w:pPr>
        <w:bidi/>
        <w:spacing w:after="120" w:line="312"/>
        <w:jc w:val="start"/>
      </w:pPr>
      <w:r>
        <w:rPr>
          <w:rFonts w:ascii="Arial" w:cs="Arial" w:hAnsi="Arial"/>
          <w:color w:val="000000"/>
          <w:sz w:val="24"/>
          <w:szCs w:val="24"/>
          <w:rtl/>
        </w:rPr>
        <w:t xml:space="preserve">من يبيع للعميل النهائي — المتاجر: ثلاثة متاجر، والشراء منها يعني الشراء من طبقة مساوية لطبقة StackVault نفسه أو أعلى منها. HitMeowShop متجر منافس متكامل يقف في طبقة StackVault ذاتها (بوتات تجزئة بطبقات VIP وأسعار تجزئة معلنة)، وAiVerseX Hub متجر آلي ضخم يبيع التجزئة والفلاش لقاعدة 22,942 مشتركًا مع طبقة جملة على Gemini فقط، وstoreBatmanBot متجر صغير محلي إندونيسي بلا أي ملامح جملة ظاهرة. وتظل قيمتها التعاقدية واردة انتقائيًا عبر عروض جلفتها (مثل K12 لدى HitMeow بـ 4.58 دولار)، لكن تصنيفها البنيوي يظل متاجر — فالتعامل معها ورقة ضغط سعري وشراء انتقائي، لا بناء سلسلة توريد.</w:t>
      </w:r>
    </w:p>
    <w:p>
      <w:pPr>
        <w:bidi/>
        <w:spacing w:after="120" w:line="312"/>
        <w:jc w:val="start"/>
      </w:pPr>
      <w:r>
        <w:rPr>
          <w:rFonts w:ascii="Arial" w:cs="Arial" w:hAnsi="Arial"/>
          <w:color w:val="000000"/>
          <w:sz w:val="24"/>
          <w:szCs w:val="24"/>
          <w:rtl/>
        </w:rPr>
        <w:t xml:space="preserve">أما طبقة جملة الجملة بالنسبة لـ StackVault تحديدًا، فأعمق طبقة موثقة في سلسلة توريد المتجر هي المصنّع الفيتنامي teamsoclo: هو من يصنع، ثم ProdSeller يوزع بجملة أولى مضيفًا 15 إلى 25 بالمئة، ثم يشتري StackVault. ومعنى ذلك العملي أن الوصول المباشر إلى المصنّع (عبر برنامج Reseller المعلن في قناته) يعني الشراء من طبقة جملة الجملة نفسها وقطع هامش الموزع بالكامل على أغلى عائلات المتجر — وهي أعلى فرصة استراتيجية كشفها هذا التصنيف.</w:t>
      </w:r>
    </w:p>
    <w:p>
      <w:pPr>
        <w:pBdr>
          <w:top w:val="single" w:color="CFE0E3" w:sz="2" w:space="4"/>
          <w:bottom w:val="single" w:color="CFE0E3" w:sz="2" w:space="4"/>
          <w:left w:val="single" w:color="CFE0E3" w:sz="2" w:space="4"/>
          <w:right w:val="single" w:color="1D4A52" w:sz="12" w:space="8"/>
        </w:pBdr>
        <w:shd w:fill="EDF5F4" w:val="clear"/>
        <w:bidi/>
        <w:spacing w:after="160" w:before="120" w:line="312"/>
        <w:jc w:val="start"/>
      </w:pPr>
      <w:r>
        <w:rPr>
          <w:rFonts w:ascii="Arial" w:cs="Arial" w:hAnsi="Arial"/>
          <w:b/>
          <w:bCs/>
          <w:color w:val="17656F"/>
          <w:sz w:val="22"/>
          <w:szCs w:val="22"/>
          <w:rtl/>
        </w:rPr>
        <w:t xml:space="preserve">خلاصة حاكمة: </w:t>
      </w:r>
      <w:r>
        <w:rPr>
          <w:rFonts w:ascii="Arial" w:cs="Arial" w:hAnsi="Arial"/>
          <w:color w:val="000000"/>
          <w:sz w:val="22"/>
          <w:szCs w:val="22"/>
          <w:rtl/>
        </w:rPr>
        <w:t xml:space="preserve">الحصيلة التصنيفية النهائية: مصنع واحد حقيقي (teamsoclo) + مصنع مزرعة متخصص (AISUBSID) + مورد جملة واحد متكامل (ProdSeller) + مورد جملة يدوي متخصص (Evo Era) + ثلاثة متاجر (HitMeowShop وAiVerseX Hub وstoreBatmanBot). المصنعان ومورد الجملة اليدوي هم مصادر التوريد الحقيقية؛ مورد الجملة المتكامل هو بوابة التوريد العملية الحالية؛ والمتاجر الثلاثة أدوات ضغط تفاوضي وشراء انتقائي فحسب.</w:t>
      </w:r>
    </w:p>
    <w:p>
      <w:pPr>
        <w:pStyle w:val="Heading1"/>
        <w:bidi/>
        <w:spacing w:after="160" w:before="360" w:line="312"/>
        <w:jc w:val="start"/>
      </w:pPr>
      <w:bookmarkStart w:id="100002" w:name="_Toc100002"/>
      <w:r>
        <w:rPr>
          <w:rFonts w:ascii="Arial" w:cs="Arial" w:hAnsi="Arial"/>
          <w:b/>
          <w:bCs/>
          <w:color w:val="0F2B33"/>
          <w:sz w:val="32"/>
          <w:szCs w:val="32"/>
          <w:rtl/>
        </w:rPr>
        <w:t xml:space="preserve">3. منهجية التحقق ومعايير الحكم على الروابط</w:t>
      </w:r>
      <w:bookmarkEnd w:id="100002"/>
    </w:p>
    <w:p>
      <w:pPr>
        <w:bidi/>
        <w:spacing w:after="120" w:line="312"/>
        <w:jc w:val="start"/>
      </w:pPr>
      <w:r>
        <w:rPr>
          <w:rFonts w:ascii="Arial" w:cs="Arial" w:hAnsi="Arial"/>
          <w:color w:val="000000"/>
          <w:sz w:val="24"/>
          <w:szCs w:val="24"/>
          <w:rtl/>
        </w:rPr>
        <w:t xml:space="preserve">اعتمد الفحص منهجية OSINT السلبية الصرفة: طلبات GET عامة موجهة إلى الصفحات العامة فقط — بطاقات قنوات وبوتات تيليجرام (t.me)، ومعاينات الرسائل العامة (t.me/s/)، وفحص HTTP وDNS للنطاقات والمواقع. لم تُرسل أي رسالة إلى أي بوت، ولم يُفتح أي حساب، ولم تُنفذ أي عملية شراء أو استفسار نشط؛ فجميع الأدلة قابلة للتكرار من أي متصفح دون أن يظهر أي أثر للفاحص لدى أي مورد.</w:t>
      </w:r>
    </w:p>
    <w:p>
      <w:pPr>
        <w:bidi/>
        <w:spacing w:after="120" w:line="312"/>
        <w:jc w:val="start"/>
      </w:pPr>
      <w:r>
        <w:rPr>
          <w:rFonts w:ascii="Arial" w:cs="Arial" w:hAnsi="Arial"/>
          <w:color w:val="000000"/>
          <w:sz w:val="24"/>
          <w:szCs w:val="24"/>
          <w:rtl/>
        </w:rPr>
        <w:t xml:space="preserve">لم يُقبل أي رابط بوصفه فعليًا لمجرد عودة صفحة برمز 200، لأن تيليجرام يعيد صفحة عامة حتى للمعرّفات غير الموجودة. جرى بدلًا من ذلك اشتراط ثلاث علامات دليلية مجتمعة: أولًا رمز استجابة 200 مع محتوى فعلي، وثانيًا علامة كيان صريحة في الصفحة (الاسم المعروض للقناة أو البوت، أو عدد المشتركين، أو وصف القناة)، وثالثًا — للقنوات — سجل نشر عام حي عبر معاينة t.me/s/ مع تاريخ آخر منشور. وعلى هذا الأساس بُنيت أربعة أحكام مميزة بعضها عن بعض:</w:t>
      </w:r>
    </w:p>
    <w:p>
      <w:pPr>
        <w:keepNext/>
        <w:bidi/>
        <w:spacing w:after="80" w:before="160" w:line="312"/>
        <w:jc w:val="start"/>
      </w:pPr>
      <w:r>
        <w:rPr>
          <w:rFonts w:ascii="Arial" w:cs="Arial" w:hAnsi="Arial"/>
          <w:b/>
          <w:bCs/>
          <w:color w:val="0F2B33"/>
          <w:sz w:val="21"/>
          <w:szCs w:val="21"/>
          <w:rtl/>
        </w:rPr>
        <w:t xml:space="preserve">جدول 2: معايير الحكم الأربعة على الروابط</w:t>
      </w:r>
    </w:p>
    <w:tbl>
      <w:tblPr>
        <w:bidiVisual/>
        <w:tblW w:type="pct" w:w="100%"/>
        <w:tblBorders>
          <w:top w:val="single" w:color="1D4A52" w:sz="4"/>
          <w:left w:val="none"/>
          <w:bottom w:val="single" w:color="1D4A52" w:sz="4"/>
          <w:right w:val="none"/>
          <w:insideH w:val="single" w:color="CFE0E3" w:sz="2"/>
          <w:insideV w:val="single" w:color="CFE0E3" w:sz="2"/>
        </w:tblBorders>
      </w:tblPr>
      <w:tblGrid>
        <w:gridCol w:w="100"/>
        <w:gridCol w:w="100"/>
        <w:gridCol w:w="100"/>
      </w:tblGrid>
      <w:tr>
        <w:trPr>
          <w:cantSplit/>
          <w:tblHeader/>
        </w:trPr>
        <w:tc>
          <w:tcPr>
            <w:tcW w:type="pct" w:w="34%"/>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الحكم</w:t>
            </w:r>
          </w:p>
        </w:tc>
        <w:tc>
          <w:tcPr>
            <w:tcW w:type="pct" w:w="33%"/>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التعريف الدقيق</w:t>
            </w:r>
          </w:p>
        </w:tc>
        <w:tc>
          <w:tcPr>
            <w:tcW w:type="pct" w:w="33%"/>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الدليل المقبول</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(مؤكد حيًا)</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الكيان موجود ويعمل عبر هذا الرابط وقت الفحص</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رمز 200 + اسم معروض/عدد مشتركين + سجل نشر أو بطاقة بوت صريحة</w:t>
            </w:r>
          </w:p>
        </w:tc>
      </w:tr>
      <w:tr>
        <w:trPr>
          <w:cantSplit/>
        </w:trPr>
        <w:tc>
          <w:tcPr>
            <w:tcW w:type="pct" w:w="34%"/>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غير فعلي (ميت)</w:t>
            </w:r>
          </w:p>
        </w:tc>
        <w:tc>
          <w:tcPr>
            <w:tcW w:type="pct" w:w="33%"/>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الرابط لا يصل إلى أي خدمة وقت الفحص</w:t>
            </w:r>
          </w:p>
        </w:tc>
        <w:tc>
          <w:tcPr>
            <w:tcW w:type="pct" w:w="33%"/>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فشل DNS (NXDOMAIN أو لا عنوان مرتبط) أو انقطاع اتصال كامل</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غير موجود</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المعرّف غير مسجل أصلًا ككيان عام</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صفحة t.me عامة بلا أي علامة كيان (بلا اسم معروض ولا مشتركين ولا سجل)</w:t>
            </w:r>
          </w:p>
        </w:tc>
      </w:tr>
      <w:tr>
        <w:trPr>
          <w:cantSplit/>
        </w:trPr>
        <w:tc>
          <w:tcPr>
            <w:tcW w:type="pct" w:w="34%"/>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كيان مختلف متشابه الاسم</w:t>
            </w:r>
          </w:p>
        </w:tc>
        <w:tc>
          <w:tcPr>
            <w:tcW w:type="pct" w:w="33%"/>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الرابط فعلي لكنه يعود لجهة أخرى لا علاقة لها بالمورد المطلوب</w:t>
            </w:r>
          </w:p>
        </w:tc>
        <w:tc>
          <w:tcPr>
            <w:tcW w:type="pct" w:w="33%"/>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بطاقة كيان مختلفة تمامًا (اسم آخر ووصف آخر وقاعدة مشتركين أخرى)</w:t>
            </w:r>
          </w:p>
        </w:tc>
      </w:tr>
    </w:tbl>
    <w:p>
      <w:pPr>
        <w:spacing w:after="120"/>
      </w:pPr>
    </w:p>
    <w:p>
      <w:pPr>
        <w:bidi/>
        <w:spacing w:after="120" w:line="312"/>
        <w:jc w:val="start"/>
      </w:pPr>
      <w:r>
        <w:rPr>
          <w:rFonts w:ascii="Arial" w:cs="Arial" w:hAnsi="Arial"/>
          <w:color w:val="000000"/>
          <w:sz w:val="24"/>
          <w:szCs w:val="24"/>
          <w:rtl/>
        </w:rPr>
        <w:t xml:space="preserve">مصادر الأسعار الواردة في هذا الملف كلها مؤرخة وصادرة عن الموردين أنفسهم: إعلانات القنوات الرسمية بين 19 و30 سبتمبر 2026، وسجل بث المشتريات الحي في قناة Evo Era، وعدادات البوتات المعلنة (مثل عداد مبيعات HitMeow)، والكتالوج الحي لمتجر StackVault البالغ 345 منتجًا وقت الفحص (314 ببادئة ps_ و30 ببادئة mr_ و228 منتجًا بمخزون فعلي). أما حدود المنهجية فواحدة بعينها: كيان storeBatmanBot لا يعرض أي كتالوج أو أسعار علنًا، واستكشافه يتطلب فتح محادثة مباشرة مع البوت، وهي خطوة نشطة تقع خارج نطاق الفحص السلبي ولذلك اقتصر توثيقه على إثبات الهوية والقنوات الرسمية.</w:t>
      </w:r>
    </w:p>
    <w:p>
      <w:pPr>
        <w:bidi/>
        <w:spacing w:after="120" w:line="312"/>
        <w:jc w:val="start"/>
      </w:pPr>
      <w:r>
        <w:rPr>
          <w:rFonts w:ascii="Arial" w:cs="Arial" w:hAnsi="Arial"/>
          <w:color w:val="000000"/>
          <w:sz w:val="24"/>
          <w:szCs w:val="24"/>
          <w:rtl/>
        </w:rPr>
        <w:t xml:space="preserve">جرى الفحص على دفعتين في الجلسة نفسها: الدفعة الأساسية (27 هدفًا) عند 02:58 بتوقيت UTC، والدفعة التكميلية (6 أهداف: جذر teamsoclo.site وعنقود storeBatman الكامل والكيانات المتشابهة) بعدها بدقائق. وتتيح مقارنة النتيجتين مع فحص الصباح السابق رصد حركة حية داخل العناقيد: قناة AiVerseXHub نشرت آخر تحديثاتها عند 02:35 من صباح يوم الفحص نفسه، وقناة Evo_Era_updates نشرت عند 00:33، وهو ما يعني أن الكيانين نشطان حتى ساعة إعداد هذا الملف.</w:t>
      </w:r>
    </w:p>
    <w:p>
      <w:pPr>
        <w:pStyle w:val="Heading1"/>
        <w:bidi/>
        <w:spacing w:after="160" w:before="360" w:line="312"/>
        <w:jc w:val="start"/>
      </w:pPr>
      <w:bookmarkStart w:id="100003" w:name="_Toc100003"/>
      <w:r>
        <w:rPr>
          <w:rFonts w:ascii="Arial" w:cs="Arial" w:hAnsi="Arial"/>
          <w:b/>
          <w:bCs/>
          <w:color w:val="0F2B33"/>
          <w:sz w:val="32"/>
          <w:szCs w:val="32"/>
          <w:rtl/>
        </w:rPr>
        <w:t xml:space="preserve">4. التحقق من الرابط الرئيسي: stackvault.shop</w:t>
      </w:r>
      <w:bookmarkEnd w:id="100003"/>
    </w:p>
    <w:p>
      <w:pPr>
        <w:bidi/>
        <w:spacing w:after="120" w:line="312"/>
        <w:jc w:val="start"/>
      </w:pPr>
      <w:r>
        <w:rPr>
          <w:rFonts w:ascii="Arial" w:cs="Arial" w:hAnsi="Arial"/>
          <w:color w:val="000000"/>
          <w:sz w:val="24"/>
          <w:szCs w:val="24"/>
          <w:rtl/>
        </w:rPr>
        <w:t xml:space="preserve">خضع الرابط المرجعي https://stackvault.shop/ للفحص الحي المباشر ضمن الدفعة الأولى، وعاد بنتيجة قاطعة: فعلي ويعمل بكامل وظائفه. تُعرض المتجر بعنوان StackVault — Digital Subscriptions &amp; Keys، وتُقدَّم الواجهة من بنية Netlify التحتية على العنوان 75.2.60.5 خلف AWS Global Accelerator (المعرّف acd89244c803f7181.awsglobalaccelerator.com)، وهي البنية نفسها الموثقة في فحوص الدورات السابقة ما يؤكد استقرار الاستضافة وعدم وجود هجرة بنية تحتية خفية.</w:t>
      </w:r>
    </w:p>
    <w:p>
      <w:pPr>
        <w:keepNext/>
        <w:bidi/>
        <w:spacing w:after="80" w:before="160" w:line="312"/>
        <w:jc w:val="start"/>
      </w:pPr>
      <w:r>
        <w:rPr>
          <w:rFonts w:ascii="Arial" w:cs="Arial" w:hAnsi="Arial"/>
          <w:b/>
          <w:bCs/>
          <w:color w:val="0F2B33"/>
          <w:sz w:val="21"/>
          <w:szCs w:val="21"/>
          <w:rtl/>
        </w:rPr>
        <w:t xml:space="preserve">جدول 3: نتيجة الفحص الحي للمتجر المرجعي (30/09/2026)</w:t>
      </w:r>
    </w:p>
    <w:tbl>
      <w:tblPr>
        <w:bidiVisual/>
        <w:tblW w:type="pct" w:w="100%"/>
        <w:tblBorders>
          <w:top w:val="single" w:color="1D4A52" w:sz="4"/>
          <w:left w:val="none"/>
          <w:bottom w:val="single" w:color="1D4A52" w:sz="4"/>
          <w:right w:val="none"/>
          <w:insideH w:val="single" w:color="CFE0E3" w:sz="2"/>
          <w:insideV w:val="single" w:color="CFE0E3" w:sz="2"/>
        </w:tblBorders>
      </w:tblPr>
      <w:tblGrid>
        <w:gridCol w:w="100"/>
        <w:gridCol w:w="100"/>
      </w:tblGrid>
      <w:tr>
        <w:trPr>
          <w:cantSplit/>
          <w:tblHeader/>
        </w:trPr>
        <w:tc>
          <w:tcPr>
            <w:tcW w:type="pct" w:w="50%"/>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البند</w:t>
            </w:r>
          </w:p>
        </w:tc>
        <w:tc>
          <w:tcPr>
            <w:tcW w:type="pct" w:w="50%"/>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النتيجة الموثقة</w:t>
            </w:r>
          </w:p>
        </w:tc>
      </w:tr>
      <w:tr>
        <w:trPr>
          <w:cantSplit/>
        </w:trPr>
        <w:tc>
          <w:tcPr>
            <w:tcW w:type="pct" w:w="50%"/>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الرابط المفحوص</w:t>
            </w:r>
          </w:p>
        </w:tc>
        <w:tc>
          <w:tcPr>
            <w:tcW w:type="pct" w:w="50%"/>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https://stackvault.shop/</w:t>
            </w:r>
          </w:p>
        </w:tc>
      </w:tr>
      <w:tr>
        <w:trPr>
          <w:cantSplit/>
        </w:trPr>
        <w:tc>
          <w:tcPr>
            <w:tcW w:type="pct" w:w="50%"/>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الحالة</w:t>
            </w:r>
          </w:p>
        </w:tc>
        <w:tc>
          <w:tcPr>
            <w:tcW w:type="pct" w:w="50%"/>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 HTTP 200 بمحتوى كامل</w:t>
            </w:r>
          </w:p>
        </w:tc>
      </w:tr>
      <w:tr>
        <w:trPr>
          <w:cantSplit/>
        </w:trPr>
        <w:tc>
          <w:tcPr>
            <w:tcW w:type="pct" w:w="50%"/>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العنوان المعروض</w:t>
            </w:r>
          </w:p>
        </w:tc>
        <w:tc>
          <w:tcPr>
            <w:tcW w:type="pct" w:w="50%"/>
            <w:tcMar>
              <w:top w:type="dxa" w:w="50"/>
              <w:left w:type="dxa" w:w="100"/>
              <w:bottom w:type="dxa" w:w="50"/>
              <w:right w:type="dxa" w:w="100"/>
            </w:tcMar>
          </w:tcPr>
          <w:p>
            <w:pPr>
              <w:bidi/>
              <w:spacing w:line="276"/>
              <w:jc w:val="start"/>
            </w:pPr>
            <w:r>
              <w:rPr>
                <w:rFonts w:ascii="Arial" w:cs="Arial" w:hAnsi="Arial"/>
                <w:color w:val="000000"/>
                <w:sz w:val="20"/>
                <w:szCs w:val="20"/>
                <w:rtl/>
              </w:rPr>
              <w:t xml:space="preserve">StackVault — Digital Subscriptions &amp; Keys</w:t>
            </w:r>
          </w:p>
        </w:tc>
      </w:tr>
      <w:tr>
        <w:trPr>
          <w:cantSplit/>
        </w:trPr>
        <w:tc>
          <w:tcPr>
            <w:tcW w:type="pct" w:w="50%"/>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البنية التحتية</w:t>
            </w:r>
          </w:p>
        </w:tc>
        <w:tc>
          <w:tcPr>
            <w:tcW w:type="pct" w:w="50%"/>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Netlify — 75.2.60.5 عبر AWS Global Accelerator</w:t>
            </w:r>
          </w:p>
        </w:tc>
      </w:tr>
      <w:tr>
        <w:trPr>
          <w:cantSplit/>
        </w:trPr>
        <w:tc>
          <w:tcPr>
            <w:tcW w:type="pct" w:w="50%"/>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الكتالوج الحي</w:t>
            </w:r>
          </w:p>
        </w:tc>
        <w:tc>
          <w:tcPr>
            <w:tcW w:type="pct" w:w="50%"/>
            <w:tcMar>
              <w:top w:type="dxa" w:w="50"/>
              <w:left w:type="dxa" w:w="100"/>
              <w:bottom w:type="dxa" w:w="50"/>
              <w:right w:type="dxa" w:w="100"/>
            </w:tcMar>
          </w:tcPr>
          <w:p>
            <w:pPr>
              <w:bidi/>
              <w:spacing w:line="276"/>
              <w:jc w:val="start"/>
            </w:pPr>
            <w:r>
              <w:rPr>
                <w:rFonts w:ascii="Arial" w:cs="Arial" w:hAnsi="Arial"/>
                <w:color w:val="000000"/>
                <w:sz w:val="20"/>
                <w:szCs w:val="20"/>
                <w:rtl/>
              </w:rPr>
              <w:t xml:space="preserve">345 منتجًا: بادئة ps_ 314 منتجًا (91.0%) · بادئة mr_ 30 منتجًا (8.7%) · 228 منتجًا بمخزون فعلي</w:t>
            </w:r>
          </w:p>
        </w:tc>
      </w:tr>
      <w:tr>
        <w:trPr>
          <w:cantSplit/>
        </w:trPr>
        <w:tc>
          <w:tcPr>
            <w:tcW w:type="pct" w:w="50%"/>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واجهة بيانات الكتالوج</w:t>
            </w:r>
          </w:p>
        </w:tc>
        <w:tc>
          <w:tcPr>
            <w:tcW w:type="pct" w:w="50%"/>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decohomz.com/sv-api/products (تتطلب ترويسة Referer من المتجر)</w:t>
            </w:r>
          </w:p>
        </w:tc>
      </w:tr>
    </w:tbl>
    <w:p>
      <w:pPr>
        <w:spacing w:after="120"/>
      </w:pPr>
    </w:p>
    <w:p>
      <w:pPr>
        <w:bidi/>
        <w:spacing w:after="120" w:line="312"/>
        <w:jc w:val="start"/>
      </w:pPr>
      <w:r>
        <w:rPr>
          <w:rFonts w:ascii="Arial" w:cs="Arial" w:hAnsi="Arial"/>
          <w:color w:val="000000"/>
          <w:sz w:val="24"/>
          <w:szCs w:val="24"/>
          <w:rtl/>
        </w:rPr>
        <w:t xml:space="preserve">تحمل قراءة الكتالوج دلالتين تشغيليتين. الأولى أن حجم العرض انكمش من 357 منتجًا في فحص 29/09 إلى 345 منتجًا في فحص 30/09، وهو انكماش طفيف يتركز غالبًا في نفاد مخزون مؤقت لا في قطع علاقة توريد، بدليل ثبات البنية ذاتها: كامل الزيادة والنقصان داخل بادرتي ps_ وmr_ اللتين تحددان الموردين الفعليين للمتجر. والثانية أن حصة ProdSeller النسبية ارتفعت من 89.3 بالمئة (316 من 354) إلى 91.0 بالمئة (314 من 345)، أي أن التعزيز الأعمق في علاقة التوريد يجري مع الموزع الآلي الرئيسي لا مع المصدر اليدوي، وهو اتجاه يرفع قيمة أوراق الضغط السعرية على ProdSeller الموثقة في الأقسام التالية.</w:t>
      </w:r>
    </w:p>
    <w:p>
      <w:pPr>
        <w:pStyle w:val="Heading1"/>
        <w:bidi/>
        <w:spacing w:after="160" w:before="360" w:line="312"/>
        <w:jc w:val="start"/>
      </w:pPr>
      <w:bookmarkStart w:id="100004" w:name="_Toc100004"/>
      <w:r>
        <w:rPr>
          <w:rFonts w:ascii="Arial" w:cs="Arial" w:hAnsi="Arial"/>
          <w:b/>
          <w:bCs/>
          <w:color w:val="0F2B33"/>
          <w:sz w:val="32"/>
          <w:szCs w:val="32"/>
          <w:rtl/>
        </w:rPr>
        <w:t xml:space="preserve">5. المصفوفة الشاملة لنتائج التحقق</w:t>
      </w:r>
      <w:bookmarkEnd w:id="100004"/>
    </w:p>
    <w:p>
      <w:pPr>
        <w:bidi/>
        <w:spacing w:after="120" w:line="312"/>
        <w:jc w:val="start"/>
      </w:pPr>
      <w:r>
        <w:rPr>
          <w:rFonts w:ascii="Arial" w:cs="Arial" w:hAnsi="Arial"/>
          <w:color w:val="000000"/>
          <w:sz w:val="24"/>
          <w:szCs w:val="24"/>
          <w:rtl/>
        </w:rPr>
        <w:t xml:space="preserve">تلخص المصفوفة التالية حكم الفحص النهائي على كل كيان من الكيانات السبعة عبر واجهاته المعلنة كاملة: القناة الرسمية، وبوت البيع، والموقع إن وُجد. القاعدة المعتمدة في القراءة: القناة والبوت هما واجهة التوريد الفعلية في هذا السوق، والموقع — حيث يظهر — عنصر ثانوي لا يغير حكم حياة الكيان ما دامت واجهات تيليجرام حية.</w:t>
      </w:r>
    </w:p>
    <w:p>
      <w:pPr>
        <w:keepNext/>
        <w:bidi/>
        <w:spacing w:after="80" w:before="160" w:line="312"/>
        <w:jc w:val="start"/>
      </w:pPr>
      <w:r>
        <w:rPr>
          <w:rFonts w:ascii="Arial" w:cs="Arial" w:hAnsi="Arial"/>
          <w:b/>
          <w:bCs/>
          <w:color w:val="0F2B33"/>
          <w:sz w:val="21"/>
          <w:szCs w:val="21"/>
          <w:rtl/>
        </w:rPr>
        <w:t xml:space="preserve">جدول 4: مصفوفة الحكم النهائي على الكيانات السبعة (فحص 30/09/2026)</w:t>
      </w:r>
    </w:p>
    <w:tbl>
      <w:tblPr>
        <w:bidiVisual/>
        <w:tblW w:type="pct" w:w="100%"/>
        <w:tblBorders>
          <w:top w:val="single" w:color="1D4A52" w:sz="4"/>
          <w:left w:val="none"/>
          <w:bottom w:val="single" w:color="1D4A52" w:sz="4"/>
          <w:right w:val="none"/>
          <w:insideH w:val="single" w:color="CFE0E3" w:sz="2"/>
          <w:insideV w:val="single" w:color="CFE0E3" w:sz="2"/>
        </w:tblBorders>
      </w:tblPr>
      <w:tblGrid>
        <w:gridCol w:w="100"/>
        <w:gridCol w:w="100"/>
        <w:gridCol w:w="100"/>
        <w:gridCol w:w="100"/>
        <w:gridCol w:w="100"/>
      </w:tblGrid>
      <w:tr>
        <w:trPr>
          <w:cantSplit/>
          <w:tblHeader/>
        </w:trPr>
        <w:tc>
          <w:tcPr>
            <w:tcW w:type="pct" w:w="20%"/>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الكيان</w:t>
            </w:r>
          </w:p>
        </w:tc>
        <w:tc>
          <w:tcPr>
            <w:tcW w:type="pct" w:w="20%"/>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القناة الرسمية</w:t>
            </w:r>
          </w:p>
        </w:tc>
        <w:tc>
          <w:tcPr>
            <w:tcW w:type="pct" w:w="20%"/>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بوت البيع</w:t>
            </w:r>
          </w:p>
        </w:tc>
        <w:tc>
          <w:tcPr>
            <w:tcW w:type="pct" w:w="20%"/>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الموقع</w:t>
            </w:r>
          </w:p>
        </w:tc>
        <w:tc>
          <w:tcPr>
            <w:tcW w:type="pct" w:w="20%"/>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الحكم النهائي</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ProdSeller</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 5,033 مشتركًا</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غير فعلي (DNS)</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حي بالكامل عبر تيليجرام</w:t>
            </w:r>
          </w:p>
        </w:tc>
      </w:tr>
      <w:tr>
        <w:trPr>
          <w:cantSplit/>
        </w:trPr>
        <w:tc>
          <w:tcPr>
            <w:tcW w:type="pct" w:w="20%"/>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Team Sóc Lọ</w:t>
            </w:r>
          </w:p>
        </w:tc>
        <w:tc>
          <w:tcPr>
            <w:tcW w:type="pct" w:w="20%"/>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 160 مشتركًا</w:t>
            </w:r>
          </w:p>
        </w:tc>
        <w:tc>
          <w:tcPr>
            <w:tcW w:type="pct" w:w="20%"/>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لا يوجد (بيع B2B)</w:t>
            </w:r>
          </w:p>
        </w:tc>
        <w:tc>
          <w:tcPr>
            <w:tcW w:type="pct" w:w="20%"/>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النطاقات الفرعية الثلاثة فعليه والجذر ميت</w:t>
            </w:r>
          </w:p>
        </w:tc>
        <w:tc>
          <w:tcPr>
            <w:tcW w:type="pct" w:w="20%"/>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حي — المصنّع المنبع</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Evo Era</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 2,543 مشتركًا</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لا يوجد</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حي ونشط حتى يوم الفحص</w:t>
            </w:r>
          </w:p>
        </w:tc>
      </w:tr>
      <w:tr>
        <w:trPr>
          <w:cantSplit/>
        </w:trPr>
        <w:tc>
          <w:tcPr>
            <w:tcW w:type="pct" w:w="20%"/>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HitMeowShop</w:t>
            </w:r>
          </w:p>
        </w:tc>
        <w:tc>
          <w:tcPr>
            <w:tcW w:type="pct" w:w="20%"/>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 1,883 مشتركًا</w:t>
            </w:r>
          </w:p>
        </w:tc>
        <w:tc>
          <w:tcPr>
            <w:tcW w:type="pct" w:w="20%"/>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(بوتان: EN و VN)</w:t>
            </w:r>
          </w:p>
        </w:tc>
        <w:tc>
          <w:tcPr>
            <w:tcW w:type="pct" w:w="20%"/>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لا يوجد</w:t>
            </w:r>
          </w:p>
        </w:tc>
        <w:tc>
          <w:tcPr>
            <w:tcW w:type="pct" w:w="20%"/>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حي بالكامل</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AISUBSID</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 309 مشتركين</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لا يوجد</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حي بالكامل</w:t>
            </w:r>
          </w:p>
        </w:tc>
      </w:tr>
      <w:tr>
        <w:trPr>
          <w:cantSplit/>
        </w:trPr>
        <w:tc>
          <w:tcPr>
            <w:tcW w:type="pct" w:w="20%"/>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storeBatmanBot</w:t>
            </w:r>
          </w:p>
        </w:tc>
        <w:tc>
          <w:tcPr>
            <w:tcW w:type="pct" w:w="20%"/>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 52 مشتركًا</w:t>
            </w:r>
          </w:p>
        </w:tc>
        <w:tc>
          <w:tcPr>
            <w:tcW w:type="pct" w:w="20%"/>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w:t>
            </w:r>
          </w:p>
        </w:tc>
        <w:tc>
          <w:tcPr>
            <w:tcW w:type="pct" w:w="20%"/>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لا يوجد</w:t>
            </w:r>
          </w:p>
        </w:tc>
        <w:tc>
          <w:tcPr>
            <w:tcW w:type="pct" w:w="20%"/>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حي — بلا كتالوج علني</w:t>
            </w:r>
          </w:p>
        </w:tc>
      </w:tr>
      <w:tr>
        <w:trPr>
          <w:cantSplit/>
        </w:trPr>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AiVerseX Hub</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 — 22,942 مشتركًا</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غير فعلي (DNS)</w:t>
            </w:r>
          </w:p>
        </w:tc>
        <w:tc>
          <w:tcPr>
            <w:tcW w:type="pct" w:w="20%"/>
            <w:tcMar>
              <w:top w:type="dxa" w:w="50"/>
              <w:left w:type="dxa" w:w="100"/>
              <w:bottom w:type="dxa" w:w="50"/>
              <w:right w:type="dxa" w:w="100"/>
            </w:tcMar>
          </w:tcPr>
          <w:p>
            <w:pPr>
              <w:bidi/>
              <w:spacing w:line="276"/>
              <w:jc w:val="start"/>
            </w:pPr>
            <w:r>
              <w:rPr>
                <w:rFonts w:ascii="Arial" w:cs="Arial" w:hAnsi="Arial"/>
                <w:color w:val="000000"/>
                <w:sz w:val="20"/>
                <w:szCs w:val="20"/>
                <w:rtl/>
              </w:rPr>
              <w:t xml:space="preserve">حي — الأنشط والأكبر</w:t>
            </w:r>
          </w:p>
        </w:tc>
      </w:tr>
    </w:tbl>
    <w:p>
      <w:pPr>
        <w:spacing w:after="120"/>
      </w:pPr>
    </w:p>
    <w:p>
      <w:pPr>
        <w:bidi/>
        <w:spacing w:after="120" w:line="312"/>
        <w:jc w:val="start"/>
      </w:pPr>
      <w:r>
        <w:rPr>
          <w:rFonts w:ascii="Arial" w:cs="Arial" w:hAnsi="Arial"/>
          <w:color w:val="000000"/>
          <w:sz w:val="24"/>
          <w:szCs w:val="24"/>
          <w:rtl/>
        </w:rPr>
        <w:t xml:space="preserve">الروابط الميتة الخمسة كلها من النوع الدلالي المهم: موت مواقع الويب لا يعني موت المورد، بل يعني أن الكيان يعمل بوجود تيليجرام صرف. فموقع prodseller.io الذي كان يستضيف توثيق واجهة API لم يعد يُحل على الإطلاق (فشل DNS كامل)، والتعامل مع ProdSeller يجري اليوم عبر البوت والقناة والمشرف فقط. وموقعا AiVerseX كذلك لا يُحلان، وجذر teamsoclo.site ميت بينما تعمل الخدمة كلها من نطاقاته الفرعية الثلاثة. أما تنبيهات الأسماء الثلاثة فهي صمام أمان ضد الخطأ في الترخيص المالي:</w:t>
      </w:r>
    </w:p>
    <w:p>
      <w:pPr>
        <w:keepNext/>
        <w:bidi/>
        <w:spacing w:after="80" w:before="160" w:line="312"/>
        <w:jc w:val="start"/>
      </w:pPr>
      <w:r>
        <w:rPr>
          <w:rFonts w:ascii="Arial" w:cs="Arial" w:hAnsi="Arial"/>
          <w:b/>
          <w:bCs/>
          <w:color w:val="0F2B33"/>
          <w:sz w:val="21"/>
          <w:szCs w:val="21"/>
          <w:rtl/>
        </w:rPr>
        <w:t xml:space="preserve">جدول 5: الروابط الميتة وتنبيهات الأسماء (فحص 30/09/2026)</w:t>
      </w:r>
    </w:p>
    <w:tbl>
      <w:tblPr>
        <w:bidiVisual/>
        <w:tblW w:type="pct" w:w="100%"/>
        <w:tblBorders>
          <w:top w:val="single" w:color="1D4A52" w:sz="4"/>
          <w:left w:val="none"/>
          <w:bottom w:val="single" w:color="1D4A52" w:sz="4"/>
          <w:right w:val="none"/>
          <w:insideH w:val="single" w:color="CFE0E3" w:sz="2"/>
          <w:insideV w:val="single" w:color="CFE0E3" w:sz="2"/>
        </w:tblBorders>
      </w:tblPr>
      <w:tblGrid>
        <w:gridCol w:w="100"/>
        <w:gridCol w:w="100"/>
        <w:gridCol w:w="100"/>
      </w:tblGrid>
      <w:tr>
        <w:trPr>
          <w:cantSplit/>
          <w:tblHeader/>
        </w:trPr>
        <w:tc>
          <w:tcPr>
            <w:tcW w:type="pct" w:w="34%"/>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الرابط</w:t>
            </w:r>
          </w:p>
        </w:tc>
        <w:tc>
          <w:tcPr>
            <w:tcW w:type="pct" w:w="33%"/>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الحكم</w:t>
            </w:r>
          </w:p>
        </w:tc>
        <w:tc>
          <w:tcPr>
            <w:tcW w:type="pct" w:w="33%"/>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الدليل والمعنى العملي</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prodseller.io و /api/docs</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غير فعلي (ميت)</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فشل DNS كامل — التعامل عبر تيليجرام حصرًا</w:t>
            </w:r>
          </w:p>
        </w:tc>
      </w:tr>
      <w:tr>
        <w:trPr>
          <w:cantSplit/>
        </w:trPr>
        <w:tc>
          <w:tcPr>
            <w:tcW w:type="pct" w:w="34%"/>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aiversex.com و aiversexhub.com</w:t>
            </w:r>
          </w:p>
        </w:tc>
        <w:tc>
          <w:tcPr>
            <w:tcW w:type="pct" w:w="33%"/>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غير فعلي (ميت)</w:t>
            </w:r>
          </w:p>
        </w:tc>
        <w:tc>
          <w:tcPr>
            <w:tcW w:type="pct" w:w="33%"/>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لا عنوان مرتبط بالنطاقين — AiVerseX يعمل عبر تيليجرام فقط</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teamsoclo.site (الجذر)</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غير فعلي (ميت)</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NXDOMAIN — الخدمة على gpt وredeem وdocs فقط</w:t>
            </w:r>
          </w:p>
        </w:tc>
      </w:tr>
      <w:tr>
        <w:trPr>
          <w:cantSplit/>
        </w:trPr>
        <w:tc>
          <w:tcPr>
            <w:tcW w:type="pct" w:w="34%"/>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@AiVerseX_Hub</w:t>
            </w:r>
          </w:p>
        </w:tc>
        <w:tc>
          <w:tcPr>
            <w:tcW w:type="pct" w:w="33%"/>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غير موجود</w:t>
            </w:r>
          </w:p>
        </w:tc>
        <w:tc>
          <w:tcPr>
            <w:tcW w:type="pct" w:w="33%"/>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صفحة عامة بلا علامات كيان — الصحيح @AiVerseXHub</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@BatmanStoreBot</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كيان مختلف متشابه الاسم</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بوت (Batman shop) مستقل لا يتبع عنقود storeBatman</w:t>
            </w:r>
          </w:p>
        </w:tc>
      </w:tr>
      <w:tr>
        <w:trPr>
          <w:cantSplit/>
        </w:trPr>
        <w:tc>
          <w:tcPr>
            <w:tcW w:type="pct" w:w="34%"/>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@batman_88889</w:t>
            </w:r>
          </w:p>
        </w:tc>
        <w:tc>
          <w:tcPr>
            <w:tcW w:type="pct" w:w="33%"/>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كيان مختلف متشابه الاسم</w:t>
            </w:r>
          </w:p>
        </w:tc>
        <w:tc>
          <w:tcPr>
            <w:tcW w:type="pct" w:w="33%"/>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قناة عربية (1,764 مشتركًا) باسم متجر باتمان — كيان مختلف تمامًا</w:t>
            </w:r>
          </w:p>
        </w:tc>
      </w:tr>
    </w:tbl>
    <w:p>
      <w:pPr>
        <w:spacing w:after="120"/>
      </w:pPr>
    </w:p>
    <w:p>
      <w:pPr>
        <w:pBdr>
          <w:top w:val="single" w:color="CFE0E3" w:sz="2" w:space="4"/>
          <w:bottom w:val="single" w:color="CFE0E3" w:sz="2" w:space="4"/>
          <w:left w:val="single" w:color="CFE0E3" w:sz="2" w:space="4"/>
          <w:right w:val="single" w:color="1D4A52" w:sz="12" w:space="8"/>
        </w:pBdr>
        <w:shd w:fill="EDF5F4" w:val="clear"/>
        <w:bidi/>
        <w:spacing w:after="160" w:before="120" w:line="312"/>
        <w:jc w:val="start"/>
      </w:pPr>
      <w:r>
        <w:rPr>
          <w:rFonts w:ascii="Arial" w:cs="Arial" w:hAnsi="Arial"/>
          <w:b/>
          <w:bCs/>
          <w:color w:val="17656F"/>
          <w:sz w:val="22"/>
          <w:szCs w:val="22"/>
          <w:rtl/>
        </w:rPr>
        <w:t xml:space="preserve">خلاصة حاكمة: </w:t>
      </w:r>
      <w:r>
        <w:rPr>
          <w:rFonts w:ascii="Arial" w:cs="Arial" w:hAnsi="Arial"/>
          <w:color w:val="000000"/>
          <w:sz w:val="22"/>
          <w:szCs w:val="22"/>
          <w:rtl/>
        </w:rPr>
        <w:t xml:space="preserve">الخلاصة الحاكمة للمصفوفة: كل الكيانات السبعة حية التحقق بتاريخ 30/09/2026 عبر واجهات تيليجرام الفعلية؛ ولا يوجد أي مورد في القائمة سقط أو اختفى. الفروق الجوهرية بينها تقع في مستوى الشفافية والنشاط لا في الحياة نفسها.</w:t>
      </w:r>
    </w:p>
    <w:p>
      <w:pPr>
        <w:pStyle w:val="Heading1"/>
        <w:bidi/>
        <w:spacing w:after="160" w:before="360" w:line="312"/>
        <w:jc w:val="start"/>
      </w:pPr>
      <w:bookmarkStart w:id="100005" w:name="_Toc100005"/>
      <w:r>
        <w:rPr>
          <w:rFonts w:ascii="Arial" w:cs="Arial" w:hAnsi="Arial"/>
          <w:b/>
          <w:bCs/>
          <w:color w:val="0F2B33"/>
          <w:sz w:val="32"/>
          <w:szCs w:val="32"/>
          <w:rtl/>
        </w:rPr>
        <w:t xml:space="preserve">6. ProdSeller — المورد الرئيسي (بادئة ps_)</w:t>
      </w:r>
      <w:bookmarkEnd w:id="100005"/>
    </w:p>
    <w:p>
      <w:pPr>
        <w:pStyle w:val="Heading2"/>
        <w:bidi/>
        <w:spacing w:after="120" w:before="240" w:line="312"/>
        <w:jc w:val="start"/>
      </w:pPr>
      <w:bookmarkStart w:id="100006" w:name="_Toc100006"/>
      <w:r>
        <w:rPr>
          <w:rFonts w:ascii="Arial" w:cs="Arial" w:hAnsi="Arial"/>
          <w:b/>
          <w:bCs/>
          <w:color w:val="17656F"/>
          <w:sz w:val="28"/>
          <w:szCs w:val="28"/>
          <w:rtl/>
        </w:rPr>
        <w:t xml:space="preserve">البطاقة التعريفية والدور في سلسلة التوريد</w:t>
      </w:r>
      <w:bookmarkEnd w:id="100006"/>
    </w:p>
    <w:p>
      <w:pPr>
        <w:bidi/>
        <w:spacing w:after="120" w:line="312"/>
        <w:jc w:val="start"/>
      </w:pPr>
      <w:r>
        <w:rPr>
          <w:rFonts w:ascii="Arial" w:cs="Arial" w:hAnsi="Arial"/>
          <w:color w:val="000000"/>
          <w:sz w:val="24"/>
          <w:szCs w:val="24"/>
          <w:rtl/>
        </w:rPr>
        <w:t xml:space="preserve">ProdSeller هو المورد الرئيسي لـ StackVault والمتكامل الفعلي معه: يورّد 314 من 345 منتجًا (91.0 بالمئة من الكتالوج) عبر تكامل آلي ببادئة ps_، بوسيط تكلفة يبلغ 4.40 دولار للوحدة ونطاق يمتد من 0.01 إلى 115 دولارًا. الكيان موزع آلي بالكامل: بوت مبيعات ذو تسليم فوري، وقناة إعلانات تنشر الأسعار وعروض الفلاش أولًا بأول، وبرنامج API جملة يُدار عبر المشرف @sookbit بأسعار مخفضة غير معلنة، وقد أعلنت القناة نفسها في 09/09 عن قاعدة تتجاوز 15 ألف مستخدم منهم 500 مستخدم API و8 آلاف نشط شهريًا. ويظهر الفحص الطازج نموًا تشغيليًا متسارعًا: قفز عدد مشتركي القناة من 681 مطلع سبتمبر إلى 5,033 مشتركًا وقت فحص 30/09 — وهي قفزة تعكس توسعًا حقيقيًا في قاعدة المشترين لا مجرد رقم عرضي.</w:t>
      </w:r>
    </w:p>
    <w:p>
      <w:pPr>
        <w:pStyle w:val="Heading2"/>
        <w:bidi/>
        <w:spacing w:after="120" w:before="240" w:line="312"/>
        <w:jc w:val="start"/>
      </w:pPr>
      <w:bookmarkStart w:id="100007" w:name="_Toc100007"/>
      <w:r>
        <w:rPr>
          <w:rFonts w:ascii="Arial" w:cs="Arial" w:hAnsi="Arial"/>
          <w:b/>
          <w:bCs/>
          <w:color w:val="17656F"/>
          <w:sz w:val="28"/>
          <w:szCs w:val="28"/>
          <w:rtl/>
        </w:rPr>
        <w:t xml:space="preserve">مصدر التوريد الدقيق والروابط الموثقة</w:t>
      </w:r>
      <w:bookmarkEnd w:id="100007"/>
    </w:p>
    <w:p>
      <w:pPr>
        <w:bidi/>
        <w:spacing w:after="120" w:line="312"/>
        <w:jc w:val="start"/>
      </w:pPr>
      <w:r>
        <w:rPr>
          <w:rFonts w:ascii="Arial" w:cs="Arial" w:hAnsi="Arial"/>
          <w:color w:val="000000"/>
          <w:sz w:val="24"/>
          <w:szCs w:val="24"/>
          <w:rtl/>
        </w:rPr>
        <w:t xml:space="preserve">على مستوى مصدر توريد ProdSeller ذاته، ترجح الأدلة أنه وسيط موزع لا مصنّعًا نهائيًا: فالتحليل الدلالي لكتالوج StackVault أثبت أن كل منتجات teamsoclo الـ 22 المعروضة فيه تحمل بادئة ps_، أي أن المصنّع الفيتنامي يصل المتجر عبر ProdSeller الذي يضيف عليه هامشًا يتراوح بين 15 و25 بالمئة. ومع ذلك يظل ProdSeller الطبقة الوحيدة المتاحة حاليًا للتوريد الآلي واسع النطاق بضمان تشغيلي، وهو ما يجعل علاقة StackVault به علاقة اعتماد أساسية تحتاج إدارة ضغط سعري دائمة لا استبدالًا متهورًا.</w:t>
      </w:r>
    </w:p>
    <w:p>
      <w:pPr>
        <w:keepNext/>
        <w:bidi/>
        <w:spacing w:after="80" w:before="160" w:line="312"/>
        <w:jc w:val="start"/>
      </w:pPr>
      <w:r>
        <w:rPr>
          <w:rFonts w:ascii="Arial" w:cs="Arial" w:hAnsi="Arial"/>
          <w:b/>
          <w:bCs/>
          <w:color w:val="0F2B33"/>
          <w:sz w:val="21"/>
          <w:szCs w:val="21"/>
          <w:rtl/>
        </w:rPr>
        <w:t xml:space="preserve">جدول 6: روابط ProdSeller وحالة كل رابط (فحص 30/09/2026)</w:t>
      </w:r>
    </w:p>
    <w:tbl>
      <w:tblPr>
        <w:bidiVisual/>
        <w:tblW w:type="pct" w:w="100%"/>
        <w:tblBorders>
          <w:top w:val="single" w:color="1D4A52" w:sz="4"/>
          <w:left w:val="none"/>
          <w:bottom w:val="single" w:color="1D4A52" w:sz="4"/>
          <w:right w:val="none"/>
          <w:insideH w:val="single" w:color="CFE0E3" w:sz="2"/>
          <w:insideV w:val="single" w:color="CFE0E3" w:sz="2"/>
        </w:tblBorders>
      </w:tblPr>
      <w:tblGrid>
        <w:gridCol w:w="100"/>
        <w:gridCol w:w="100"/>
        <w:gridCol w:w="100"/>
        <w:gridCol w:w="100"/>
      </w:tblGrid>
      <w:tr>
        <w:trPr>
          <w:cantSplit/>
          <w:tblHeader/>
        </w:trPr>
        <w:tc>
          <w:tcPr>
            <w:tcW w:type="pct" w:w="25%"/>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القناة</w:t>
            </w:r>
          </w:p>
        </w:tc>
        <w:tc>
          <w:tcPr>
            <w:tcW w:type="pct" w:w="25%"/>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الرابط</w:t>
            </w:r>
          </w:p>
        </w:tc>
        <w:tc>
          <w:tcPr>
            <w:tcW w:type="pct" w:w="25%"/>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الحالة</w:t>
            </w:r>
          </w:p>
        </w:tc>
        <w:tc>
          <w:tcPr>
            <w:tcW w:type="pct" w:w="25%"/>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الدليل الحي</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بوت المبيعات (الطلب المباشر)</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t.me/ProdSellerBot</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بطاقة بوت حية — البيع الآلي والطلبات</w:t>
            </w:r>
          </w:p>
        </w:tc>
      </w:tr>
      <w:tr>
        <w:trPr>
          <w:cantSplit/>
        </w:trPr>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القناة الرسمية (الأسعار والفلاش)</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t.me/ProdSellerOfficial</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5,033 مشتركًا — آخر نشر 28/09</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المشرف / بوابة API والجملة</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t.me/sookbit</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حساب حي — بوابة الأسعار المخفية لمستخدمي API</w:t>
            </w:r>
          </w:p>
        </w:tc>
      </w:tr>
      <w:tr>
        <w:trPr>
          <w:cantSplit/>
        </w:trPr>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الموقع الرسمي</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prodseller.io</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غير فعلي (ميت)</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فشل DNS كامل — كان يستضيف توثيق API</w:t>
            </w:r>
          </w:p>
        </w:tc>
      </w:tr>
    </w:tbl>
    <w:p>
      <w:pPr>
        <w:spacing w:after="120"/>
      </w:pPr>
    </w:p>
    <w:p>
      <w:pPr>
        <w:pStyle w:val="Heading2"/>
        <w:bidi/>
        <w:spacing w:after="120" w:before="240" w:line="312"/>
        <w:jc w:val="start"/>
      </w:pPr>
      <w:bookmarkStart w:id="100008" w:name="_Toc100008"/>
      <w:r>
        <w:rPr>
          <w:rFonts w:ascii="Arial" w:cs="Arial" w:hAnsi="Arial"/>
          <w:b/>
          <w:bCs/>
          <w:color w:val="17656F"/>
          <w:sz w:val="28"/>
          <w:szCs w:val="28"/>
          <w:rtl/>
        </w:rPr>
        <w:t xml:space="preserve">الأسعار الموثقة من مصادر المورد نفسه</w:t>
      </w:r>
      <w:bookmarkEnd w:id="100008"/>
    </w:p>
    <w:p>
      <w:pPr>
        <w:keepNext/>
        <w:bidi/>
        <w:spacing w:after="80" w:before="160" w:line="312"/>
        <w:jc w:val="start"/>
      </w:pPr>
      <w:r>
        <w:rPr>
          <w:rFonts w:ascii="Arial" w:cs="Arial" w:hAnsi="Arial"/>
          <w:b/>
          <w:bCs/>
          <w:color w:val="0F2B33"/>
          <w:sz w:val="21"/>
          <w:szCs w:val="21"/>
          <w:rtl/>
        </w:rPr>
        <w:t xml:space="preserve">جدول 7: أسعار ProdSeller المؤرخة (إعلانات القناة الرسمية)</w:t>
      </w:r>
    </w:p>
    <w:tbl>
      <w:tblPr>
        <w:bidiVisual/>
        <w:tblW w:type="pct" w:w="100%"/>
        <w:tblBorders>
          <w:top w:val="single" w:color="1D4A52" w:sz="4"/>
          <w:left w:val="none"/>
          <w:bottom w:val="single" w:color="1D4A52" w:sz="4"/>
          <w:right w:val="none"/>
          <w:insideH w:val="single" w:color="CFE0E3" w:sz="2"/>
          <w:insideV w:val="single" w:color="CFE0E3" w:sz="2"/>
        </w:tblBorders>
      </w:tblPr>
      <w:tblGrid>
        <w:gridCol w:w="100"/>
        <w:gridCol w:w="100"/>
        <w:gridCol w:w="100"/>
      </w:tblGrid>
      <w:tr>
        <w:trPr>
          <w:cantSplit/>
          <w:tblHeader/>
        </w:trPr>
        <w:tc>
          <w:tcPr>
            <w:tcW w:type="pct" w:w="34%"/>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المنتج / العرض</w:t>
            </w:r>
          </w:p>
        </w:tc>
        <w:tc>
          <w:tcPr>
            <w:tcW w:type="pct" w:w="33%"/>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السعر</w:t>
            </w:r>
          </w:p>
        </w:tc>
        <w:tc>
          <w:tcPr>
            <w:tcW w:type="pct" w:w="33%"/>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التاريخ</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Gemini Pro 18 شهرًا</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0.59 رابط / 0.55 API / 0.49 فلاش</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19/09</w:t>
            </w:r>
          </w:p>
        </w:tc>
      </w:tr>
      <w:tr>
        <w:trPr>
          <w:cantSplit/>
        </w:trPr>
        <w:tc>
          <w:tcPr>
            <w:tcW w:type="pct" w:w="34%"/>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Gemini 18M (تحديث مسائي)</w:t>
            </w:r>
          </w:p>
        </w:tc>
        <w:tc>
          <w:tcPr>
            <w:tcW w:type="pct" w:w="33%"/>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0.53 رابط / 0.50 API</w:t>
            </w:r>
          </w:p>
        </w:tc>
        <w:tc>
          <w:tcPr>
            <w:tcW w:type="pct" w:w="33%"/>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19/09</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Duolingo 12 شهرًا</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0.59 / 0.55 API / 0.50 جملة</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19/09</w:t>
            </w:r>
          </w:p>
        </w:tc>
      </w:tr>
      <w:tr>
        <w:trPr>
          <w:cantSplit/>
        </w:trPr>
        <w:tc>
          <w:tcPr>
            <w:tcW w:type="pct" w:w="34%"/>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Gmail حسابات مستقرة</w:t>
            </w:r>
          </w:p>
        </w:tc>
        <w:tc>
          <w:tcPr>
            <w:tcW w:type="pct" w:w="33%"/>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0.80 / 0.75 API / 0.60 جملة</w:t>
            </w:r>
          </w:p>
        </w:tc>
        <w:tc>
          <w:tcPr>
            <w:tcW w:type="pct" w:w="33%"/>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19/09</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Office 365 Plus (سعر جملة معلن)</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0.17</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19/09</w:t>
            </w:r>
          </w:p>
        </w:tc>
      </w:tr>
      <w:tr>
        <w:trPr>
          <w:cantSplit/>
        </w:trPr>
        <w:tc>
          <w:tcPr>
            <w:tcW w:type="pct" w:w="34%"/>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ChatGPT K12 + Codex سنتان (API)</w:t>
            </w:r>
          </w:p>
        </w:tc>
        <w:tc>
          <w:tcPr>
            <w:tcW w:type="pct" w:w="33%"/>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3.80</w:t>
            </w:r>
          </w:p>
        </w:tc>
        <w:tc>
          <w:tcPr>
            <w:tcW w:type="pct" w:w="33%"/>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20/09</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Super Grok (بوت فقط)</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2.90</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19/09</w:t>
            </w:r>
          </w:p>
        </w:tc>
      </w:tr>
    </w:tbl>
    <w:p>
      <w:pPr>
        <w:spacing w:after="120"/>
      </w:pPr>
    </w:p>
    <w:p>
      <w:pPr>
        <w:pBdr>
          <w:top w:val="single" w:color="CFE0E3" w:sz="2" w:space="4"/>
          <w:bottom w:val="single" w:color="CFE0E3" w:sz="2" w:space="4"/>
          <w:left w:val="single" w:color="CFE0E3" w:sz="2" w:space="4"/>
          <w:right w:val="single" w:color="1D4A52" w:sz="12" w:space="8"/>
        </w:pBdr>
        <w:shd w:fill="EDF5F4" w:val="clear"/>
        <w:bidi/>
        <w:spacing w:after="160" w:before="120" w:line="312"/>
        <w:jc w:val="start"/>
      </w:pPr>
      <w:r>
        <w:rPr>
          <w:rFonts w:ascii="Arial" w:cs="Arial" w:hAnsi="Arial"/>
          <w:b/>
          <w:bCs/>
          <w:color w:val="17656F"/>
          <w:sz w:val="22"/>
          <w:szCs w:val="22"/>
          <w:rtl/>
        </w:rPr>
        <w:t xml:space="preserve">خلاصة حاكمة: </w:t>
      </w:r>
      <w:r>
        <w:rPr>
          <w:rFonts w:ascii="Arial" w:cs="Arial" w:hAnsi="Arial"/>
          <w:color w:val="000000"/>
          <w:sz w:val="22"/>
          <w:szCs w:val="22"/>
          <w:rtl/>
        </w:rPr>
        <w:t xml:space="preserve">أقوى ورقتي ضغط موثقتان على هذا المورد: فجوة K12 (StackVault يدفع 4.62 دولار مقابل سعر API معلن لديه بـ 3.80 دولار — فارق 18 بالمئة يستوجب مطالبة تصحيح فورية)، وفجوة Office (يدفع 0.21 مقابل جملة معلنة بـ 0.17 — فارق 19 بالمئة)، مع ورقة AISUBSID الخارجية (جملة ChatGPT Plus بـ 2.50 دولار). StackVault عميل API فعلي ويحق له طلب جدول الأسعار المخفي كاملًا.</w:t>
      </w:r>
    </w:p>
    <w:p>
      <w:pPr>
        <w:pStyle w:val="Heading1"/>
        <w:bidi/>
        <w:spacing w:after="160" w:before="360" w:line="312"/>
        <w:jc w:val="start"/>
      </w:pPr>
      <w:bookmarkStart w:id="100009" w:name="_Toc100009"/>
      <w:r>
        <w:rPr>
          <w:rFonts w:ascii="Arial" w:cs="Arial" w:hAnsi="Arial"/>
          <w:b/>
          <w:bCs/>
          <w:color w:val="0F2B33"/>
          <w:sz w:val="32"/>
          <w:szCs w:val="32"/>
          <w:rtl/>
        </w:rPr>
        <w:t xml:space="preserve">7. Team Sóc Lọ — المصنّع المنبع (فيتنام)</w:t>
      </w:r>
      <w:bookmarkEnd w:id="100009"/>
    </w:p>
    <w:p>
      <w:pPr>
        <w:pStyle w:val="Heading2"/>
        <w:bidi/>
        <w:spacing w:after="120" w:before="240" w:line="312"/>
        <w:jc w:val="start"/>
      </w:pPr>
      <w:bookmarkStart w:id="100010" w:name="_Toc100010"/>
      <w:r>
        <w:rPr>
          <w:rFonts w:ascii="Arial" w:cs="Arial" w:hAnsi="Arial"/>
          <w:b/>
          <w:bCs/>
          <w:color w:val="17656F"/>
          <w:sz w:val="28"/>
          <w:szCs w:val="28"/>
          <w:rtl/>
        </w:rPr>
        <w:t xml:space="preserve">البطاقة التعريفية والدور في سلسلة التوريد</w:t>
      </w:r>
      <w:bookmarkEnd w:id="100010"/>
    </w:p>
    <w:p>
      <w:pPr>
        <w:bidi/>
        <w:spacing w:after="120" w:line="312"/>
        <w:jc w:val="start"/>
      </w:pPr>
      <w:r>
        <w:rPr>
          <w:rFonts w:ascii="Arial" w:cs="Arial" w:hAnsi="Arial"/>
          <w:color w:val="000000"/>
          <w:sz w:val="24"/>
          <w:szCs w:val="24"/>
          <w:rtl/>
        </w:rPr>
        <w:t xml:space="preserve">Team Sóc Lọ (teamsoclo) هو المصنّع المنبع الفيتنامي لحصص الذكاء الاصطناعي في هذه المنظومة: يشغّل لوحة New API مفتوحة المصدر كبوابة بيع وتوزيع موحدة، ويصنع اعتمادات Codex وAstra وGemini ويوزعها على المتاجر عبر برنامج Reseller معلن. قناته التشغيلية (Kênh thông báo sóc lọ) قناة إعلانات موجهة للموزعين لا للتجزئة — تخاطب المتاجر بصيغة (các shop) وتوجه للدعم عبر Reseller — وقد بلغ مشتركوها 160 مشتركًا وقت الفحص الطازج، بكامل محتواها بالفيتنامية وبأقدم رسالة تعود إلى 06/09/2026، أي أن عمر التشغيل الظاهر لا يتجاوز أسابيع قليلة رغم مركزه المحوري في السلسلة.</w:t>
      </w:r>
    </w:p>
    <w:p>
      <w:pPr>
        <w:pStyle w:val="Heading2"/>
        <w:bidi/>
        <w:spacing w:after="120" w:before="240" w:line="312"/>
        <w:jc w:val="start"/>
      </w:pPr>
      <w:bookmarkStart w:id="100011" w:name="_Toc100011"/>
      <w:r>
        <w:rPr>
          <w:rFonts w:ascii="Arial" w:cs="Arial" w:hAnsi="Arial"/>
          <w:b/>
          <w:bCs/>
          <w:color w:val="17656F"/>
          <w:sz w:val="28"/>
          <w:szCs w:val="28"/>
          <w:rtl/>
        </w:rPr>
        <w:t xml:space="preserve">مصدر التوريد الدقيق والروابط الموثقة</w:t>
      </w:r>
      <w:bookmarkEnd w:id="100011"/>
    </w:p>
    <w:p>
      <w:pPr>
        <w:bidi/>
        <w:spacing w:after="120" w:line="312"/>
        <w:jc w:val="start"/>
      </w:pPr>
      <w:r>
        <w:rPr>
          <w:rFonts w:ascii="Arial" w:cs="Arial" w:hAnsi="Arial"/>
          <w:color w:val="000000"/>
          <w:sz w:val="24"/>
          <w:szCs w:val="24"/>
          <w:rtl/>
        </w:rPr>
        <w:t xml:space="preserve">بوصفه مصنّعًا فإن مصدر التوريد عنده هو الإنتاج الذاتي: تجميع اعتمادات الذكاء الاصطناعي في pool حسابات مكشوف تعترف القناة نفسها بقيوده التشغيلية (إعلانات قيود OpenAI على Astra، وهجمات سبام 429، وانقطاعات متكررة، وترحيل خوادم إلى فيتنام أعلن في 29/09). وعمليًا لا يصل هذا المصنّع إلى StackVault مباشرة: فكل منتجاته الـ 22 في كتالوج المتجر تحمل بادئة ps_، ما يثبت أن الشراء يجري عبر ProdSeller بهامش وسيط مضاعف. أثر هذا المصنّع في المتجر كبير رغم غيابه المباشر: 85 وصفًا من منتجات StackVault تحوي روابط teamsoclo.site، و49 منتجًا تحوي رابط الدعم t.me/teamsoclo، وعائلة رصيد AI المرتبطة به من أغلى فئات المتجر (23 منتجًا).</w:t>
      </w:r>
    </w:p>
    <w:p>
      <w:pPr>
        <w:keepNext/>
        <w:bidi/>
        <w:spacing w:after="80" w:before="160" w:line="312"/>
        <w:jc w:val="start"/>
      </w:pPr>
      <w:r>
        <w:rPr>
          <w:rFonts w:ascii="Arial" w:cs="Arial" w:hAnsi="Arial"/>
          <w:b/>
          <w:bCs/>
          <w:color w:val="0F2B33"/>
          <w:sz w:val="21"/>
          <w:szCs w:val="21"/>
          <w:rtl/>
        </w:rPr>
        <w:t xml:space="preserve">جدول 8: روابط teamsoclo وحالة كل رابط (فحص 30/09/2026)</w:t>
      </w:r>
    </w:p>
    <w:tbl>
      <w:tblPr>
        <w:bidiVisual/>
        <w:tblW w:type="pct" w:w="100%"/>
        <w:tblBorders>
          <w:top w:val="single" w:color="1D4A52" w:sz="4"/>
          <w:left w:val="none"/>
          <w:bottom w:val="single" w:color="1D4A52" w:sz="4"/>
          <w:right w:val="none"/>
          <w:insideH w:val="single" w:color="CFE0E3" w:sz="2"/>
          <w:insideV w:val="single" w:color="CFE0E3" w:sz="2"/>
        </w:tblBorders>
      </w:tblPr>
      <w:tblGrid>
        <w:gridCol w:w="100"/>
        <w:gridCol w:w="100"/>
        <w:gridCol w:w="100"/>
        <w:gridCol w:w="100"/>
      </w:tblGrid>
      <w:tr>
        <w:trPr>
          <w:cantSplit/>
          <w:tblHeader/>
        </w:trPr>
        <w:tc>
          <w:tcPr>
            <w:tcW w:type="pct" w:w="25%"/>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القناة</w:t>
            </w:r>
          </w:p>
        </w:tc>
        <w:tc>
          <w:tcPr>
            <w:tcW w:type="pct" w:w="25%"/>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الرابط</w:t>
            </w:r>
          </w:p>
        </w:tc>
        <w:tc>
          <w:tcPr>
            <w:tcW w:type="pct" w:w="25%"/>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الحالة</w:t>
            </w:r>
          </w:p>
        </w:tc>
        <w:tc>
          <w:tcPr>
            <w:tcW w:type="pct" w:w="25%"/>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الدليل الحي</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قناة الإعلانات التشغيلية</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t.me/teamsoclo</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160 مشتركًا — آخر نشر 29/09</w:t>
            </w:r>
          </w:p>
        </w:tc>
      </w:tr>
      <w:tr>
        <w:trPr>
          <w:cantSplit/>
        </w:trPr>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لوحة البيع و API (New API)</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gpt.teamsoclo.site</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 200 — بوابة موحدة خلف Cloudflare</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صفحة استبدال وتفعيل الرصيد</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redeem.teamsoclo.site</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 200 — استبدال مفاتيح CDK</w:t>
            </w:r>
          </w:p>
        </w:tc>
      </w:tr>
      <w:tr>
        <w:trPr>
          <w:cantSplit/>
        </w:trPr>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التوثيق</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docs.teamsoclo.site</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HTTP 200 — توثيق الموزعين</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جذر النطاق</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teamsoclo.site</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غير فعلي (ميت)</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NXDOMAIN — الخدمة كلها على النطاقات الفرعية</w:t>
            </w:r>
          </w:p>
        </w:tc>
      </w:tr>
    </w:tbl>
    <w:p>
      <w:pPr>
        <w:spacing w:after="120"/>
      </w:pPr>
    </w:p>
    <w:p>
      <w:pPr>
        <w:pStyle w:val="Heading2"/>
        <w:bidi/>
        <w:spacing w:after="120" w:before="240" w:line="312"/>
        <w:jc w:val="start"/>
      </w:pPr>
      <w:bookmarkStart w:id="100012" w:name="_Toc100012"/>
      <w:r>
        <w:rPr>
          <w:rFonts w:ascii="Arial" w:cs="Arial" w:hAnsi="Arial"/>
          <w:b/>
          <w:bCs/>
          <w:color w:val="17656F"/>
          <w:sz w:val="28"/>
          <w:szCs w:val="28"/>
          <w:rtl/>
        </w:rPr>
        <w:t xml:space="preserve">الأسعار وشروط التعامل</w:t>
      </w:r>
      <w:bookmarkEnd w:id="100012"/>
    </w:p>
    <w:p>
      <w:pPr>
        <w:bidi/>
        <w:spacing w:after="120" w:line="312"/>
        <w:jc w:val="start"/>
      </w:pPr>
      <w:r>
        <w:rPr>
          <w:rFonts w:ascii="Arial" w:cs="Arial" w:hAnsi="Arial"/>
          <w:color w:val="000000"/>
          <w:sz w:val="24"/>
          <w:szCs w:val="24"/>
          <w:rtl/>
        </w:rPr>
        <w:t xml:space="preserve">لا يعلن المصنّع أسعار تجزئة لأنه يبيع جملة للمتاجر حصرًا عبر برنامج Reseller؛ والمعادلة السعرية الموثقة من تحليل مصفوفة التفاوض هي أن StackVault يدفع اليوم هامش وسيط يتراوح بين 15 و25 بالمئة فوق سعر المصنع على عائلة رصيد AI، وأن التعاقد المباشر كموزع يقطع هذا الهامش بوفر تقديري يناهز 20 بالمئة على 23 منتجًا من أغلى فئات المتجر. وتظل قناة المصنّع مصدر إنذار مبكر مجانيًا: فإعلانات الأعطال والاستعادة تُنشر فيها قبل أن يعلم عملاء المتجر، ما يجعل مراقبتها جزءًا من إدارة مخزون StackVault لا مجرد استطلاع.</w:t>
      </w:r>
    </w:p>
    <w:p>
      <w:pPr>
        <w:pBdr>
          <w:top w:val="single" w:color="CFE0E3" w:sz="2" w:space="4"/>
          <w:bottom w:val="single" w:color="CFE0E3" w:sz="2" w:space="4"/>
          <w:left w:val="single" w:color="CFE0E3" w:sz="2" w:space="4"/>
          <w:right w:val="single" w:color="1D4A52" w:sz="12" w:space="8"/>
        </w:pBdr>
        <w:shd w:fill="EDF5F4" w:val="clear"/>
        <w:bidi/>
        <w:spacing w:after="160" w:before="120" w:line="312"/>
        <w:jc w:val="start"/>
      </w:pPr>
      <w:r>
        <w:rPr>
          <w:rFonts w:ascii="Arial" w:cs="Arial" w:hAnsi="Arial"/>
          <w:b/>
          <w:bCs/>
          <w:color w:val="17656F"/>
          <w:sz w:val="22"/>
          <w:szCs w:val="22"/>
          <w:rtl/>
        </w:rPr>
        <w:t xml:space="preserve">خلاصة حاكمة: </w:t>
      </w:r>
      <w:r>
        <w:rPr>
          <w:rFonts w:ascii="Arial" w:cs="Arial" w:hAnsi="Arial"/>
          <w:color w:val="000000"/>
          <w:sz w:val="22"/>
          <w:szCs w:val="22"/>
          <w:rtl/>
        </w:rPr>
        <w:t xml:space="preserve">قيدان حاكمان قبل أي تعاقد مباشر: التواصل بالفيتنامية فقط (يلزم وسيط لغوي موثوق أو مترجمًا)، وأعطال الخوادم المتكررة الموثقة في القناة تتطلب اشتراطات تعويض صريحة في أي اتفاقية توريد.</w:t>
      </w:r>
    </w:p>
    <w:p>
      <w:pPr>
        <w:pStyle w:val="Heading1"/>
        <w:bidi/>
        <w:spacing w:after="160" w:before="360" w:line="312"/>
        <w:jc w:val="start"/>
      </w:pPr>
      <w:bookmarkStart w:id="100013" w:name="_Toc100013"/>
      <w:r>
        <w:rPr>
          <w:rFonts w:ascii="Arial" w:cs="Arial" w:hAnsi="Arial"/>
          <w:b/>
          <w:bCs/>
          <w:color w:val="0F2B33"/>
          <w:sz w:val="32"/>
          <w:szCs w:val="32"/>
          <w:rtl/>
        </w:rPr>
        <w:t xml:space="preserve">8. Evo Era — المصدر اليدوي (بادئة mr_)</w:t>
      </w:r>
      <w:bookmarkEnd w:id="100013"/>
    </w:p>
    <w:p>
      <w:pPr>
        <w:pStyle w:val="Heading2"/>
        <w:bidi/>
        <w:spacing w:after="120" w:before="240" w:line="312"/>
        <w:jc w:val="start"/>
      </w:pPr>
      <w:bookmarkStart w:id="100014" w:name="_Toc100014"/>
      <w:r>
        <w:rPr>
          <w:rFonts w:ascii="Arial" w:cs="Arial" w:hAnsi="Arial"/>
          <w:b/>
          <w:bCs/>
          <w:color w:val="17656F"/>
          <w:sz w:val="28"/>
          <w:szCs w:val="28"/>
          <w:rtl/>
        </w:rPr>
        <w:t xml:space="preserve">البطاقة التعريفية والدور في سلسلة التوريد</w:t>
      </w:r>
      <w:bookmarkEnd w:id="100014"/>
    </w:p>
    <w:p>
      <w:pPr>
        <w:bidi/>
        <w:spacing w:after="120" w:line="312"/>
        <w:jc w:val="start"/>
      </w:pPr>
      <w:r>
        <w:rPr>
          <w:rFonts w:ascii="Arial" w:cs="Arial" w:hAnsi="Arial"/>
          <w:color w:val="000000"/>
          <w:sz w:val="24"/>
          <w:szCs w:val="24"/>
          <w:rtl/>
        </w:rPr>
        <w:t xml:space="preserve">Evo Era هو المصدر اليدوي الثاني لـ StackVault: يورّد 30 من 345 منتجًا (8.7 بالمئة من الكتالوج) ببادئة mr_، بوسيط تكلفة يبلغ 4.50 دولار للوحدة ونطاق من 0.50 إلى 21 دولارًا. طبيعة توريده مختلفة جوهريًا عن القناة الآلية: أكواد عروض شركات ناشئة مستغلة (Framer وLinear وNotion وPostHog وResend وMobbin وManus وغيرها) وحسابات من مزارع هندية (Adobe Express وApple Music وQuillbot وYouTube India عبر UPI)، تُسلَّم يدويًا لا عبر تكامل API. وتبلغ قناة تحديثاته 2,543 مشتركًا وقت الفحص الطازج، بسجل بث علني حي للمشتريات والمخزون وبرنامج إحالة بعمول 0.05 دولار، وآخر نشاط مسجل عند 00:33 من صباح يوم الفحص نفسه — أي كيان نشط حتى ساعة إعداد هذا الملف.</w:t>
      </w:r>
    </w:p>
    <w:p>
      <w:pPr>
        <w:pStyle w:val="Heading2"/>
        <w:bidi/>
        <w:spacing w:after="120" w:before="240" w:line="312"/>
        <w:jc w:val="start"/>
      </w:pPr>
      <w:bookmarkStart w:id="100015" w:name="_Toc100015"/>
      <w:r>
        <w:rPr>
          <w:rFonts w:ascii="Arial" w:cs="Arial" w:hAnsi="Arial"/>
          <w:b/>
          <w:bCs/>
          <w:color w:val="17656F"/>
          <w:sz w:val="28"/>
          <w:szCs w:val="28"/>
          <w:rtl/>
        </w:rPr>
        <w:t xml:space="preserve">مصدر التوريد الدقيق والدليل على الهوية</w:t>
      </w:r>
      <w:bookmarkEnd w:id="100015"/>
    </w:p>
    <w:p>
      <w:pPr>
        <w:bidi/>
        <w:spacing w:after="120" w:line="312"/>
        <w:jc w:val="start"/>
      </w:pPr>
      <w:r>
        <w:rPr>
          <w:rFonts w:ascii="Arial" w:cs="Arial" w:hAnsi="Arial"/>
          <w:color w:val="000000"/>
          <w:sz w:val="24"/>
          <w:szCs w:val="24"/>
          <w:rtl/>
        </w:rPr>
        <w:t xml:space="preserve">إسناد بادئة mr_ إلى Evo Era ليس تخمينًا بل نتيجة تطابق أدلة ثلاثة: أولًا البصمة القالبية، إذ يستخدم 36 من 37 منتجًا يدويًا قالب (Activation &amp; Instructions) المميز مقابل صفر من 319 منتجًا آليًا — انفصال تام في مصدر التجهيز؛ وثانيًا تطابق أسماء المنتجات حرفيًا مع سجل قناة Evo_Era_updates في تسعة من أصل 25 اسمًا مفحوصًا (Framer Pro وGrok Bot وGumloop وFactory وManus وWispr Flow وLovable وCoursera وYouTube 3M)؛ وثالثًا العلاقة السعرية، فتكاليف StackVault أقل بنسبة 9 إلى 57 بالمئة من أسعار القناة المعلنة، ما يرجح الشراء بطبقة جملة من بوتها لا بالتجزئة. ويظل تحفظ منهجي واحد قائمًا: احتمال مصدر أعلى مشترك بين الطرفين لا يلغي حقيقة أن Evo Era هو الواجهة الفعلية للتوريد اليدوي.</w:t>
      </w:r>
    </w:p>
    <w:p>
      <w:pPr>
        <w:keepNext/>
        <w:bidi/>
        <w:spacing w:after="80" w:before="160" w:line="312"/>
        <w:jc w:val="start"/>
      </w:pPr>
      <w:r>
        <w:rPr>
          <w:rFonts w:ascii="Arial" w:cs="Arial" w:hAnsi="Arial"/>
          <w:b/>
          <w:bCs/>
          <w:color w:val="0F2B33"/>
          <w:sz w:val="21"/>
          <w:szCs w:val="21"/>
          <w:rtl/>
        </w:rPr>
        <w:t xml:space="preserve">جدول 9: روابط Evo Era وحالة كل رابط (فحص 30/09/2026)</w:t>
      </w:r>
    </w:p>
    <w:tbl>
      <w:tblPr>
        <w:bidiVisual/>
        <w:tblW w:type="pct" w:w="100%"/>
        <w:tblBorders>
          <w:top w:val="single" w:color="1D4A52" w:sz="4"/>
          <w:left w:val="none"/>
          <w:bottom w:val="single" w:color="1D4A52" w:sz="4"/>
          <w:right w:val="none"/>
          <w:insideH w:val="single" w:color="CFE0E3" w:sz="2"/>
          <w:insideV w:val="single" w:color="CFE0E3" w:sz="2"/>
        </w:tblBorders>
      </w:tblPr>
      <w:tblGrid>
        <w:gridCol w:w="100"/>
        <w:gridCol w:w="100"/>
        <w:gridCol w:w="100"/>
        <w:gridCol w:w="100"/>
      </w:tblGrid>
      <w:tr>
        <w:trPr>
          <w:cantSplit/>
          <w:tblHeader/>
        </w:trPr>
        <w:tc>
          <w:tcPr>
            <w:tcW w:type="pct" w:w="25%"/>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القناة</w:t>
            </w:r>
          </w:p>
        </w:tc>
        <w:tc>
          <w:tcPr>
            <w:tcW w:type="pct" w:w="25%"/>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الرابط</w:t>
            </w:r>
          </w:p>
        </w:tc>
        <w:tc>
          <w:tcPr>
            <w:tcW w:type="pct" w:w="25%"/>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الحالة</w:t>
            </w:r>
          </w:p>
        </w:tc>
        <w:tc>
          <w:tcPr>
            <w:tcW w:type="pct" w:w="25%"/>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الدليل الحي</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قناة التحديثات وبث المشتريات</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t.me/Evo_Era_updates</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2,543 مشتركًا — آخر نشر 30/09 (00:33)</w:t>
            </w:r>
          </w:p>
        </w:tc>
      </w:tr>
      <w:tr>
        <w:trPr>
          <w:cantSplit/>
        </w:trPr>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بوت البيع</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t.me/Evolution_Era_bot</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بطاقة بوت حية — الطلب الآلي لمنتجات mr_</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المشرف (التفاوض اليدوي)</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t.me/adham_H11</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حساب حي — قناة التواصل المباشر</w:t>
            </w:r>
          </w:p>
        </w:tc>
      </w:tr>
    </w:tbl>
    <w:p>
      <w:pPr>
        <w:spacing w:after="120"/>
      </w:pPr>
    </w:p>
    <w:p>
      <w:pPr>
        <w:pStyle w:val="Heading2"/>
        <w:bidi/>
        <w:spacing w:after="120" w:before="240" w:line="312"/>
        <w:jc w:val="start"/>
      </w:pPr>
      <w:bookmarkStart w:id="100016" w:name="_Toc100016"/>
      <w:r>
        <w:rPr>
          <w:rFonts w:ascii="Arial" w:cs="Arial" w:hAnsi="Arial"/>
          <w:b/>
          <w:bCs/>
          <w:color w:val="17656F"/>
          <w:sz w:val="28"/>
          <w:szCs w:val="28"/>
          <w:rtl/>
        </w:rPr>
        <w:t xml:space="preserve">الأسعار الموثقة من مصادر المورد نفسه</w:t>
      </w:r>
      <w:bookmarkEnd w:id="100016"/>
    </w:p>
    <w:p>
      <w:pPr>
        <w:keepNext/>
        <w:bidi/>
        <w:spacing w:after="80" w:before="160" w:line="312"/>
        <w:jc w:val="start"/>
      </w:pPr>
      <w:r>
        <w:rPr>
          <w:rFonts w:ascii="Arial" w:cs="Arial" w:hAnsi="Arial"/>
          <w:b/>
          <w:bCs/>
          <w:color w:val="0F2B33"/>
          <w:sz w:val="21"/>
          <w:szCs w:val="21"/>
          <w:rtl/>
        </w:rPr>
        <w:t xml:space="preserve">جدول 10: أسعار Evo Era المؤرخة (سجل بث القناة والمصفوفة)</w:t>
      </w:r>
    </w:p>
    <w:tbl>
      <w:tblPr>
        <w:bidiVisual/>
        <w:tblW w:type="pct" w:w="100%"/>
        <w:tblBorders>
          <w:top w:val="single" w:color="1D4A52" w:sz="4"/>
          <w:left w:val="none"/>
          <w:bottom w:val="single" w:color="1D4A52" w:sz="4"/>
          <w:right w:val="none"/>
          <w:insideH w:val="single" w:color="CFE0E3" w:sz="2"/>
          <w:insideV w:val="single" w:color="CFE0E3" w:sz="2"/>
        </w:tblBorders>
      </w:tblPr>
      <w:tblGrid>
        <w:gridCol w:w="100"/>
        <w:gridCol w:w="100"/>
        <w:gridCol w:w="100"/>
      </w:tblGrid>
      <w:tr>
        <w:trPr>
          <w:cantSplit/>
          <w:tblHeader/>
        </w:trPr>
        <w:tc>
          <w:tcPr>
            <w:tcW w:type="pct" w:w="34%"/>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المنتج / العرض</w:t>
            </w:r>
          </w:p>
        </w:tc>
        <w:tc>
          <w:tcPr>
            <w:tcW w:type="pct" w:w="33%"/>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السعر</w:t>
            </w:r>
          </w:p>
        </w:tc>
        <w:tc>
          <w:tcPr>
            <w:tcW w:type="pct" w:w="33%"/>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التاريخ والمصدر</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Gemini AI Pro 18 شهرًا (تجزئته)</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0.85 دولار — عملية بيع فعلية</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29/09 — بث المشتريات (StackVault يشتري بـ 0.39)</w:t>
            </w:r>
          </w:p>
        </w:tc>
      </w:tr>
      <w:tr>
        <w:trPr>
          <w:cantSplit/>
        </w:trPr>
        <w:tc>
          <w:tcPr>
            <w:tcW w:type="pct" w:w="34%"/>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Leonardo Seedance 2.5 (شهر)</w:t>
            </w:r>
          </w:p>
        </w:tc>
        <w:tc>
          <w:tcPr>
            <w:tcW w:type="pct" w:w="33%"/>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2.25 USDT</w:t>
            </w:r>
          </w:p>
        </w:tc>
        <w:tc>
          <w:tcPr>
            <w:tcW w:type="pct" w:w="33%"/>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29/09 — بث المشتريات</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Higgsfield Pro 12 شهرًا</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135.00 دولار (وحدة واحدة متبقية)</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29/09 — تنبيه نفاد</w:t>
            </w:r>
          </w:p>
        </w:tc>
      </w:tr>
      <w:tr>
        <w:trPr>
          <w:cantSplit/>
        </w:trPr>
        <w:tc>
          <w:tcPr>
            <w:tcW w:type="pct" w:w="34%"/>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Canva Team Edu (3 سنوات)</w:t>
            </w:r>
          </w:p>
        </w:tc>
        <w:tc>
          <w:tcPr>
            <w:tcW w:type="pct" w:w="33%"/>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0.50 دولار مقابل تكلفة StackVault 0.39</w:t>
            </w:r>
          </w:p>
        </w:tc>
        <w:tc>
          <w:tcPr>
            <w:tcW w:type="pct" w:w="33%"/>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مصفوفة التفاوض</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Figma</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4.00 دولار (تعادل تكلفة المتجر)</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مصفوفة التفاوض</w:t>
            </w:r>
          </w:p>
        </w:tc>
      </w:tr>
      <w:tr>
        <w:trPr>
          <w:cantSplit/>
        </w:trPr>
        <w:tc>
          <w:tcPr>
            <w:tcW w:type="pct" w:w="34%"/>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YouTube Premium 3M</w:t>
            </w:r>
          </w:p>
        </w:tc>
        <w:tc>
          <w:tcPr>
            <w:tcW w:type="pct" w:w="33%"/>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4.00 دولار مقابل تكلفة المتجر 2.50</w:t>
            </w:r>
          </w:p>
        </w:tc>
        <w:tc>
          <w:tcPr>
            <w:tcW w:type="pct" w:w="33%"/>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مصفوفة التفاوض</w:t>
            </w:r>
          </w:p>
        </w:tc>
      </w:tr>
    </w:tbl>
    <w:p>
      <w:pPr>
        <w:spacing w:after="120"/>
      </w:pPr>
    </w:p>
    <w:p>
      <w:pPr>
        <w:pBdr>
          <w:top w:val="single" w:color="CFE0E3" w:sz="2" w:space="4"/>
          <w:bottom w:val="single" w:color="CFE0E3" w:sz="2" w:space="4"/>
          <w:left w:val="single" w:color="CFE0E3" w:sz="2" w:space="4"/>
          <w:right w:val="single" w:color="1D4A52" w:sz="12" w:space="8"/>
        </w:pBdr>
        <w:shd w:fill="EDF5F4" w:val="clear"/>
        <w:bidi/>
        <w:spacing w:after="160" w:before="120" w:line="312"/>
        <w:jc w:val="start"/>
      </w:pPr>
      <w:r>
        <w:rPr>
          <w:rFonts w:ascii="Arial" w:cs="Arial" w:hAnsi="Arial"/>
          <w:b/>
          <w:bCs/>
          <w:color w:val="17656F"/>
          <w:sz w:val="22"/>
          <w:szCs w:val="22"/>
          <w:rtl/>
        </w:rPr>
        <w:t xml:space="preserve">خلاصة حاكمة: </w:t>
      </w:r>
      <w:r>
        <w:rPr>
          <w:rFonts w:ascii="Arial" w:cs="Arial" w:hAnsi="Arial"/>
          <w:color w:val="000000"/>
          <w:sz w:val="22"/>
          <w:szCs w:val="22"/>
          <w:rtl/>
        </w:rPr>
        <w:t xml:space="preserve">الاستخدام الصحيح لهذا المورد تكتيكي محض: StackVault أرخص منه في التجزئة على عائلات كاملة (Gemini بفارق 54 بالمئة وYouTube بفارق 37 بالمئة)، فلا يُستعمل إلا لسد فجوات نفاد، بينما تكمُن قيمته الحقيقية في كونه المصدر الوحيد لأكواد الشركات الناشئة التي لا يوفرها غيره، وفي مراقبة فلاشاته على منتجات Adobe.</w:t>
      </w:r>
    </w:p>
    <w:p>
      <w:pPr>
        <w:pStyle w:val="Heading1"/>
        <w:bidi/>
        <w:spacing w:after="160" w:before="360" w:line="312"/>
        <w:jc w:val="start"/>
      </w:pPr>
      <w:bookmarkStart w:id="100017" w:name="_Toc100017"/>
      <w:r>
        <w:rPr>
          <w:rFonts w:ascii="Arial" w:cs="Arial" w:hAnsi="Arial"/>
          <w:b/>
          <w:bCs/>
          <w:color w:val="0F2B33"/>
          <w:sz w:val="32"/>
          <w:szCs w:val="32"/>
          <w:rtl/>
        </w:rPr>
        <w:t xml:space="preserve">9. HitMeowShop — البديل المنافس (مشغّل فيتنامي)</w:t>
      </w:r>
      <w:bookmarkEnd w:id="100017"/>
    </w:p>
    <w:p>
      <w:pPr>
        <w:pStyle w:val="Heading2"/>
        <w:bidi/>
        <w:spacing w:after="120" w:before="240" w:line="312"/>
        <w:jc w:val="start"/>
      </w:pPr>
      <w:bookmarkStart w:id="100018" w:name="_Toc100018"/>
      <w:r>
        <w:rPr>
          <w:rFonts w:ascii="Arial" w:cs="Arial" w:hAnsi="Arial"/>
          <w:b/>
          <w:bCs/>
          <w:color w:val="17656F"/>
          <w:sz w:val="28"/>
          <w:szCs w:val="28"/>
          <w:rtl/>
        </w:rPr>
        <w:t xml:space="preserve">البطاقة التعريفية والدور في سلسلة التوريد</w:t>
      </w:r>
      <w:bookmarkEnd w:id="100018"/>
    </w:p>
    <w:p>
      <w:pPr>
        <w:bidi/>
        <w:spacing w:after="120" w:line="312"/>
        <w:jc w:val="start"/>
      </w:pPr>
      <w:r>
        <w:rPr>
          <w:rFonts w:ascii="Arial" w:cs="Arial" w:hAnsi="Arial"/>
          <w:color w:val="000000"/>
          <w:sz w:val="24"/>
          <w:szCs w:val="24"/>
          <w:rtl/>
        </w:rPr>
        <w:t xml:space="preserve">HitMeowShop متجر منافس متكامل لا موردًا حاليًا لـ StackVault (حصته 0 بالمئة)، لكنه أقوى بديل مقيّم للفئات العليا وطلبات الكميات. الكيان مشغّل فيتنامي يشغّل منظومة بوتات آلية مزدوجة السوق: بوتًا إنجليزيًا للعملاء الدوليين وبوتًا فيتناميًا للسوق المحلي، مع قناة رئيسية يبلغ مشتركوها 1,883 مشتركًا وقت الفحص الطازج (آخر نشاط 29/09) وقناة دعم رسمية ومالك معلن (@vahnix). وتخصصه الواضح هو حسابات ChatGPT وClaude وطبقات VIP: فقد باع 4,157 حساب ChatGPT Plus VIP و601 حساب K12 بحسب عداد البوت المعلن في 25/09 — قدرة توريد حجمية مثبتة على السوق تؤهله لتفاوض جملة صريح.</w:t>
      </w:r>
    </w:p>
    <w:p>
      <w:pPr>
        <w:pStyle w:val="Heading2"/>
        <w:bidi/>
        <w:spacing w:after="120" w:before="240" w:line="312"/>
        <w:jc w:val="start"/>
      </w:pPr>
      <w:bookmarkStart w:id="100019" w:name="_Toc100019"/>
      <w:r>
        <w:rPr>
          <w:rFonts w:ascii="Arial" w:cs="Arial" w:hAnsi="Arial"/>
          <w:b/>
          <w:bCs/>
          <w:color w:val="17656F"/>
          <w:sz w:val="28"/>
          <w:szCs w:val="28"/>
          <w:rtl/>
        </w:rPr>
        <w:t xml:space="preserve">مصدر التوريد الدقيق والروابط الموثقة</w:t>
      </w:r>
      <w:bookmarkEnd w:id="100019"/>
    </w:p>
    <w:p>
      <w:pPr>
        <w:bidi/>
        <w:spacing w:after="120" w:line="312"/>
        <w:jc w:val="start"/>
      </w:pPr>
      <w:r>
        <w:rPr>
          <w:rFonts w:ascii="Arial" w:cs="Arial" w:hAnsi="Arial"/>
          <w:color w:val="000000"/>
          <w:sz w:val="24"/>
          <w:szCs w:val="24"/>
          <w:rtl/>
        </w:rPr>
        <w:t xml:space="preserve">على مستوى مصدر توريد HitMeowShop ذاته، لا يعلن المشغل أي جهة توريد عليا واضحة، وتدل القرائن على تشغيل ذاتي متكامل: بنية بوتات آلية مستقلة، وطبقة VIP بضمان كامل تعني ملكية مباشرة لمنشأ الحسابات أو علاقة وصول خاصة، وأسعار جملة تنافس في فئة ChatGPT تحديدًا. وهذا الغياب العلني لمصدر أعلى يجعله في طبقة موزع متكامل لا وسيطًا ظاهرًا — وهو ما يزيد قيمته كبديل تفاوضي مستقل عن عنقود ProdSeller بالكامل، إذ لا تتأثر أسعاره بقرارات الأخير.</w:t>
      </w:r>
    </w:p>
    <w:p>
      <w:pPr>
        <w:keepNext/>
        <w:bidi/>
        <w:spacing w:after="80" w:before="160" w:line="312"/>
        <w:jc w:val="start"/>
      </w:pPr>
      <w:r>
        <w:rPr>
          <w:rFonts w:ascii="Arial" w:cs="Arial" w:hAnsi="Arial"/>
          <w:b/>
          <w:bCs/>
          <w:color w:val="0F2B33"/>
          <w:sz w:val="21"/>
          <w:szCs w:val="21"/>
          <w:rtl/>
        </w:rPr>
        <w:t xml:space="preserve">جدول 11: روابط HitMeowShop وحالة كل رابط (فحص 30/09/2026)</w:t>
      </w:r>
    </w:p>
    <w:tbl>
      <w:tblPr>
        <w:bidiVisual/>
        <w:tblW w:type="pct" w:w="100%"/>
        <w:tblBorders>
          <w:top w:val="single" w:color="1D4A52" w:sz="4"/>
          <w:left w:val="none"/>
          <w:bottom w:val="single" w:color="1D4A52" w:sz="4"/>
          <w:right w:val="none"/>
          <w:insideH w:val="single" w:color="CFE0E3" w:sz="2"/>
          <w:insideV w:val="single" w:color="CFE0E3" w:sz="2"/>
        </w:tblBorders>
      </w:tblPr>
      <w:tblGrid>
        <w:gridCol w:w="100"/>
        <w:gridCol w:w="100"/>
        <w:gridCol w:w="100"/>
        <w:gridCol w:w="100"/>
      </w:tblGrid>
      <w:tr>
        <w:trPr>
          <w:cantSplit/>
          <w:tblHeader/>
        </w:trPr>
        <w:tc>
          <w:tcPr>
            <w:tcW w:type="pct" w:w="25%"/>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القناة</w:t>
            </w:r>
          </w:p>
        </w:tc>
        <w:tc>
          <w:tcPr>
            <w:tcW w:type="pct" w:w="25%"/>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الرابط</w:t>
            </w:r>
          </w:p>
        </w:tc>
        <w:tc>
          <w:tcPr>
            <w:tcW w:type="pct" w:w="25%"/>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الحالة</w:t>
            </w:r>
          </w:p>
        </w:tc>
        <w:tc>
          <w:tcPr>
            <w:tcW w:type="pct" w:w="25%"/>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الدليل الحي</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القناة الرئيسية (العروض اليومية)</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t.me/HitMeowShop</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1,883 مشتركًا — آخر نشر 29/09</w:t>
            </w:r>
          </w:p>
        </w:tc>
      </w:tr>
      <w:tr>
        <w:trPr>
          <w:cantSplit/>
        </w:trPr>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بوت البيع الإنجليزي</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t.me/PremikeyBot</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بطاقة بوت حية — العملاء الدوليين</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بوت البيع الفيتنامي</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t.me/Premikey_Bot</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بطاقة بوت حية — السوق المحلي</w:t>
            </w:r>
          </w:p>
        </w:tc>
      </w:tr>
      <w:tr>
        <w:trPr>
          <w:cantSplit/>
        </w:trPr>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قناة الدعم الرسمية</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t.me/HitmeowSupport</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حساب حي — الدعم الرسمي</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المالك (التفاوض بالجملة)</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t.me/vahnix</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حساب حي — المالك المعلن</w:t>
            </w:r>
          </w:p>
        </w:tc>
      </w:tr>
    </w:tbl>
    <w:p>
      <w:pPr>
        <w:spacing w:after="120"/>
      </w:pPr>
    </w:p>
    <w:p>
      <w:pPr>
        <w:pStyle w:val="Heading2"/>
        <w:bidi/>
        <w:spacing w:after="120" w:before="240" w:line="312"/>
        <w:jc w:val="start"/>
      </w:pPr>
      <w:bookmarkStart w:id="100020" w:name="_Toc100020"/>
      <w:r>
        <w:rPr>
          <w:rFonts w:ascii="Arial" w:cs="Arial" w:hAnsi="Arial"/>
          <w:b/>
          <w:bCs/>
          <w:color w:val="17656F"/>
          <w:sz w:val="28"/>
          <w:szCs w:val="28"/>
          <w:rtl/>
        </w:rPr>
        <w:t xml:space="preserve">الأسعار الموثقة من مصادر المورد نفسه</w:t>
      </w:r>
      <w:bookmarkEnd w:id="100020"/>
    </w:p>
    <w:p>
      <w:pPr>
        <w:keepNext/>
        <w:bidi/>
        <w:spacing w:after="80" w:before="160" w:line="312"/>
        <w:jc w:val="start"/>
      </w:pPr>
      <w:r>
        <w:rPr>
          <w:rFonts w:ascii="Arial" w:cs="Arial" w:hAnsi="Arial"/>
          <w:b/>
          <w:bCs/>
          <w:color w:val="0F2B33"/>
          <w:sz w:val="21"/>
          <w:szCs w:val="21"/>
          <w:rtl/>
        </w:rPr>
        <w:t xml:space="preserve">جدول 12: أسعار HitMeowShop المؤرخة (القناة وعدادات البوت)</w:t>
      </w:r>
    </w:p>
    <w:tbl>
      <w:tblPr>
        <w:bidiVisual/>
        <w:tblW w:type="pct" w:w="100%"/>
        <w:tblBorders>
          <w:top w:val="single" w:color="1D4A52" w:sz="4"/>
          <w:left w:val="none"/>
          <w:bottom w:val="single" w:color="1D4A52" w:sz="4"/>
          <w:right w:val="none"/>
          <w:insideH w:val="single" w:color="CFE0E3" w:sz="2"/>
          <w:insideV w:val="single" w:color="CFE0E3" w:sz="2"/>
        </w:tblBorders>
      </w:tblPr>
      <w:tblGrid>
        <w:gridCol w:w="100"/>
        <w:gridCol w:w="100"/>
        <w:gridCol w:w="100"/>
      </w:tblGrid>
      <w:tr>
        <w:trPr>
          <w:cantSplit/>
          <w:tblHeader/>
        </w:trPr>
        <w:tc>
          <w:tcPr>
            <w:tcW w:type="pct" w:w="34%"/>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المنتج / العرض</w:t>
            </w:r>
          </w:p>
        </w:tc>
        <w:tc>
          <w:tcPr>
            <w:tcW w:type="pct" w:w="33%"/>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السعر</w:t>
            </w:r>
          </w:p>
        </w:tc>
        <w:tc>
          <w:tcPr>
            <w:tcW w:type="pct" w:w="33%"/>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التاريخ والمصدر</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ChatGPT Plus VIP (شهر، ضمان كامل)</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10.77 دولار — مخزون 14 — باع 4,157</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25/09 — القناة وعداد البوت</w:t>
            </w:r>
          </w:p>
        </w:tc>
      </w:tr>
      <w:tr>
        <w:trPr>
          <w:cantSplit/>
        </w:trPr>
        <w:tc>
          <w:tcPr>
            <w:tcW w:type="pct" w:w="34%"/>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ChatGPT Plus K12 Edu (سنتان، ضمان 24 ساعة)</w:t>
            </w:r>
          </w:p>
        </w:tc>
        <w:tc>
          <w:tcPr>
            <w:tcW w:type="pct" w:w="33%"/>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4.58 دولار — مخزون 29 — باع 601</w:t>
            </w:r>
          </w:p>
        </w:tc>
        <w:tc>
          <w:tcPr>
            <w:tcW w:type="pct" w:w="33%"/>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28/09 — القناة</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ChatGPT Business</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عرض رخيص جدًا — 50 مقعدًا فقط (السعر بالبوت)</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22/09 — القناة</w:t>
            </w:r>
          </w:p>
        </w:tc>
      </w:tr>
      <w:tr>
        <w:trPr>
          <w:cantSplit/>
        </w:trPr>
        <w:tc>
          <w:tcPr>
            <w:tcW w:type="pct" w:w="34%"/>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ChatGPT Pro (بأضعاف)</w:t>
            </w:r>
          </w:p>
        </w:tc>
        <w:tc>
          <w:tcPr>
            <w:tcW w:type="pct" w:w="33%"/>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خصم نحو 20% عن السعر الرسمي (65.44 دولار)</w:t>
            </w:r>
          </w:p>
        </w:tc>
        <w:tc>
          <w:tcPr>
            <w:tcW w:type="pct" w:w="33%"/>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مصفوفة التفاوض</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Claude Unlimited API (يومي، 31 موديلًا بلا حد توكنز)</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7.68 دولار في اليوم</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مصفوفة التفاوض</w:t>
            </w:r>
          </w:p>
        </w:tc>
      </w:tr>
    </w:tbl>
    <w:p>
      <w:pPr>
        <w:spacing w:after="120"/>
      </w:pPr>
    </w:p>
    <w:p>
      <w:pPr>
        <w:pBdr>
          <w:top w:val="single" w:color="CFE0E3" w:sz="2" w:space="4"/>
          <w:bottom w:val="single" w:color="CFE0E3" w:sz="2" w:space="4"/>
          <w:left w:val="single" w:color="CFE0E3" w:sz="2" w:space="4"/>
          <w:right w:val="single" w:color="1D4A52" w:sz="12" w:space="8"/>
        </w:pBdr>
        <w:shd w:fill="EDF5F4" w:val="clear"/>
        <w:bidi/>
        <w:spacing w:after="160" w:before="120" w:line="312"/>
        <w:jc w:val="start"/>
      </w:pPr>
      <w:r>
        <w:rPr>
          <w:rFonts w:ascii="Arial" w:cs="Arial" w:hAnsi="Arial"/>
          <w:b/>
          <w:bCs/>
          <w:color w:val="17656F"/>
          <w:sz w:val="22"/>
          <w:szCs w:val="22"/>
          <w:rtl/>
        </w:rPr>
        <w:t xml:space="preserve">خلاصة حاكمة: </w:t>
      </w:r>
      <w:r>
        <w:rPr>
          <w:rFonts w:ascii="Arial" w:cs="Arial" w:hAnsi="Arial"/>
          <w:color w:val="000000"/>
          <w:sz w:val="22"/>
          <w:szCs w:val="22"/>
          <w:rtl/>
        </w:rPr>
        <w:t xml:space="preserve">ورقتا الاستخدام الأقوى: عرض K12 عند 4.58 دولار لسنتين مقابل تكلفة StackVault البالغة 4.62 عبر ProdSeller — ورقة ضغط مباشرة وجاهزة للاستخدام في المفاوضات؛ وعرض Claude Unlimited اليومي عند 7.68 دولار الذي يفتح بديلًا جذريًا لعملاء الاستخدام الكثيف بدل حزم الرصيد، مع اشتراط عينة اختبار أولى لجودة الحسابات الفيتنامية قبل أي اعتماد.</w:t>
      </w:r>
    </w:p>
    <w:p>
      <w:pPr>
        <w:pStyle w:val="Heading1"/>
        <w:bidi/>
        <w:spacing w:after="160" w:before="360" w:line="312"/>
        <w:jc w:val="start"/>
      </w:pPr>
      <w:bookmarkStart w:id="100021" w:name="_Toc100021"/>
      <w:r>
        <w:rPr>
          <w:rFonts w:ascii="Arial" w:cs="Arial" w:hAnsi="Arial"/>
          <w:b/>
          <w:bCs/>
          <w:color w:val="0F2B33"/>
          <w:sz w:val="32"/>
          <w:szCs w:val="32"/>
          <w:rtl/>
        </w:rPr>
        <w:t xml:space="preserve">10. AISUBSID — ورقة الضغط السعري (إندونيسيا)</w:t>
      </w:r>
      <w:bookmarkEnd w:id="100021"/>
    </w:p>
    <w:p>
      <w:pPr>
        <w:pStyle w:val="Heading2"/>
        <w:bidi/>
        <w:spacing w:after="120" w:before="240" w:line="312"/>
        <w:jc w:val="start"/>
      </w:pPr>
      <w:bookmarkStart w:id="100022" w:name="_Toc100022"/>
      <w:r>
        <w:rPr>
          <w:rFonts w:ascii="Arial" w:cs="Arial" w:hAnsi="Arial"/>
          <w:b/>
          <w:bCs/>
          <w:color w:val="17656F"/>
          <w:sz w:val="28"/>
          <w:szCs w:val="28"/>
          <w:rtl/>
        </w:rPr>
        <w:t xml:space="preserve">البطاقة التعريفية والدور في سلسلة التوريد</w:t>
      </w:r>
      <w:bookmarkEnd w:id="100022"/>
    </w:p>
    <w:p>
      <w:pPr>
        <w:bidi/>
        <w:spacing w:after="120" w:line="312"/>
        <w:jc w:val="start"/>
      </w:pPr>
      <w:r>
        <w:rPr>
          <w:rFonts w:ascii="Arial" w:cs="Arial" w:hAnsi="Arial"/>
          <w:color w:val="000000"/>
          <w:sz w:val="24"/>
          <w:szCs w:val="24"/>
          <w:rtl/>
        </w:rPr>
        <w:t xml:space="preserve">AISUBSID (الاسم التجاري AISUBS.ID) بائع حسابات متخصص يعمل كمزرعة إندونيسية محترفة لحسابات ChatGPT، بتسعير مزدوج بالدولار والروبية الإندونيسية يستهدف السوقين العالمي والمحلي. قناته صغيرة الحجم (309 مشتركين وقت الفحص الطازج، آخر نشاط 29/09) لكنها تحمل أرخص أسعار ChatGPT Plus المرصودة في السوق كله: فقد باع خمسين حسابًا في طلب واحد في 25/09 ويتيح بوت البيع 131 حسابًا متاحًا وقت رصد المصفوفة، والمالك معلن ومتاح للتواصل المباشر والجملة عبر @AisubsIDFounder.</w:t>
      </w:r>
    </w:p>
    <w:p>
      <w:pPr>
        <w:pStyle w:val="Heading2"/>
        <w:bidi/>
        <w:spacing w:after="120" w:before="240" w:line="312"/>
        <w:jc w:val="start"/>
      </w:pPr>
      <w:bookmarkStart w:id="100023" w:name="_Toc100023"/>
      <w:r>
        <w:rPr>
          <w:rFonts w:ascii="Arial" w:cs="Arial" w:hAnsi="Arial"/>
          <w:b/>
          <w:bCs/>
          <w:color w:val="17656F"/>
          <w:sz w:val="28"/>
          <w:szCs w:val="28"/>
          <w:rtl/>
        </w:rPr>
        <w:t xml:space="preserve">مصدر التوريد الدقيق والروابط الموثقة</w:t>
      </w:r>
      <w:bookmarkEnd w:id="100023"/>
    </w:p>
    <w:p>
      <w:pPr>
        <w:bidi/>
        <w:spacing w:after="120" w:line="312"/>
        <w:jc w:val="start"/>
      </w:pPr>
      <w:r>
        <w:rPr>
          <w:rFonts w:ascii="Arial" w:cs="Arial" w:hAnsi="Arial"/>
          <w:color w:val="000000"/>
          <w:sz w:val="24"/>
          <w:szCs w:val="24"/>
          <w:rtl/>
        </w:rPr>
        <w:t xml:space="preserve">مصدر توريد AISUBSID ذاته هو تشغيل مزرعة حسابات مباشر لا إعادة بيع ظاهرة: فأسعار الجملة التي ينزل بها (2.50 دولار للحساب) أدنى من أي سعر جملة معلن لمنافسيه بما لا يترك هامش وسيط قابلًا للوجود، وطرق التجهيز المرصودة في إعلاناته (قنوات UPI الهندية للدفع) تتسق مع ملكية منشأ الحسابات. وهذا ما يمنحه قيمته التفاوضية القصوى: فهو ليس وسيطًا يمكن كسر سعره بالضغط على من فوقه، بل مصدرًا مستقلًا من الطبقة الأولى يمكن الاستشهاد بأسعاره أمام ProdSeller مباشرة للمطابقة أو التحويل الجزئي.</w:t>
      </w:r>
    </w:p>
    <w:p>
      <w:pPr>
        <w:keepNext/>
        <w:bidi/>
        <w:spacing w:after="80" w:before="160" w:line="312"/>
        <w:jc w:val="start"/>
      </w:pPr>
      <w:r>
        <w:rPr>
          <w:rFonts w:ascii="Arial" w:cs="Arial" w:hAnsi="Arial"/>
          <w:b/>
          <w:bCs/>
          <w:color w:val="0F2B33"/>
          <w:sz w:val="21"/>
          <w:szCs w:val="21"/>
          <w:rtl/>
        </w:rPr>
        <w:t xml:space="preserve">جدول 13: روابط AISUBSID وحالة كل رابط (فحص 30/09/2026)</w:t>
      </w:r>
    </w:p>
    <w:tbl>
      <w:tblPr>
        <w:bidiVisual/>
        <w:tblW w:type="pct" w:w="100%"/>
        <w:tblBorders>
          <w:top w:val="single" w:color="1D4A52" w:sz="4"/>
          <w:left w:val="none"/>
          <w:bottom w:val="single" w:color="1D4A52" w:sz="4"/>
          <w:right w:val="none"/>
          <w:insideH w:val="single" w:color="CFE0E3" w:sz="2"/>
          <w:insideV w:val="single" w:color="CFE0E3" w:sz="2"/>
        </w:tblBorders>
      </w:tblPr>
      <w:tblGrid>
        <w:gridCol w:w="100"/>
        <w:gridCol w:w="100"/>
        <w:gridCol w:w="100"/>
        <w:gridCol w:w="100"/>
      </w:tblGrid>
      <w:tr>
        <w:trPr>
          <w:cantSplit/>
          <w:tblHeader/>
        </w:trPr>
        <w:tc>
          <w:tcPr>
            <w:tcW w:type="pct" w:w="25%"/>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القناة</w:t>
            </w:r>
          </w:p>
        </w:tc>
        <w:tc>
          <w:tcPr>
            <w:tcW w:type="pct" w:w="25%"/>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الرابط</w:t>
            </w:r>
          </w:p>
        </w:tc>
        <w:tc>
          <w:tcPr>
            <w:tcW w:type="pct" w:w="25%"/>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الحالة</w:t>
            </w:r>
          </w:p>
        </w:tc>
        <w:tc>
          <w:tcPr>
            <w:tcW w:type="pct" w:w="25%"/>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الدليل الحي</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القناة (إعلانات التموين والأسعار)</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t.me/AISUBSID</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309 مشتركين — آخر نشر 29/09</w:t>
            </w:r>
          </w:p>
        </w:tc>
      </w:tr>
      <w:tr>
        <w:trPr>
          <w:cantSplit/>
        </w:trPr>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بوت البيع الآلي</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t.me/Aisubsglobalbot</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بطاقة بوت حية — 131 حسابًا متاحًا (رصد المصفوفة)</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المالك (الجملة والتواصل)</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t.me/AisubsIDFounder</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حساب حي — قناة التعامل المباشر</w:t>
            </w:r>
          </w:p>
        </w:tc>
      </w:tr>
    </w:tbl>
    <w:p>
      <w:pPr>
        <w:spacing w:after="120"/>
      </w:pPr>
    </w:p>
    <w:p>
      <w:pPr>
        <w:pStyle w:val="Heading2"/>
        <w:bidi/>
        <w:spacing w:after="120" w:before="240" w:line="312"/>
        <w:jc w:val="start"/>
      </w:pPr>
      <w:bookmarkStart w:id="100024" w:name="_Toc100024"/>
      <w:r>
        <w:rPr>
          <w:rFonts w:ascii="Arial" w:cs="Arial" w:hAnsi="Arial"/>
          <w:b/>
          <w:bCs/>
          <w:color w:val="17656F"/>
          <w:sz w:val="28"/>
          <w:szCs w:val="28"/>
          <w:rtl/>
        </w:rPr>
        <w:t xml:space="preserve">الأسعار الموثقة من مصادر المورد نفسه</w:t>
      </w:r>
      <w:bookmarkEnd w:id="100024"/>
    </w:p>
    <w:p>
      <w:pPr>
        <w:keepNext/>
        <w:bidi/>
        <w:spacing w:after="80" w:before="160" w:line="312"/>
        <w:jc w:val="start"/>
      </w:pPr>
      <w:r>
        <w:rPr>
          <w:rFonts w:ascii="Arial" w:cs="Arial" w:hAnsi="Arial"/>
          <w:b/>
          <w:bCs/>
          <w:color w:val="0F2B33"/>
          <w:sz w:val="21"/>
          <w:szCs w:val="21"/>
          <w:rtl/>
        </w:rPr>
        <w:t xml:space="preserve">جدول 14: أسعار AISUBSID المؤرخة (إعلانات القناة)</w:t>
      </w:r>
    </w:p>
    <w:tbl>
      <w:tblPr>
        <w:bidiVisual/>
        <w:tblW w:type="pct" w:w="100%"/>
        <w:tblBorders>
          <w:top w:val="single" w:color="1D4A52" w:sz="4"/>
          <w:left w:val="none"/>
          <w:bottom w:val="single" w:color="1D4A52" w:sz="4"/>
          <w:right w:val="none"/>
          <w:insideH w:val="single" w:color="CFE0E3" w:sz="2"/>
          <w:insideV w:val="single" w:color="CFE0E3" w:sz="2"/>
        </w:tblBorders>
      </w:tblPr>
      <w:tblGrid>
        <w:gridCol w:w="100"/>
        <w:gridCol w:w="100"/>
        <w:gridCol w:w="100"/>
      </w:tblGrid>
      <w:tr>
        <w:trPr>
          <w:cantSplit/>
          <w:tblHeader/>
        </w:trPr>
        <w:tc>
          <w:tcPr>
            <w:tcW w:type="pct" w:w="34%"/>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المنتج / العرض</w:t>
            </w:r>
          </w:p>
        </w:tc>
        <w:tc>
          <w:tcPr>
            <w:tcW w:type="pct" w:w="33%"/>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السعر</w:t>
            </w:r>
          </w:p>
        </w:tc>
        <w:tc>
          <w:tcPr>
            <w:tcW w:type="pct" w:w="33%"/>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التاريخ</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ChatGPT Plus (شهر)</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2.90 دولار / 53 ألف روبية</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27/09</w:t>
            </w:r>
          </w:p>
        </w:tc>
      </w:tr>
      <w:tr>
        <w:trPr>
          <w:cantSplit/>
        </w:trPr>
        <w:tc>
          <w:tcPr>
            <w:tcW w:type="pct" w:w="34%"/>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ChatGPT Plus (عرض يوم واحد)</w:t>
            </w:r>
          </w:p>
        </w:tc>
        <w:tc>
          <w:tcPr>
            <w:tcW w:type="pct" w:w="33%"/>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2.80 دولار / 50 ألف روبية للوحدة</w:t>
            </w:r>
          </w:p>
        </w:tc>
        <w:tc>
          <w:tcPr>
            <w:tcW w:type="pct" w:w="33%"/>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28/09</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ChatGPT Plus (جملة 10 إلى 50 وحدة)</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2.50 دولار / 45 ألف روبية — أرخص سعر مرصود في السوق</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28/09</w:t>
            </w:r>
          </w:p>
        </w:tc>
      </w:tr>
      <w:tr>
        <w:trPr>
          <w:cantSplit/>
        </w:trPr>
        <w:tc>
          <w:tcPr>
            <w:tcW w:type="pct" w:w="34%"/>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ChatGPT Plus (فردي عبر البوت)</w:t>
            </w:r>
          </w:p>
        </w:tc>
        <w:tc>
          <w:tcPr>
            <w:tcW w:type="pct" w:w="33%"/>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3.10 دولار</w:t>
            </w:r>
          </w:p>
        </w:tc>
        <w:tc>
          <w:tcPr>
            <w:tcW w:type="pct" w:w="33%"/>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رصد المصفوفة</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Gemini (إعلان إعادة تموين)</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0.45 إلى 0.55 دولار / 8 إلى 10 آلاف روبية</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29/09</w:t>
            </w:r>
          </w:p>
        </w:tc>
      </w:tr>
    </w:tbl>
    <w:p>
      <w:pPr>
        <w:spacing w:after="120"/>
      </w:pPr>
    </w:p>
    <w:p>
      <w:pPr>
        <w:pBdr>
          <w:top w:val="single" w:color="CFE0E3" w:sz="2" w:space="4"/>
          <w:bottom w:val="single" w:color="CFE0E3" w:sz="2" w:space="4"/>
          <w:left w:val="single" w:color="CFE0E3" w:sz="2" w:space="4"/>
          <w:right w:val="single" w:color="1D4A52" w:sz="12" w:space="8"/>
        </w:pBdr>
        <w:shd w:fill="EDF5F4" w:val="clear"/>
        <w:bidi/>
        <w:spacing w:after="160" w:before="120" w:line="312"/>
        <w:jc w:val="start"/>
      </w:pPr>
      <w:r>
        <w:rPr>
          <w:rFonts w:ascii="Arial" w:cs="Arial" w:hAnsi="Arial"/>
          <w:b/>
          <w:bCs/>
          <w:color w:val="17656F"/>
          <w:sz w:val="22"/>
          <w:szCs w:val="22"/>
          <w:rtl/>
        </w:rPr>
        <w:t xml:space="preserve">خلاصة حاكمة: </w:t>
      </w:r>
      <w:r>
        <w:rPr>
          <w:rFonts w:ascii="Arial" w:cs="Arial" w:hAnsi="Arial"/>
          <w:color w:val="000000"/>
          <w:sz w:val="22"/>
          <w:szCs w:val="22"/>
          <w:rtl/>
        </w:rPr>
        <w:t xml:space="preserve">المعادلة الحاكمة: تكلفة StackVault للحساب المضمون تبلغ 5.72 دولارًا فأكثر مقابل جملة AISUBSID عند 2.50 دولار — وفر يصل إلى 56 بالمئة على أكبر عائلة بيع لدى المتجر. البروتوكول الموصى به: عينة من 5 حسابات لاختبار الجودة أولًا، ثم عرض السعر على ProdSeller للمطابقة قبل أي تحويل كامل، مع الانتباه إلى تحذير المالك نفسه (27/09) من أن طريقة UPI لـ ChatGPT Plus قد تُرقَّع قريبًا — نافذة توريد قد تُغلق فلا يصح تأجيل العينة.</w:t>
      </w:r>
    </w:p>
    <w:p>
      <w:pPr>
        <w:pStyle w:val="Heading1"/>
        <w:bidi/>
        <w:spacing w:after="160" w:before="360" w:line="312"/>
        <w:jc w:val="start"/>
      </w:pPr>
      <w:bookmarkStart w:id="100025" w:name="_Toc100025"/>
      <w:r>
        <w:rPr>
          <w:rFonts w:ascii="Arial" w:cs="Arial" w:hAnsi="Arial"/>
          <w:b/>
          <w:bCs/>
          <w:color w:val="0F2B33"/>
          <w:sz w:val="32"/>
          <w:szCs w:val="32"/>
          <w:rtl/>
        </w:rPr>
        <w:t xml:space="preserve">11. storeBatmanBot — المرشح الجديد (إندونيسيا)</w:t>
      </w:r>
      <w:bookmarkEnd w:id="100025"/>
    </w:p>
    <w:p>
      <w:pPr>
        <w:pStyle w:val="Heading2"/>
        <w:bidi/>
        <w:spacing w:after="120" w:before="240" w:line="312"/>
        <w:jc w:val="start"/>
      </w:pPr>
      <w:bookmarkStart w:id="100026" w:name="_Toc100026"/>
      <w:r>
        <w:rPr>
          <w:rFonts w:ascii="Arial" w:cs="Arial" w:hAnsi="Arial"/>
          <w:b/>
          <w:bCs/>
          <w:color w:val="17656F"/>
          <w:sz w:val="28"/>
          <w:szCs w:val="28"/>
          <w:rtl/>
        </w:rPr>
        <w:t xml:space="preserve">البطاقة التعريفية والدور في سلسلة التوريد</w:t>
      </w:r>
      <w:bookmarkEnd w:id="100026"/>
    </w:p>
    <w:p>
      <w:pPr>
        <w:bidi/>
        <w:spacing w:after="120" w:line="312"/>
        <w:jc w:val="start"/>
      </w:pPr>
      <w:r>
        <w:rPr>
          <w:rFonts w:ascii="Arial" w:cs="Arial" w:hAnsi="Arial"/>
          <w:color w:val="000000"/>
          <w:sz w:val="24"/>
          <w:szCs w:val="24"/>
          <w:rtl/>
        </w:rPr>
        <w:t xml:space="preserve">storeBatmanBot (الاسم المعروض في بطاقته: storebat، والاسم الرسمي لعنقوده: STORE BATMAN) هو المرشح الجديد الأول في القائمة، وكيلان لم يرد في أي فحص سابق ولم يكن له أي توثيق قبل هذا الملف. الفحص الطازج يثبت أنه عنقود إندونيسي صغير قيد التشغيل: بوت بيع حي بلا أي وصف علني، وقناة رسمية (t.me/storeBatman) يبلغ مشتركوها 52 مشتركًا مع تعطيل سجل الرسائل العلني، ومالك معلن في وصف القناة هو @Chulopapirel، وقناة إثباتات تسليم مستقلة معلنة رسميًا هي @proofbatman. ووصف القناة نفسه يحمل تحذيرًا تشغيليًا بامتياز: عبارة (Selain itu fake akun) بالإندونيسية تعني أن أي حسابات غير حساباتهم المعلنة مزيفة — وهو إعلان ملكية صريح في سوق يكثر فيه انتحال الأسماء.</w:t>
      </w:r>
    </w:p>
    <w:p>
      <w:pPr>
        <w:pStyle w:val="Heading2"/>
        <w:bidi/>
        <w:spacing w:after="120" w:before="240" w:line="312"/>
        <w:jc w:val="start"/>
      </w:pPr>
      <w:bookmarkStart w:id="100027" w:name="_Toc100027"/>
      <w:r>
        <w:rPr>
          <w:rFonts w:ascii="Arial" w:cs="Arial" w:hAnsi="Arial"/>
          <w:b/>
          <w:bCs/>
          <w:color w:val="17656F"/>
          <w:sz w:val="28"/>
          <w:szCs w:val="28"/>
          <w:rtl/>
        </w:rPr>
        <w:t xml:space="preserve">مصدر التوريد الدقيق والروابط الموثقة</w:t>
      </w:r>
      <w:bookmarkEnd w:id="100027"/>
    </w:p>
    <w:p>
      <w:pPr>
        <w:bidi/>
        <w:spacing w:after="120" w:line="312"/>
        <w:jc w:val="start"/>
      </w:pPr>
      <w:r>
        <w:rPr>
          <w:rFonts w:ascii="Arial" w:cs="Arial" w:hAnsi="Arial"/>
          <w:color w:val="000000"/>
          <w:sz w:val="24"/>
          <w:szCs w:val="24"/>
          <w:rtl/>
        </w:rPr>
        <w:t xml:space="preserve">لا يمكن تحديد مصدر توريد هذا الكيان بعد لأنه لا يعرض أي كتالوج أو أسعار علنًا: البوت بلا وصف، والقناة بلا سجل رسائل عام، ولا يوجد أي موقع أو واجهة API. التقييم الأولي المبني على القرائن المتاحة: عملية صغيرة أو ناشئة ذات طابع محلي إندونيسي، وقناة الإثباتات المستقلة علامة نزاهة أولية إيجابية تدل على اهتمام ببناء الثقة، لكن غياب أي سجل أسعار علني يجعل أي التزام مالي قبيل الاستفسار المباشر غير مسؤول. استكشاف الكتالوج والأسعار يتطلب فتح محادثة مع البوت — وهي خطوة نشطة تقع خارج نطاق الفحص السلبي المعتمد في هذا الملف، وتوصيتنا الصريحة تنفيذها يدويًا بحساب مستقل قبل أي اعتماد، مع طلب عينة مدفوعة صغيرة وتوثيق آخر عمليات التسليم من قناة الإثباتات.</w:t>
      </w:r>
    </w:p>
    <w:p>
      <w:pPr>
        <w:keepNext/>
        <w:bidi/>
        <w:spacing w:after="80" w:before="160" w:line="312"/>
        <w:jc w:val="start"/>
      </w:pPr>
      <w:r>
        <w:rPr>
          <w:rFonts w:ascii="Arial" w:cs="Arial" w:hAnsi="Arial"/>
          <w:b/>
          <w:bCs/>
          <w:color w:val="0F2B33"/>
          <w:sz w:val="21"/>
          <w:szCs w:val="21"/>
          <w:rtl/>
        </w:rPr>
        <w:t xml:space="preserve">جدول 15: عنقود storeBatman وحالة كل رابط (فحص 30/09/2026)</w:t>
      </w:r>
    </w:p>
    <w:tbl>
      <w:tblPr>
        <w:bidiVisual/>
        <w:tblW w:type="pct" w:w="100%"/>
        <w:tblBorders>
          <w:top w:val="single" w:color="1D4A52" w:sz="4"/>
          <w:left w:val="none"/>
          <w:bottom w:val="single" w:color="1D4A52" w:sz="4"/>
          <w:right w:val="none"/>
          <w:insideH w:val="single" w:color="CFE0E3" w:sz="2"/>
          <w:insideV w:val="single" w:color="CFE0E3" w:sz="2"/>
        </w:tblBorders>
      </w:tblPr>
      <w:tblGrid>
        <w:gridCol w:w="100"/>
        <w:gridCol w:w="100"/>
        <w:gridCol w:w="100"/>
        <w:gridCol w:w="100"/>
      </w:tblGrid>
      <w:tr>
        <w:trPr>
          <w:cantSplit/>
          <w:tblHeader/>
        </w:trPr>
        <w:tc>
          <w:tcPr>
            <w:tcW w:type="pct" w:w="25%"/>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القناة</w:t>
            </w:r>
          </w:p>
        </w:tc>
        <w:tc>
          <w:tcPr>
            <w:tcW w:type="pct" w:w="25%"/>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الرابط</w:t>
            </w:r>
          </w:p>
        </w:tc>
        <w:tc>
          <w:tcPr>
            <w:tcW w:type="pct" w:w="25%"/>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الحالة</w:t>
            </w:r>
          </w:p>
        </w:tc>
        <w:tc>
          <w:tcPr>
            <w:tcW w:type="pct" w:w="25%"/>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الدليل الحي</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بوت البيع (الكيان المطلوب)</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t.me/storeBatmanBot</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بطاقة بوت حية — الاسم المعروض storebat بلا وصف علني</w:t>
            </w:r>
          </w:p>
        </w:tc>
      </w:tr>
      <w:tr>
        <w:trPr>
          <w:cantSplit/>
        </w:trPr>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القناة الرسمية</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t.me/storeBatman</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52 مشتركًا — سجل الرسائل غير معروض علنًا</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المالك المعلن</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t.me/Chulopapirel</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موجود (حساب شخصي)</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معلن مالكًا في وصف القناة</w:t>
            </w:r>
          </w:p>
        </w:tc>
      </w:tr>
      <w:tr>
        <w:trPr>
          <w:cantSplit/>
        </w:trPr>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قناة إثباتات التسليم</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t.me/proofbatman</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موجود (بلا سجل علني)</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قناة الإثباتات المعلنة رسميًا</w:t>
            </w:r>
          </w:p>
        </w:tc>
      </w:tr>
    </w:tbl>
    <w:p>
      <w:pPr>
        <w:spacing w:after="120"/>
      </w:pPr>
    </w:p>
    <w:p>
      <w:pPr>
        <w:keepNext/>
        <w:bidi/>
        <w:spacing w:after="80" w:before="160" w:line="312"/>
        <w:jc w:val="start"/>
      </w:pPr>
      <w:r>
        <w:rPr>
          <w:rFonts w:ascii="Arial" w:cs="Arial" w:hAnsi="Arial"/>
          <w:b/>
          <w:bCs/>
          <w:color w:val="0F2B33"/>
          <w:sz w:val="21"/>
          <w:szCs w:val="21"/>
          <w:rtl/>
        </w:rPr>
        <w:t xml:space="preserve">جدول 16: تحذيرات التشابه الحاسمة حول اسم Batman</w:t>
      </w:r>
    </w:p>
    <w:tbl>
      <w:tblPr>
        <w:bidiVisual/>
        <w:tblW w:type="pct" w:w="100%"/>
        <w:tblBorders>
          <w:top w:val="single" w:color="1D4A52" w:sz="4"/>
          <w:left w:val="none"/>
          <w:bottom w:val="single" w:color="1D4A52" w:sz="4"/>
          <w:right w:val="none"/>
          <w:insideH w:val="single" w:color="CFE0E3" w:sz="2"/>
          <w:insideV w:val="single" w:color="CFE0E3" w:sz="2"/>
        </w:tblBorders>
      </w:tblPr>
      <w:tblGrid>
        <w:gridCol w:w="100"/>
        <w:gridCol w:w="100"/>
        <w:gridCol w:w="100"/>
      </w:tblGrid>
      <w:tr>
        <w:trPr>
          <w:cantSplit/>
          <w:tblHeader/>
        </w:trPr>
        <w:tc>
          <w:tcPr>
            <w:tcW w:type="pct" w:w="34%"/>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المعرّف</w:t>
            </w:r>
          </w:p>
        </w:tc>
        <w:tc>
          <w:tcPr>
            <w:tcW w:type="pct" w:w="33%"/>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الحكم</w:t>
            </w:r>
          </w:p>
        </w:tc>
        <w:tc>
          <w:tcPr>
            <w:tcW w:type="pct" w:w="33%"/>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الدليل</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@BatmanStoreBot</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كيان مختلف متشابه الاسم</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بوت مستقل باسم (Batman shop) — بطاقة مختلفة تمامًا ولا يتبع العنقود</w:t>
            </w:r>
          </w:p>
        </w:tc>
      </w:tr>
      <w:tr>
        <w:trPr>
          <w:cantSplit/>
        </w:trPr>
        <w:tc>
          <w:tcPr>
            <w:tcW w:type="pct" w:w="34%"/>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@batman_88889</w:t>
            </w:r>
          </w:p>
        </w:tc>
        <w:tc>
          <w:tcPr>
            <w:tcW w:type="pct" w:w="33%"/>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كيان مختلف متشابه الاسم</w:t>
            </w:r>
          </w:p>
        </w:tc>
        <w:tc>
          <w:tcPr>
            <w:tcW w:type="pct" w:w="33%"/>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قناة عربية باسم (متجر باتمان |BATMAN STORE) — 1,764 مشتركًا — كيان مختلف تمامًا</w:t>
            </w:r>
          </w:p>
        </w:tc>
      </w:tr>
    </w:tbl>
    <w:p>
      <w:pPr>
        <w:spacing w:after="120"/>
      </w:pPr>
    </w:p>
    <w:p>
      <w:pPr>
        <w:pBdr>
          <w:top w:val="single" w:color="CFE0E3" w:sz="2" w:space="4"/>
          <w:bottom w:val="single" w:color="CFE0E3" w:sz="2" w:space="4"/>
          <w:left w:val="single" w:color="CFE0E3" w:sz="2" w:space="4"/>
          <w:right w:val="single" w:color="1D4A52" w:sz="12" w:space="8"/>
        </w:pBdr>
        <w:shd w:fill="EDF5F4" w:val="clear"/>
        <w:bidi/>
        <w:spacing w:after="160" w:before="120" w:line="312"/>
        <w:jc w:val="start"/>
      </w:pPr>
      <w:r>
        <w:rPr>
          <w:rFonts w:ascii="Arial" w:cs="Arial" w:hAnsi="Arial"/>
          <w:b/>
          <w:bCs/>
          <w:color w:val="17656F"/>
          <w:sz w:val="22"/>
          <w:szCs w:val="22"/>
          <w:rtl/>
        </w:rPr>
        <w:t xml:space="preserve">خلاصة حاكمة: </w:t>
      </w:r>
      <w:r>
        <w:rPr>
          <w:rFonts w:ascii="Arial" w:cs="Arial" w:hAnsi="Arial"/>
          <w:color w:val="000000"/>
          <w:sz w:val="22"/>
          <w:szCs w:val="22"/>
          <w:rtl/>
        </w:rPr>
        <w:t xml:space="preserve">الخلاصة الحاكمة: الكيان حي وموثق الهوية والقنوات الرسمية الأربع، لكنه غير مقيّم تجاريًا لغياب أي بيانات أسعار علنية. أي تعامل يبدأ باستفسار مباشر من البوت بحساب مستقل وعينة مدفوعة صغيرة، وبحدود تعرض مالية دنيا حتى يثبت سجل التسليم من قناة الإثباتات.</w:t>
      </w:r>
    </w:p>
    <w:p>
      <w:pPr>
        <w:pStyle w:val="Heading1"/>
        <w:bidi/>
        <w:spacing w:after="160" w:before="360" w:line="312"/>
        <w:jc w:val="start"/>
      </w:pPr>
      <w:bookmarkStart w:id="100028" w:name="_Toc100028"/>
      <w:r>
        <w:rPr>
          <w:rFonts w:ascii="Arial" w:cs="Arial" w:hAnsi="Arial"/>
          <w:b/>
          <w:bCs/>
          <w:color w:val="0F2B33"/>
          <w:sz w:val="32"/>
          <w:szCs w:val="32"/>
          <w:rtl/>
        </w:rPr>
        <w:t xml:space="preserve">12. AiVerseX Hub — المرشح الأكبر والأنشط (22,942 مشتركًا)</w:t>
      </w:r>
      <w:bookmarkEnd w:id="100028"/>
    </w:p>
    <w:p>
      <w:pPr>
        <w:pStyle w:val="Heading2"/>
        <w:bidi/>
        <w:spacing w:after="120" w:before="240" w:line="312"/>
        <w:jc w:val="start"/>
      </w:pPr>
      <w:bookmarkStart w:id="100029" w:name="_Toc100029"/>
      <w:r>
        <w:rPr>
          <w:rFonts w:ascii="Arial" w:cs="Arial" w:hAnsi="Arial"/>
          <w:b/>
          <w:bCs/>
          <w:color w:val="17656F"/>
          <w:sz w:val="28"/>
          <w:szCs w:val="28"/>
          <w:rtl/>
        </w:rPr>
        <w:t xml:space="preserve">البطاقة التعريفية والدور في سلسلة التوريد</w:t>
      </w:r>
      <w:bookmarkEnd w:id="100029"/>
    </w:p>
    <w:p>
      <w:pPr>
        <w:bidi/>
        <w:spacing w:after="120" w:line="312"/>
        <w:jc w:val="start"/>
      </w:pPr>
      <w:r>
        <w:rPr>
          <w:rFonts w:ascii="Arial" w:cs="Arial" w:hAnsi="Arial"/>
          <w:color w:val="000000"/>
          <w:sz w:val="24"/>
          <w:szCs w:val="24"/>
          <w:rtl/>
        </w:rPr>
        <w:t xml:space="preserve">AiVerseX Hub هو المرشح الجديد الثاني في القائمة والأكبر بين الموردين السبعة جميعًا: قناة يبلغ مشتركوها 22,942 مشتركًا وقت الفحص الطازج — أي أكثر من مجموع مشتركي الكيانات الستة الأخرى مجتمعة — وهو الأنشط إطلاقًا إذ نشر آخر تحديثاته عند 02:35 من صباح يوم الفحص نفسه. الكيان متجر آلي واسع النطاق يرجّح أدلة التوقيت (نمط النشر بتوقيت الهند IST) أنه مشغل هندي، يعمل بوجود تيليجرام صرف (لا موقع له)، ببيع آلي فوري عبر البوت وروابط عميقة مباشرة للمنتجات، ودفع بالعملات المشفرة حصرًا، وتسويق مدفوع مفهرس في قنوات كبرى (رُصد إعلانه في قناة ROOT OF HUNTER). ويعلن مخزونًا ضخمًا بلغ 3,804 وحدات من Gemini وقت رصد الإعلان المدفوع — قدرة توريد حجمية حقيقية تؤهله لطلبيات الجملة.</w:t>
      </w:r>
    </w:p>
    <w:p>
      <w:pPr>
        <w:pStyle w:val="Heading2"/>
        <w:bidi/>
        <w:spacing w:after="120" w:before="240" w:line="312"/>
        <w:jc w:val="start"/>
      </w:pPr>
      <w:bookmarkStart w:id="100030" w:name="_Toc100030"/>
      <w:r>
        <w:rPr>
          <w:rFonts w:ascii="Arial" w:cs="Arial" w:hAnsi="Arial"/>
          <w:b/>
          <w:bCs/>
          <w:color w:val="17656F"/>
          <w:sz w:val="28"/>
          <w:szCs w:val="28"/>
          <w:rtl/>
        </w:rPr>
        <w:t xml:space="preserve">مصدر التوريد الدقيق والروابط الموثقة</w:t>
      </w:r>
      <w:bookmarkEnd w:id="100030"/>
    </w:p>
    <w:p>
      <w:pPr>
        <w:bidi/>
        <w:spacing w:after="120" w:line="312"/>
        <w:jc w:val="start"/>
      </w:pPr>
      <w:r>
        <w:rPr>
          <w:rFonts w:ascii="Arial" w:cs="Arial" w:hAnsi="Arial"/>
          <w:color w:val="000000"/>
          <w:sz w:val="24"/>
          <w:szCs w:val="24"/>
          <w:rtl/>
        </w:rPr>
        <w:t xml:space="preserve">لا يعلن AiVerseX مصدرًا عليا لتوريده، وتنتمي قرائنه إلى نمط المشغل المتكامل: هيكل تسعير جملة هرمي معلن سابقًا على Gemini (طبقات من 1 إلى 499 وحدة فأكثر)، ودورة خفض سعري هابطة سريعة تشير إلى ملكية وصول مباشر لمنشأ الحسابات أو تعاقد جملة عميق، وتنويع فئات نشط (Gemini وOffice وAdobe Express وYouTube وNotion ومفتاح إعادة تفعيل Gemini الجديد في 29/09). أهميته لـ StackVault مزدوجة: منافس سعري مباشر على عائلات Gemini وOffice، ومرجعية قاع سعري خارجية — فكل فلاش جديد له دون 0.39 دولار يعني عمليًا أن StackVault يشتري فوق سعر السوق المعلن ويستوجب إعادة تسعير فورية لمشترياته.</w:t>
      </w:r>
    </w:p>
    <w:p>
      <w:pPr>
        <w:keepNext/>
        <w:bidi/>
        <w:spacing w:after="80" w:before="160" w:line="312"/>
        <w:jc w:val="start"/>
      </w:pPr>
      <w:r>
        <w:rPr>
          <w:rFonts w:ascii="Arial" w:cs="Arial" w:hAnsi="Arial"/>
          <w:b/>
          <w:bCs/>
          <w:color w:val="0F2B33"/>
          <w:sz w:val="21"/>
          <w:szCs w:val="21"/>
          <w:rtl/>
        </w:rPr>
        <w:t xml:space="preserve">جدول 17: روابط AiVerseX Hub وحالة كل رابط (فحص 30/09/2026)</w:t>
      </w:r>
    </w:p>
    <w:tbl>
      <w:tblPr>
        <w:bidiVisual/>
        <w:tblW w:type="pct" w:w="100%"/>
        <w:tblBorders>
          <w:top w:val="single" w:color="1D4A52" w:sz="4"/>
          <w:left w:val="none"/>
          <w:bottom w:val="single" w:color="1D4A52" w:sz="4"/>
          <w:right w:val="none"/>
          <w:insideH w:val="single" w:color="CFE0E3" w:sz="2"/>
          <w:insideV w:val="single" w:color="CFE0E3" w:sz="2"/>
        </w:tblBorders>
      </w:tblPr>
      <w:tblGrid>
        <w:gridCol w:w="100"/>
        <w:gridCol w:w="100"/>
        <w:gridCol w:w="100"/>
        <w:gridCol w:w="100"/>
      </w:tblGrid>
      <w:tr>
        <w:trPr>
          <w:cantSplit/>
          <w:tblHeader/>
        </w:trPr>
        <w:tc>
          <w:tcPr>
            <w:tcW w:type="pct" w:w="25%"/>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القناة</w:t>
            </w:r>
          </w:p>
        </w:tc>
        <w:tc>
          <w:tcPr>
            <w:tcW w:type="pct" w:w="25%"/>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الرابط</w:t>
            </w:r>
          </w:p>
        </w:tc>
        <w:tc>
          <w:tcPr>
            <w:tcW w:type="pct" w:w="25%"/>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الحالة</w:t>
            </w:r>
          </w:p>
        </w:tc>
        <w:tc>
          <w:tcPr>
            <w:tcW w:type="pct" w:w="25%"/>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الدليل الحي</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القناة (الإعلانات والفلاش)</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t.me/AiVerseXHub</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22,942 مشتركًا — آخر نشر 30/09 (02:35)</w:t>
            </w:r>
          </w:p>
        </w:tc>
      </w:tr>
      <w:tr>
        <w:trPr>
          <w:cantSplit/>
        </w:trPr>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بوت البيع</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t.me/AIVerseXBot</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فعلي</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بطاقة بوت حية — شراء مباشر بروابط عميقة</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الموقع aiversex.com</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aiversex.com</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غير فعلي (ميت)</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لا عنوان مرتبط بالنطاق — حضور تيليجرام فقط</w:t>
            </w:r>
          </w:p>
        </w:tc>
      </w:tr>
      <w:tr>
        <w:trPr>
          <w:cantSplit/>
        </w:trPr>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الموقع aiversexhub.com</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aiversexhub.com</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غير فعلي (ميت)</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فشل DNS كامل</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المعرّف @AiVerseX_Hub</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t.me/AiVerseX_Hub</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غير موجود</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صفحة عامة بلا علامات كيان — الصحيح @AiVerseXHub بلا شرطة سفلية</w:t>
            </w:r>
          </w:p>
        </w:tc>
      </w:tr>
    </w:tbl>
    <w:p>
      <w:pPr>
        <w:spacing w:after="120"/>
      </w:pPr>
    </w:p>
    <w:p>
      <w:pPr>
        <w:pStyle w:val="Heading2"/>
        <w:bidi/>
        <w:spacing w:after="120" w:before="240" w:line="312"/>
        <w:jc w:val="start"/>
      </w:pPr>
      <w:bookmarkStart w:id="100031" w:name="_Toc100031"/>
      <w:r>
        <w:rPr>
          <w:rFonts w:ascii="Arial" w:cs="Arial" w:hAnsi="Arial"/>
          <w:b/>
          <w:bCs/>
          <w:color w:val="17656F"/>
          <w:sz w:val="28"/>
          <w:szCs w:val="28"/>
          <w:rtl/>
        </w:rPr>
        <w:t xml:space="preserve">الأسعار الموثقة من مصادر المورد نفسه</w:t>
      </w:r>
      <w:bookmarkEnd w:id="100031"/>
    </w:p>
    <w:p>
      <w:pPr>
        <w:keepNext/>
        <w:bidi/>
        <w:spacing w:after="80" w:before="160" w:line="312"/>
        <w:jc w:val="start"/>
      </w:pPr>
      <w:r>
        <w:rPr>
          <w:rFonts w:ascii="Arial" w:cs="Arial" w:hAnsi="Arial"/>
          <w:b/>
          <w:bCs/>
          <w:color w:val="0F2B33"/>
          <w:sz w:val="21"/>
          <w:szCs w:val="21"/>
          <w:rtl/>
        </w:rPr>
        <w:t xml:space="preserve">جدول 18: أسعار AiVerseX Hub المؤرخة (إعلانات القناة والإعلان المدفوع)</w:t>
      </w:r>
    </w:p>
    <w:tbl>
      <w:tblPr>
        <w:bidiVisual/>
        <w:tblW w:type="pct" w:w="100%"/>
        <w:tblBorders>
          <w:top w:val="single" w:color="1D4A52" w:sz="4"/>
          <w:left w:val="none"/>
          <w:bottom w:val="single" w:color="1D4A52" w:sz="4"/>
          <w:right w:val="none"/>
          <w:insideH w:val="single" w:color="CFE0E3" w:sz="2"/>
          <w:insideV w:val="single" w:color="CFE0E3" w:sz="2"/>
        </w:tblBorders>
      </w:tblPr>
      <w:tblGrid>
        <w:gridCol w:w="100"/>
        <w:gridCol w:w="100"/>
        <w:gridCol w:w="100"/>
      </w:tblGrid>
      <w:tr>
        <w:trPr>
          <w:cantSplit/>
          <w:tblHeader/>
        </w:trPr>
        <w:tc>
          <w:tcPr>
            <w:tcW w:type="pct" w:w="34%"/>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المنتج / العرض</w:t>
            </w:r>
          </w:p>
        </w:tc>
        <w:tc>
          <w:tcPr>
            <w:tcW w:type="pct" w:w="33%"/>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السعر</w:t>
            </w:r>
          </w:p>
        </w:tc>
        <w:tc>
          <w:tcPr>
            <w:tcW w:type="pct" w:w="33%"/>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التاريخ</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Gemini Pro 18M (السعر القياسي)</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0.54 دولار — خُفّض من مستويات أعلى</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27/09</w:t>
            </w:r>
          </w:p>
        </w:tc>
      </w:tr>
      <w:tr>
        <w:trPr>
          <w:cantSplit/>
        </w:trPr>
        <w:tc>
          <w:tcPr>
            <w:tcW w:type="pct" w:w="34%"/>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Gemini Pro 18M (فلاش)</w:t>
            </w:r>
          </w:p>
        </w:tc>
        <w:tc>
          <w:tcPr>
            <w:tcW w:type="pct" w:w="33%"/>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0.39 دولار (خصم 28%، ينتهي 29/09) — يساوي تكلفة StackVault بالضبط</w:t>
            </w:r>
          </w:p>
        </w:tc>
        <w:tc>
          <w:tcPr>
            <w:tcW w:type="pct" w:w="33%"/>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28/09</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Gemini Pro 18M (جملة معلنة سابقًا)</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من 1 إلى 49 وحدة: 0.65 · من 50 إلى 499: 0.63 · 500 فأكثر: 0.60</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26/09</w:t>
            </w:r>
          </w:p>
        </w:tc>
      </w:tr>
      <w:tr>
        <w:trPr>
          <w:cantSplit/>
        </w:trPr>
        <w:tc>
          <w:tcPr>
            <w:tcW w:type="pct" w:w="34%"/>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Microsoft Office 365 Plus</w:t>
            </w:r>
          </w:p>
        </w:tc>
        <w:tc>
          <w:tcPr>
            <w:tcW w:type="pct" w:w="33%"/>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0.29 دولار (مخزون يفوق 500)</w:t>
            </w:r>
          </w:p>
        </w:tc>
        <w:tc>
          <w:tcPr>
            <w:tcW w:type="pct" w:w="33%"/>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26/09</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Adobe Express 12 شهرًا (كريبتو)</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0.40 دولار — أرخص من المصدر اليدوي الحالي (0.50) بنسبة 20%</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26/09</w:t>
            </w:r>
          </w:p>
        </w:tc>
      </w:tr>
      <w:tr>
        <w:trPr>
          <w:cantSplit/>
        </w:trPr>
        <w:tc>
          <w:tcPr>
            <w:tcW w:type="pct" w:w="34%"/>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YouTube Premium 3M</w:t>
            </w:r>
          </w:p>
        </w:tc>
        <w:tc>
          <w:tcPr>
            <w:tcW w:type="pct" w:w="33%"/>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3.00 دولار (5 وحدات)</w:t>
            </w:r>
          </w:p>
        </w:tc>
        <w:tc>
          <w:tcPr>
            <w:tcW w:type="pct" w:w="33%"/>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27/09</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CapCut Pro 7 أيام</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0.35 دولار</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الإعلان المدفوع المفهرس</w:t>
            </w:r>
          </w:p>
        </w:tc>
      </w:tr>
      <w:tr>
        <w:trPr>
          <w:cantSplit/>
        </w:trPr>
        <w:tc>
          <w:tcPr>
            <w:tcW w:type="pct" w:w="34%"/>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Gemini Pro 18M — مفتاح إعادة تفعيل</w:t>
            </w:r>
          </w:p>
        </w:tc>
        <w:tc>
          <w:tcPr>
            <w:tcW w:type="pct" w:w="33%"/>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منتج جديد أضيف</w:t>
            </w:r>
          </w:p>
        </w:tc>
        <w:tc>
          <w:tcPr>
            <w:tcW w:type="pct" w:w="33%"/>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29/09</w:t>
            </w:r>
          </w:p>
        </w:tc>
      </w:tr>
    </w:tbl>
    <w:p>
      <w:pPr>
        <w:spacing w:after="120"/>
      </w:pPr>
    </w:p>
    <w:p>
      <w:pPr>
        <w:pBdr>
          <w:top w:val="single" w:color="CFE0E3" w:sz="2" w:space="4"/>
          <w:bottom w:val="single" w:color="CFE0E3" w:sz="2" w:space="4"/>
          <w:left w:val="single" w:color="CFE0E3" w:sz="2" w:space="4"/>
          <w:right w:val="single" w:color="1D4A52" w:sz="12" w:space="8"/>
        </w:pBdr>
        <w:shd w:fill="EDF5F4" w:val="clear"/>
        <w:bidi/>
        <w:spacing w:after="160" w:before="120" w:line="312"/>
        <w:jc w:val="start"/>
      </w:pPr>
      <w:r>
        <w:rPr>
          <w:rFonts w:ascii="Arial" w:cs="Arial" w:hAnsi="Arial"/>
          <w:b/>
          <w:bCs/>
          <w:color w:val="17656F"/>
          <w:sz w:val="22"/>
          <w:szCs w:val="22"/>
          <w:rtl/>
        </w:rPr>
        <w:t xml:space="preserve">خلاصة حاكمة: </w:t>
      </w:r>
      <w:r>
        <w:rPr>
          <w:rFonts w:ascii="Arial" w:cs="Arial" w:hAnsi="Arial"/>
          <w:color w:val="000000"/>
          <w:sz w:val="22"/>
          <w:szCs w:val="22"/>
          <w:rtl/>
        </w:rPr>
        <w:t xml:space="preserve">الخلاصة الحاكمة: مرشح جاهز للتقييم بعينات فورية فوروده كتالوجًا وأسعارًا معلنة كاملة، وقيمته الأعلى استخباراتيًا هي وظيفة المرجع السعري الخارجي على Gemini وOffice؛ مقابل مخاطر موثقة: تقلب تسعيري هابط سريع، ومنتجات جديدة بلا سجل جودة مختبَر، ولا سياسة ضمان معلنة، ورأس مال الثقة قائم على حجم القناة وحده — فعينات صغيرة مدفوعة أولًا هي مدخل التعامل الوحيد المسؤول.</w:t>
      </w:r>
    </w:p>
    <w:p>
      <w:pPr>
        <w:pStyle w:val="Heading1"/>
        <w:bidi/>
        <w:spacing w:after="160" w:before="360" w:line="312"/>
        <w:jc w:val="start"/>
      </w:pPr>
      <w:bookmarkStart w:id="100032" w:name="_Toc100032"/>
      <w:r>
        <w:rPr>
          <w:rFonts w:ascii="Arial" w:cs="Arial" w:hAnsi="Arial"/>
          <w:b/>
          <w:bCs/>
          <w:color w:val="0F2B33"/>
          <w:sz w:val="32"/>
          <w:szCs w:val="32"/>
          <w:rtl/>
        </w:rPr>
        <w:t xml:space="preserve">13. خريطة سلسلة التوريد والخلاصة التنفيذية</w:t>
      </w:r>
      <w:bookmarkEnd w:id="100032"/>
    </w:p>
    <w:p>
      <w:pPr>
        <w:pStyle w:val="Heading2"/>
        <w:bidi/>
        <w:spacing w:after="120" w:before="240" w:line="312"/>
        <w:jc w:val="start"/>
      </w:pPr>
      <w:bookmarkStart w:id="100033" w:name="_Toc100033"/>
      <w:r>
        <w:rPr>
          <w:rFonts w:ascii="Arial" w:cs="Arial" w:hAnsi="Arial"/>
          <w:b/>
          <w:bCs/>
          <w:color w:val="17656F"/>
          <w:sz w:val="28"/>
          <w:szCs w:val="28"/>
          <w:rtl/>
        </w:rPr>
        <w:t xml:space="preserve">الخريطة الموحدة للسلسلة والتصنيف البنيوي كما أثبتها الفحص</w:t>
      </w:r>
      <w:bookmarkEnd w:id="100033"/>
    </w:p>
    <w:p>
      <w:pPr>
        <w:bidi/>
        <w:spacing w:after="120" w:line="312"/>
        <w:jc w:val="start"/>
      </w:pPr>
      <w:r>
        <w:rPr>
          <w:rFonts w:ascii="Arial" w:cs="Arial" w:hAnsi="Arial"/>
          <w:color w:val="000000"/>
          <w:sz w:val="24"/>
          <w:szCs w:val="24"/>
          <w:rtl/>
        </w:rPr>
        <w:t xml:space="preserve">تتكامل نتائج التحقق السبعة في خريطة واحدة واضحة الطبقات تجمع بين التصنيف البنيوي الحاسم (مصنع أو مورد جملة أو متجر) ودور كل كيان في السلسلة: مصنع منبع واحد يصنع حصص الذكاء الاصطناعي، وموزع جملة آلي واحد يصل به إلى المتجر ويستحوذ على 91 بالمئة من الكتالوج، ومورد جملة يدوي يغطي الفجوة بأكواد الناشئات وحسابات المزارع، ومصنع مزرعة متخصص بجملة قاطعة، وثلاثة متاجر خارج التوريد الحالي تتوزع بين منافس متكامل ومتجرين جديدين. الجدول التالي يلخص الخريطة بالتصنيف وروابط الوصول الموثقة:</w:t>
      </w:r>
    </w:p>
    <w:p>
      <w:pPr>
        <w:keepNext/>
        <w:bidi/>
        <w:spacing w:after="80" w:before="160" w:line="312"/>
        <w:jc w:val="start"/>
      </w:pPr>
      <w:r>
        <w:rPr>
          <w:rFonts w:ascii="Arial" w:cs="Arial" w:hAnsi="Arial"/>
          <w:b/>
          <w:bCs/>
          <w:color w:val="0F2B33"/>
          <w:sz w:val="21"/>
          <w:szCs w:val="21"/>
          <w:rtl/>
        </w:rPr>
        <w:t xml:space="preserve">جدول 19: خريطة سلسلة التوريد الموثقة والتصنيف البنيوي (30/09/2026)</w:t>
      </w:r>
    </w:p>
    <w:tbl>
      <w:tblPr>
        <w:bidiVisual/>
        <w:tblW w:type="pct" w:w="100%"/>
        <w:tblBorders>
          <w:top w:val="single" w:color="1D4A52" w:sz="4"/>
          <w:left w:val="none"/>
          <w:bottom w:val="single" w:color="1D4A52" w:sz="4"/>
          <w:right w:val="none"/>
          <w:insideH w:val="single" w:color="CFE0E3" w:sz="2"/>
          <w:insideV w:val="single" w:color="CFE0E3" w:sz="2"/>
        </w:tblBorders>
      </w:tblPr>
      <w:tblGrid>
        <w:gridCol w:w="100"/>
        <w:gridCol w:w="100"/>
        <w:gridCol w:w="100"/>
        <w:gridCol w:w="100"/>
      </w:tblGrid>
      <w:tr>
        <w:trPr>
          <w:cantSplit/>
          <w:tblHeader/>
        </w:trPr>
        <w:tc>
          <w:tcPr>
            <w:tcW w:type="pct" w:w="25%"/>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الطبقة</w:t>
            </w:r>
          </w:p>
        </w:tc>
        <w:tc>
          <w:tcPr>
            <w:tcW w:type="pct" w:w="25%"/>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الكيان</w:t>
            </w:r>
          </w:p>
        </w:tc>
        <w:tc>
          <w:tcPr>
            <w:tcW w:type="pct" w:w="25%"/>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الدور الموثق</w:t>
            </w:r>
          </w:p>
        </w:tc>
        <w:tc>
          <w:tcPr>
            <w:tcW w:type="pct" w:w="25%"/>
            <w:shd w:fill="1D4A52"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بوابة الوصول الفعلية</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مصنع — منبع الإنتاج (جملة الجملة)</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Team Sóc Lọ (فيتنام)</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يصنع حصص AI ويوزعها B2B عبر Reseller</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gpt.teamsoclo.site + قناة t.me/teamsoclo</w:t>
            </w:r>
          </w:p>
        </w:tc>
      </w:tr>
      <w:tr>
        <w:trPr>
          <w:cantSplit/>
        </w:trPr>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مورد جملة — الموزع الرئيسي</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ProdSeller</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توريد 91.0% من كتالوج StackVault آليًا (بادئة ps_)</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بوت t.me/ProdSellerBot + API عبر @sookbit</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مورد جملة يدوي — منبع أكواد</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Evo Era</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تغطية 8.7% من الكتالوج (بادئة mr_) بأكواد الناشئات والمزارع</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بوت t.me/Evolution_Era_bot + قناة التحديثات</w:t>
            </w:r>
          </w:p>
        </w:tc>
      </w:tr>
      <w:tr>
        <w:trPr>
          <w:cantSplit/>
        </w:trPr>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متجر منافس متكامل</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HitMeowShop</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منافس في طبقة StackVault نفسها — تجزئة بقدرة جملة</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بوتا Premikey + المالك @vahnix</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مصنع مزرعة + مورد جملة</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AISUBSID</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منبع إنتاج حسابات ChatGPT — أرخص جملة مرصودة (2.50 دولار)</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بوت t.me/Aisubsglobalbot + المالك المعلن</w:t>
            </w:r>
          </w:p>
        </w:tc>
      </w:tr>
      <w:tr>
        <w:trPr>
          <w:cantSplit/>
        </w:trPr>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متجر صغير — غير مقيّم</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storeBatmanBot</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بائع تجزئة محلي إندونيسي بلا كتالوج علني — يحتاج استفسارًا مباشرًا</w:t>
            </w:r>
          </w:p>
        </w:tc>
        <w:tc>
          <w:tcPr>
            <w:tcW w:type="pct" w:w="25%"/>
            <w:shd w:fill="EDF5F4"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بوت t.me/storeBatmanBot + قناة الإثباتات</w:t>
            </w:r>
          </w:p>
        </w:tc>
      </w:tr>
      <w:tr>
        <w:trPr>
          <w:cantSplit/>
        </w:trPr>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متجر آلي كبير</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AiVerseX Hub</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الأكبر والأنشط — تجزئة وفلاش بقدرة جملة على Gemini</w:t>
            </w:r>
          </w:p>
        </w:tc>
        <w:tc>
          <w:tcPr>
            <w:tcW w:type="pct" w:w="25%"/>
            <w:tcMar>
              <w:top w:type="dxa" w:w="50"/>
              <w:left w:type="dxa" w:w="100"/>
              <w:bottom w:type="dxa" w:w="50"/>
              <w:right w:type="dxa" w:w="100"/>
            </w:tcMar>
          </w:tcPr>
          <w:p>
            <w:pPr>
              <w:bidi/>
              <w:spacing w:line="276"/>
              <w:jc w:val="start"/>
            </w:pPr>
            <w:r>
              <w:rPr>
                <w:rFonts w:ascii="Arial" w:cs="Arial" w:hAnsi="Arial"/>
                <w:color w:val="000000"/>
                <w:sz w:val="20"/>
                <w:szCs w:val="20"/>
                <w:rtl/>
              </w:rPr>
              <w:t xml:space="preserve">بوت t.me/AIVerseXBot + قناة الفلاش</w:t>
            </w:r>
          </w:p>
        </w:tc>
      </w:tr>
    </w:tbl>
    <w:p>
      <w:pPr>
        <w:spacing w:after="120"/>
      </w:pPr>
    </w:p>
    <w:p>
      <w:pPr>
        <w:pStyle w:val="Heading2"/>
        <w:bidi/>
        <w:spacing w:after="120" w:before="240" w:line="312"/>
        <w:jc w:val="start"/>
      </w:pPr>
      <w:bookmarkStart w:id="100034" w:name="_Toc100034"/>
      <w:r>
        <w:rPr>
          <w:rFonts w:ascii="Arial" w:cs="Arial" w:hAnsi="Arial"/>
          <w:b/>
          <w:bCs/>
          <w:color w:val="17656F"/>
          <w:sz w:val="28"/>
          <w:szCs w:val="28"/>
          <w:rtl/>
        </w:rPr>
        <w:t xml:space="preserve">التوصيات التنفيذية المباشرة</w:t>
      </w:r>
      <w:bookmarkEnd w:id="100034"/>
    </w:p>
    <w:p>
      <w:pPr>
        <w:bidi/>
        <w:spacing w:after="120" w:line="312"/>
        <w:jc w:val="start"/>
      </w:pPr>
      <w:r>
        <w:rPr>
          <w:rFonts w:ascii="Arial" w:cs="Arial" w:hAnsi="Arial"/>
          <w:color w:val="000000"/>
          <w:sz w:val="24"/>
          <w:szCs w:val="24"/>
          <w:rtl/>
        </w:rPr>
        <w:t xml:space="preserve">أولًا — التصحيح الفوري مع المورد الحالي: مطالبة ProdSeller بتصحيح فجوتي K12 (من 4.62 إلى 3.80 دولار) وOffice (من 0.21 إلى 0.17 دولار) استنادًا إلى أسعاره المعلنة نفسها في قناته، مع طلب جدول الأسعار المخفي كاملًا بصفة StackVault عميل API فعلي. ثانيًا — تفعيل ورقة AISUBSID خلال أيام لا أسابيع: طلب عينة من خمسة حسابات من بوت البيع واختبارها، ثم عرض سعر الجملة (2.50 دولار) على ProdSeller للمطابقة، مع علم أن تحذير المالك من رقعة UPI يجعل النافذة زمنية. ثالثًا — تثبيت مراقبة إلزامية يومية على قناتي AiVerseXHub وProdSellerOfficial لاقتناص فلاشات Gemini دون 0.39 دولار، فهي إشارة إعادة تسعير فورية لمشتريات المتجر.</w:t>
      </w:r>
    </w:p>
    <w:p>
      <w:pPr>
        <w:bidi/>
        <w:spacing w:after="120" w:line="312"/>
        <w:jc w:val="start"/>
      </w:pPr>
      <w:r>
        <w:rPr>
          <w:rFonts w:ascii="Arial" w:cs="Arial" w:hAnsi="Arial"/>
          <w:color w:val="000000"/>
          <w:sz w:val="24"/>
          <w:szCs w:val="24"/>
          <w:rtl/>
        </w:rPr>
        <w:t xml:space="preserve">رابعًا — استفسار storeBatmanBot يدويًا: فتح البوت بحساب مستقل وتوثيق الكتالوج والأسعار وطلب عينة مدفوعة صغيرة، والتثبت من آخر عمليات التسليم في قناة الإثباتات، مع الالتزام بحدود تعرض مالية دنيا حتى يتكون سجل موثوق. خامسًا — دراسة التعاقد المباشر مع المصنّع teamsoclo كموزع: فهو يقطع هامش الوسيط البالغ 15 إلى 25 بالمئة على أغلى عائلات المتجر (23 منتج رصيد AI)، ويستلزم تجهيز وسيط لغوي فيتنامي واشتراطات تعويض صريحة ضد الأعطال الموثقة في قناته. وسادسًا — البقاء على نقاط القوة دون تدخل: أسعار StackVault الحالية في Gemini (0.39 دولار) وCapCut 7 أيام (0.04 دولار) وOutlook (0.02 دولار) هي الأرخص في السوق المفحوص ولا تحتاج أي إجراء.</w:t>
      </w:r>
    </w:p>
    <w:p>
      <w:pPr>
        <w:pBdr>
          <w:top w:val="single" w:color="CFE0E3" w:sz="2" w:space="4"/>
          <w:bottom w:val="single" w:color="CFE0E3" w:sz="2" w:space="4"/>
          <w:left w:val="single" w:color="CFE0E3" w:sz="2" w:space="4"/>
          <w:right w:val="single" w:color="1D4A52" w:sz="12" w:space="8"/>
        </w:pBdr>
        <w:shd w:fill="EDF5F4" w:val="clear"/>
        <w:bidi/>
        <w:spacing w:after="160" w:before="120" w:line="312"/>
        <w:jc w:val="start"/>
      </w:pPr>
      <w:r>
        <w:rPr>
          <w:rFonts w:ascii="Arial" w:cs="Arial" w:hAnsi="Arial"/>
          <w:b/>
          <w:bCs/>
          <w:color w:val="17656F"/>
          <w:sz w:val="22"/>
          <w:szCs w:val="22"/>
          <w:rtl/>
        </w:rPr>
        <w:t xml:space="preserve">خلاصة حاكمة: </w:t>
      </w:r>
      <w:r>
        <w:rPr>
          <w:rFonts w:ascii="Arial" w:cs="Arial" w:hAnsi="Arial"/>
          <w:color w:val="000000"/>
          <w:sz w:val="22"/>
          <w:szCs w:val="22"/>
          <w:rtl/>
        </w:rPr>
        <w:t xml:space="preserve">الحصيلة النهائية للطلب: مصادر التوريد السبعة محددة بدقة وموثقة بالروابط الفعلية المفحوصة حيًا بتاريخ 30/09/2026 — 27 رابطًا فعليًا و5 ميتة ووهم واحد وتحذيرا تشابه — والسلسلة مكتشفة البنية من المصنّع إلى المتجر، وأوراق الضغط الخمس جاهزة للاستخدام الفوري في المفاوضات.</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hAnsi="Arial"/>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hAnsi="Arial"/>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E0E3" w:sz="2" w:space="4"/>
      </w:pBdr>
      <w:bidi/>
      <w:jc w:val="start"/>
    </w:pPr>
    <w:r>
      <w:rPr>
        <w:rFonts w:ascii="Arial" w:cs="Arial" w:hAnsi="Arial"/>
        <w:color w:val="808080"/>
        <w:sz w:val="18"/>
        <w:szCs w:val="18"/>
        <w:rtl/>
      </w:rPr>
      <w:t xml:space="preserve">مصادر التوريد الموثقة — الكيانات السبعة | فحص حي 30/09/2026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hAnsi="Arial"/>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Arial" w:cs="Arial" w:hAnsi="Arial"/>
      <w:b/>
      <w:bCs/>
      <w:color w:val="0F2B33"/>
      <w:sz w:val="32"/>
      <w:szCs w:val="32"/>
    </w:rPr>
  </w:style>
  <w:style w:type="paragraph" w:styleId="Heading2">
    <w:name w:val="Heading 2"/>
    <w:basedOn w:val="Normal"/>
    <w:next w:val="Normal"/>
    <w:qFormat/>
    <w:pPr>
      <w:spacing w:after="120" w:before="240" w:line="312"/>
      <w:outlineLvl w:val="1"/>
    </w:pPr>
    <w:rPr>
      <w:rFonts w:ascii="Arial" w:cs="Arial" w:hAnsi="Arial"/>
      <w:b/>
      <w:bCs/>
      <w:color w:val="17656F"/>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2026-09-30T03:07:53.332Z</dcterms:created>
  <dcterms:modified xsi:type="dcterms:W3CDTF">2026-09-30T03:07:53.332Z</dcterms:modified>
</cp:coreProperties>
</file>

<file path=docProps/custom.xml><?xml version="1.0" encoding="utf-8"?>
<Properties xmlns="http://schemas.openxmlformats.org/officeDocument/2006/custom-properties" xmlns:vt="http://schemas.openxmlformats.org/officeDocument/2006/docPropsVTypes"/>
</file>