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588"/>
            </w:pPr>
          </w:p>
          <w:p>
            <w:pPr>
              <w:pBdr>
                <w:bottom w:val="single" w:color="37DCF2" w:sz="6" w:space="8"/>
              </w:pBdr>
              <w:bidi/>
              <w:spacing w:after="500" w:line="276"/>
              <w:ind w:left="800" w:right="1200"/>
              <w:jc w:val="start"/>
            </w:pPr>
            <w:r>
              <w:rPr>
                <w:rFonts w:ascii="Arial" w:cs="Arial" w:hAnsi="Arial"/>
                <w:color w:val="37DCF2"/>
                <w:spacing w:val="40"/>
                <w:sz w:val="18"/>
                <w:szCs w:val="18"/>
              </w:rPr>
              <w:t xml:space="preserve">S  U  P  P  L  I  E  R     I  N  T  E  L  L  I  G  E  N  C  E     —     C  H  A  N  N  E  L     M  A  T  R  I  X     &amp;     R  E  V  E  R  S  E     E  N  G  I  N  E  E  R  I  N  G</w:t>
            </w:r>
          </w:p>
          <w:p>
            <w:pPr>
              <w:bidi/>
              <w:spacing w:after="100" w:line="920" w:lineRule="atLeast"/>
              <w:ind w:right="1200"/>
              <w:jc w:val="start"/>
            </w:pPr>
            <w:r>
              <w:rPr>
                <w:rFonts w:ascii="Arial" w:cs="Arial" w:hAnsi="Arial"/>
                <w:b/>
                <w:bCs/>
                <w:color w:val="FFFFFF"/>
                <w:sz w:val="80"/>
                <w:szCs w:val="80"/>
                <w:rtl/>
              </w:rPr>
              <w:t xml:space="preserve">الهندسة العكسية</w:t>
            </w:r>
          </w:p>
          <w:p>
            <w:pPr>
              <w:bidi/>
              <w:spacing w:after="100" w:line="920" w:lineRule="atLeast"/>
              <w:ind w:right="1200"/>
              <w:jc w:val="start"/>
            </w:pPr>
            <w:r>
              <w:rPr>
                <w:rFonts w:ascii="Arial" w:cs="Arial" w:hAnsi="Arial"/>
                <w:b/>
                <w:bCs/>
                <w:color w:val="FFFFFF"/>
                <w:sz w:val="80"/>
                <w:szCs w:val="80"/>
                <w:rtl/>
              </w:rPr>
              <w:t xml:space="preserve">لنموذج المتاجر منخفضة</w:t>
            </w:r>
          </w:p>
          <w:p>
            <w:pPr>
              <w:bidi/>
              <w:spacing w:after="300" w:line="920" w:lineRule="atLeast"/>
              <w:ind w:right="1200"/>
              <w:jc w:val="start"/>
            </w:pPr>
            <w:r>
              <w:rPr>
                <w:rFonts w:ascii="Arial" w:cs="Arial" w:hAnsi="Arial"/>
                <w:b/>
                <w:bCs/>
                <w:color w:val="FFFFFF"/>
                <w:sz w:val="80"/>
                <w:szCs w:val="80"/>
                <w:rtl/>
              </w:rPr>
              <w:t xml:space="preserve">الأسعار — حزمة دولا</w:t>
            </w:r>
          </w:p>
          <w:p>
            <w:pPr>
              <w:bidi/>
              <w:spacing w:after="800" w:line="312"/>
              <w:ind w:right="1200"/>
              <w:jc w:val="start"/>
            </w:pPr>
            <w:r>
              <w:rPr>
                <w:rFonts w:ascii="Arial" w:cs="Arial" w:hAnsi="Arial"/>
                <w:color w:val="B0B8C0"/>
                <w:sz w:val="24"/>
                <w:szCs w:val="24"/>
                <w:rtl/>
              </w:rPr>
              <w:t xml:space="preserve">مصفوفة 91 قناة + شجرة فرضيات التزويد + حاسبة الهامش العكسي + قانون الأرضيات</w:t>
            </w:r>
          </w:p>
          <w:p>
            <w:pPr>
              <w:pBdr>
                <w:right w:val="single" w:color="37DCF2" w:sz="8" w:space="12"/>
              </w:pBdr>
              <w:bidi/>
              <w:spacing w:after="80" w:line="312"/>
              <w:ind w:right="1400"/>
              <w:jc w:val="start"/>
            </w:pPr>
            <w:r>
              <w:rPr>
                <w:rFonts w:ascii="Arial" w:cs="Arial" w:hAnsi="Arial"/>
                <w:color w:val="90989F"/>
                <w:sz w:val="24"/>
                <w:szCs w:val="24"/>
                <w:rtl/>
              </w:rPr>
              <w:t xml:space="preserve">المرجع العامل: v4.2 — Candidate (الترقية معلّقة على اكتمال الدفعة 3)</w:t>
            </w:r>
          </w:p>
          <w:p>
            <w:pPr>
              <w:pBdr>
                <w:right w:val="single" w:color="37DCF2" w:sz="8" w:space="12"/>
              </w:pBdr>
              <w:bidi/>
              <w:spacing w:after="80" w:line="312"/>
              <w:ind w:right="1400"/>
              <w:jc w:val="start"/>
            </w:pPr>
            <w:r>
              <w:rPr>
                <w:rFonts w:ascii="Arial" w:cs="Arial" w:hAnsi="Arial"/>
                <w:color w:val="90989F"/>
                <w:sz w:val="24"/>
                <w:szCs w:val="24"/>
                <w:rtl/>
              </w:rPr>
              <w:t xml:space="preserve">قاعدة الأدلة: 91 قناة مصنفة · 274 كلفة داخلية مرصودة · 230+ عرضًا سعريًا</w:t>
            </w:r>
          </w:p>
          <w:p>
            <w:pPr>
              <w:pBdr>
                <w:right w:val="single" w:color="37DCF2" w:sz="8" w:space="12"/>
              </w:pBdr>
              <w:bidi/>
              <w:spacing w:after="80" w:line="312"/>
              <w:ind w:right="1400"/>
              <w:jc w:val="start"/>
            </w:pPr>
            <w:r>
              <w:rPr>
                <w:rFonts w:ascii="Arial" w:cs="Arial" w:hAnsi="Arial"/>
                <w:color w:val="90989F"/>
                <w:sz w:val="24"/>
                <w:szCs w:val="24"/>
                <w:rtl/>
              </w:rPr>
              <w:t xml:space="preserve">الإجابة على: كم فائدتهم وكيف يشترون ويبيعون — على مستوى كل قناة</w:t>
            </w:r>
          </w:p>
          <w:p>
            <w:pPr>
              <w:pBdr>
                <w:right w:val="single" w:color="37DCF2" w:sz="8" w:space="12"/>
              </w:pBdr>
              <w:bidi/>
              <w:spacing w:after="80" w:line="312"/>
              <w:ind w:right="1400"/>
              <w:jc w:val="start"/>
            </w:pPr>
            <w:r>
              <w:rPr>
                <w:rFonts w:ascii="Arial" w:cs="Arial" w:hAnsi="Arial"/>
                <w:color w:val="90989F"/>
                <w:sz w:val="24"/>
                <w:szCs w:val="24"/>
                <w:rtl/>
              </w:rPr>
              <w:t xml:space="preserve">التاريخ: 2026-09-27</w:t>
            </w:r>
          </w:p>
          <w:p>
            <w:pPr>
              <w:spacing w:before="3588"/>
            </w:pPr>
          </w:p>
          <w:p>
            <w:pPr>
              <w:pBdr>
                <w:top w:val="single" w:color="37DCF2" w:sz="2" w:space="8"/>
              </w:pBdr>
              <w:bidi/>
              <w:spacing w:before="200" w:line="276"/>
              <w:ind w:left="800" w:right="1200"/>
              <w:jc w:val="start"/>
            </w:pPr>
            <w:r>
              <w:rPr>
                <w:rFonts w:ascii="Arial" w:cs="Arial" w:hAnsi="Arial"/>
                <w:color w:val="687078"/>
                <w:sz w:val="16"/>
                <w:szCs w:val="16"/>
                <w:rtl/>
              </w:rPr>
              <w:t xml:space="preserve">2026-09-27</w:t>
            </w:r>
            <w:r>
              <w:rPr>
                <w:rFonts w:ascii="Arial" w:cs="Arial" w:hAnsi="Arial"/>
              </w:rPr>
              <w:t xml:space="preserve">                                        </w:t>
            </w:r>
            <w:r>
              <w:rPr>
                <w:rFonts w:ascii="Arial" w:cs="Arial" w:hAnsi="Arial"/>
                <w:color w:val="687078"/>
                <w:sz w:val="16"/>
                <w:szCs w:val="16"/>
              </w:rPr>
              <w:t xml:space="preserve">Adaptive Supplier Intelligence Research Engine</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color w:val="162235"/>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 — حزمة الإجابة على سؤال نموذج «دولا»</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مصفوفة القنوات — 91 قناة في خمس طبقات</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شجرة فرضيات التزويد — مرجّحة بالأدلة</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حاسبة الهامش العكسي وقانون الأرضيات</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حدود المعرفة والتطبيق العملي</w:t>
            </w:r>
            <w:r>
              <w:tab/>
            </w:r>
            <w:r>
              <w:fldChar w:fldCharType="begin"/>
            </w:r>
            <w:r>
              <w:instrText xml:space="preserve"> PAGEREF _Toc100004 \h </w:instrText>
            </w:r>
            <w:r>
              <w:fldChar w:fldCharType="separate"/>
            </w:r>
            <w:r>
              <w:t>4</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162235"/>
          <w:sz w:val="32"/>
          <w:szCs w:val="32"/>
          <w:rtl/>
        </w:rPr>
        <w:t xml:space="preserve">1. الملخص التنفيذي — حزمة الإجابة على سؤال نموذج «دولا»</w:t>
      </w:r>
      <w:bookmarkEnd w:id="100000"/>
    </w:p>
    <w:p>
      <w:pPr>
        <w:bidi/>
        <w:spacing w:after="120" w:line="312"/>
        <w:jc w:val="start"/>
      </w:pPr>
      <w:r>
        <w:rPr>
          <w:rFonts w:ascii="Arial" w:cs="Arial" w:hAnsi="Arial"/>
          <w:color w:val="000000"/>
          <w:sz w:val="24"/>
          <w:szCs w:val="24"/>
          <w:rtl/>
        </w:rPr>
        <w:t xml:space="preserve">تجيب هذه الحزمة على السؤال المركزي الذي فُتح به هذا المشروع: كم فائدة المتاجر التي تبيع الاشتراكات الرقمية بأسعار منخفضة، وكيف تشتري وكيف تبيع؟ وقد بُنيت الإجابة على أكبر قاعدة أدلة جمعها المشروع حتى تاريخه: 91 قناة مصنفة بالكامل (31 كيانًا من سجل §19 حيّة كلها، و3 مكتشفات جديدة أبرزها الواجهة الخلفية لمتجر StackVault بحقل كلفة الشراء مكشوفًا لـ274 منتجًا، و57 قناة سوق ورسمية ظهرت في العروض الموثقة)، إضافة إلى أكثر من 230 عرضًا سعريًا عبر ثلاث دفعات بحثية، و117 منتجًا من متجر Turgame، و297 رسالة من تواريخ خمس قنوات حية. كل رقم في هذه الحزمة يحمل تاريخ رصده ومصدره وحالة تحققه، وفق قواعد المعلومات الملزمة للمشروع: الإعلاني لا يُخلط بالمعاملاتي، وفشل الاسترجاع لا يعني عدم الوجود.</w:t>
      </w:r>
    </w:p>
    <w:p>
      <w:pPr>
        <w:bidi/>
        <w:spacing w:after="120" w:line="312"/>
        <w:jc w:val="start"/>
      </w:pPr>
      <w:r>
        <w:rPr>
          <w:rFonts w:ascii="Arial" w:cs="Arial" w:hAnsi="Arial"/>
          <w:color w:val="000000"/>
          <w:sz w:val="24"/>
          <w:szCs w:val="24"/>
          <w:rtl/>
        </w:rPr>
        <w:t xml:space="preserve">الخلاصة المركزية: لا توجد قناة واحدة تفسّر متجرًا يبيع كتالوجًا عريضًا بأسعار منخفضة. البنية الاقتصادية للسوق تُجبر أي متجر ناجح على تشغيل محفظة توريد مركبة: عمود فقري من طبقة الجملة/API للعائلات الرقمية، وتحكيم إقليمي للبطاقات، وتقسيم مؤسسي/تعليمي للعائلات التعليمية، وتصنيع رمادي داخلي فقط عند استهداف الهوامش القصوى. الدليل البنيوي على ذلك مباشر: متجر StackVault نفسه — وهو أنظف نموذج متجر مرصود في المشروع — تُظهر كلفه الداخلية موردين متعددين وليس مصنعًا واحدًا (كلفته لمنتج CapCut أعلى من سعر الجملة المعلن لـProdSeller بطبقة كاملة، أي أنه يتزود بدوره من طبقة أعلى).</w:t>
      </w:r>
    </w:p>
    <w:p>
      <w:pPr>
        <w:bidi/>
        <w:spacing w:after="120" w:line="312"/>
        <w:jc w:val="start"/>
      </w:pPr>
      <w:r>
        <w:rPr>
          <w:rFonts w:ascii="Arial" w:cs="Arial" w:hAnsi="Arial"/>
          <w:color w:val="000000"/>
          <w:sz w:val="24"/>
          <w:szCs w:val="24"/>
          <w:rtl/>
        </w:rPr>
        <w:t xml:space="preserve">على مستوى الهوامش، القياسات المرصودة تعطي صورة كمية لأول مرة: المتجر المنظم يضيف وسيط 16.7% فوق كلفته (معادلة cost×1.2 موثقة عبر 274 منتجًا)، وطبقة الجملة تحقق هامشًا مستقرًا بين 10% و51%، والمصنع الرمادي يحقق هامشًا اسميًا هائلًا لكنه هش لأنه قابل للترقيع من الناشر (رُصد فعليًا: تخفيض Google لعروض Pixel من 12 إلى 6 أشهر). أما متجر التجزئة الخليجي الذي يبيع ChatGPT Plus بسعر يعادل 6.67 دولار فقد تزوّد حتمًا من الطبقة الهشة التي تكلفتها 2.80 دولار، ويكون هامشه الإجمالي بين 42% و58% قبل احتياطي الاستبدال — وهذا هو الفرق الحقيقي بين «الرخيص الموثوق» و«الرخيص الهش»: فرق طبقة الكلفة، لا كفاءة المتجر.</w:t>
      </w:r>
    </w:p>
    <w:p>
      <w:pPr>
        <w:pStyle w:val="Heading1"/>
        <w:bidi/>
        <w:spacing w:after="160" w:before="360" w:line="312"/>
        <w:jc w:val="start"/>
      </w:pPr>
      <w:bookmarkStart w:id="100001" w:name="_Toc100001"/>
      <w:r>
        <w:rPr>
          <w:rFonts w:ascii="Arial" w:cs="Arial" w:hAnsi="Arial"/>
          <w:b/>
          <w:bCs/>
          <w:color w:val="162235"/>
          <w:sz w:val="32"/>
          <w:szCs w:val="32"/>
          <w:rtl/>
        </w:rPr>
        <w:t xml:space="preserve">2. مصفوفة القنوات — 91 قناة في خمس طبقات</w:t>
      </w:r>
      <w:bookmarkEnd w:id="100001"/>
    </w:p>
    <w:p>
      <w:pPr>
        <w:bidi/>
        <w:spacing w:after="120" w:line="312"/>
        <w:jc w:val="start"/>
      </w:pPr>
      <w:r>
        <w:rPr>
          <w:rFonts w:ascii="Arial" w:cs="Arial" w:hAnsi="Arial"/>
          <w:color w:val="000000"/>
          <w:sz w:val="24"/>
          <w:szCs w:val="24"/>
          <w:rtl/>
        </w:rPr>
        <w:t xml:space="preserve">صُنّفت كل القنوات المرصودة في خمس طبقات تشغيلية: طبقة التصنيع (مصانع الحسابات والمفاتيح الرمادية)، وطبقة الجملة/التوزيع (بوتات API ورصيد مسبق)، وطبقة التجزئة (متاجر منظمة وبوتات فردية)، وطبقة الثقة/الضمان (وسطاء Escrow وضمانات مدفوعة)، وطبقة الأسواق المفتوحة (Eneba وKinguin وG2A وCDKeys ونظيراتها إضافة إلى القنوات الرسمية). التوزيع المرصود لكيانات سجل §19 يكشف بنية السوق: 5 كيانات تصنيع، و5 جملة، و16 تجزئة بأشكالها، و3 طبقة ثقة، و2 بائعو طرق ومعرفة — أي أن ثلثي المنظومة الرمادية المرصودة هي طبقات بيع لا طبقات إنتاج، وهذا بحد ذاته مؤشر على أن الإنتاج (المصانع) طبقة ضيقة ومركزة وأن القيمة الاقتصادية تتولد في التوزيع.</w:t>
      </w:r>
    </w:p>
    <w:p>
      <w:pPr>
        <w:keepNext/>
        <w:bidi/>
        <w:spacing w:after="80" w:before="160" w:line="312"/>
        <w:jc w:val="start"/>
      </w:pPr>
      <w:r>
        <w:rPr>
          <w:rFonts w:ascii="Arial" w:cs="Arial" w:hAnsi="Arial"/>
          <w:b/>
          <w:bCs/>
          <w:color w:val="162235"/>
          <w:sz w:val="21"/>
          <w:szCs w:val="21"/>
          <w:rtl/>
        </w:rPr>
        <w:t xml:space="preserve">الطبقات الخمس للسلسلة — التوزيع والأدوار والهوامش المرصودة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الطبقة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عدد الكيانات</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الدور</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الهامش المرصود</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التصنيع (مصانع + رمادي)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5</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إنتاج الحسابات والمفاتيح من مواد خام قريبة من الصفر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اسمي هائل وهش (نجاح UPI 1–2%)</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الجملة/التوزيع (API)</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شراء من المصانع وبيع الجملة للبائعين الصغار</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10–51% مستقر + حجم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التجزئة (منظمة + فردية)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16</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البيع النهائي بضمان متدرج وتسليم آلي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وسيط 16.7% (cost×1.2) — المدى 13–57%</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الثقة/الضمان (Escrow)</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وساطة الدفع والضمانات المدفوعة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مُسعّرة ضمنيًا في فرق الضمان</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الأسواق والقنوات الرسمية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57</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أسواق مفتوحة وقنوات ناشر رسمية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خصومات 1–15% من الاسمي في الجملة الشرعية</w:t>
            </w:r>
          </w:p>
        </w:tc>
      </w:tr>
    </w:tbl>
    <w:p>
      <w:pPr>
        <w:spacing w:after="120"/>
      </w:pPr>
    </w:p>
    <w:p>
      <w:pPr>
        <w:bidi/>
        <w:spacing w:after="120" w:line="312"/>
        <w:jc w:val="start"/>
      </w:pPr>
      <w:r>
        <w:rPr>
          <w:rFonts w:ascii="Arial" w:cs="Arial" w:hAnsi="Arial"/>
          <w:color w:val="000000"/>
          <w:sz w:val="24"/>
          <w:szCs w:val="24"/>
          <w:rtl/>
        </w:rPr>
        <w:t xml:space="preserve">أرخص مرساة سعرية مرصودة لكل كيان تُظهر التدرج الطبقي بوضوح: طبقة التصنيع تبدأ من 0.02 دولار (حسابات Outlook جاهزة لدى ProdSeller بوحدة الجملة)، وطبقة الجملة تتعامل في نطاق 0.14–0.65 دولار للوحدة الرقمية، وطبقة التجزئة المنظمة تبيع في نطاق 2.80–12 دولار للوحدة الشهرية بحسب مستوى الضمان، والأسواق المفتوحة تتفاوض حول الاسمي (خصومات صغيرة أو علاوات — بطاقات Steam الأمريكية تُباع فوق الاسمي بـ8.5% بسبب الطلب المرتفع). هذا التدرج هو «سلّم الكلفة» الذي تُبنى عليه حاسبة الهامش العكسي في القسم التالي.</w:t>
      </w:r>
    </w:p>
    <w:p>
      <w:pPr>
        <w:pStyle w:val="Heading1"/>
        <w:bidi/>
        <w:spacing w:after="160" w:before="360" w:line="312"/>
        <w:jc w:val="start"/>
      </w:pPr>
      <w:bookmarkStart w:id="100002" w:name="_Toc100002"/>
      <w:r>
        <w:rPr>
          <w:rFonts w:ascii="Arial" w:cs="Arial" w:hAnsi="Arial"/>
          <w:b/>
          <w:bCs/>
          <w:color w:val="162235"/>
          <w:sz w:val="32"/>
          <w:szCs w:val="32"/>
          <w:rtl/>
        </w:rPr>
        <w:t xml:space="preserve">3. شجرة فرضيات التزويد — مرجّحة بالأدلة</w:t>
      </w:r>
      <w:bookmarkEnd w:id="100002"/>
    </w:p>
    <w:p>
      <w:pPr>
        <w:bidi/>
        <w:spacing w:after="120" w:line="312"/>
        <w:jc w:val="start"/>
      </w:pPr>
      <w:r>
        <w:rPr>
          <w:rFonts w:ascii="Arial" w:cs="Arial" w:hAnsi="Arial"/>
          <w:color w:val="000000"/>
          <w:sz w:val="24"/>
          <w:szCs w:val="24"/>
          <w:rtl/>
        </w:rPr>
        <w:t xml:space="preserve">بُنيت الهندسة العكسية على أربع فرضيات تزويد تختبرها الأدلة المرصودة كلها. الفرضية الأولى هي التحكيم الإقليمي: الشراء من مناطق التسعير الرخيصة (لبنان، الهند، تركيا، الأرجنتين، مصر) وإعادة البيع في السوق الخليجي، وأدلتها قوية وتشمل أعمق خصم إقليمي موثق (بطاقات PSN أمريكية عبر لبنان بسعر 9.07 دولارات لكل 10 دولارات) واشتراكات الألعاب الإقليمية (Xbox GPU بين 4 و8.4 دولارات مقابل 22.99 رسميًا) والتحكيم الهندي (Spotify السنوي الهندي يعادل 0.79 دولار شهريًا مقابل 12.99 رسميًا). الفرضية الثانية هي التزود عبر طبقة الجملة/API وهي الأقوى دليلًا: كتالوج كامل بكلف الشراء مكشوفًا (ChatGPT Plus من 2.80 دولار، Office 365 سنة بـ0.21 دولار) مع إعلان موثق لخصومات API تصل إلى 35% تحت الأسعار المعلنة.</w:t>
      </w:r>
    </w:p>
    <w:p>
      <w:pPr>
        <w:bidi/>
        <w:spacing w:after="120" w:line="312"/>
        <w:jc w:val="start"/>
      </w:pPr>
      <w:r>
        <w:rPr>
          <w:rFonts w:ascii="Arial" w:cs="Arial" w:hAnsi="Arial"/>
          <w:color w:val="000000"/>
          <w:sz w:val="24"/>
          <w:szCs w:val="24"/>
          <w:rtl/>
        </w:rPr>
        <w:t xml:space="preserve">الفرضية الثالثة هي التصنيع الرمادي الداخلي: مصانع الحسابات التي تعترف بنسبة نجاح 1–2% لطريقة UPI، والمفاتيح الحجمية (Windows 11 Pro بـ1.03 يورو، وOffice 2024 بـ0.56 يورو — بتقارب مصدرين مستقلين)، وطريقة التحقق الطلابي عبر SheerID الموثقة نصيًا خطوة بخطوة من بائع مدرج. هذه الفرضية تفسّر الهوامش القصوى لكنها الأكثر هشاشة: الناشر يرقّعها (رُصد فعليًا في Google)، وكلفة الوحدة الناجحة تشمل كلفة 50–100 محاولة فاشلة. الفرضية الرابعة هي التقسيم المؤسسي/التعليمي: مقاعد Teams وEducation تُقسم وتباع (لوحة Canva بـ500 مستخدم تُباع بـ2.50 دولار للمقعد، وMS365 بـ0.21 دولار، وDuolingo بـ0.50 دولار) — وتعمل هذه القناة حتى يراجع الناشر عقود المؤسسات.</w:t>
      </w:r>
    </w:p>
    <w:p>
      <w:pPr>
        <w:keepNext/>
        <w:bidi/>
        <w:spacing w:after="80" w:before="160" w:line="312"/>
        <w:jc w:val="start"/>
      </w:pPr>
      <w:r>
        <w:rPr>
          <w:rFonts w:ascii="Arial" w:cs="Arial" w:hAnsi="Arial"/>
          <w:b/>
          <w:bCs/>
          <w:color w:val="162235"/>
          <w:sz w:val="21"/>
          <w:szCs w:val="21"/>
          <w:rtl/>
        </w:rPr>
        <w:t xml:space="preserve">الفرضيات الأربع — قوة الدليل والتغطية والاستدامة</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الفرضية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قوة الدليل</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ما تفسّره</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الاستدامة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H1 التحكيم الإقليمي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قوية [مرصود: لبنان/الهند/TR/AR]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البطاقات + اشتراكات الألعاب + Spotify</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عالية — فروق بنية تعرفة الناشر</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H2 الجملة/API</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قوية جدًا [274 كلفة داخلية مرصودة]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كل عائلات AI/SaaS + البرمجيات</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الأعلى — نموذج الشركة نفسه</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H3 التصنيع الرمادي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متوسطة–قوية [Win11 €1.03 · Office €0.56]</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المفاتيح الرمادية + الحسابات الهشة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هشة — قابلة للترقيع (موثق)</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H4 التقسيم المؤسسي</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 [Canva $2.50 · MS365 $0.21]</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Canva · Coursera · MS365 · Duolingo</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متوسطة — حتى مراجعة العقود</w:t>
            </w:r>
          </w:p>
        </w:tc>
      </w:tr>
    </w:tbl>
    <w:p>
      <w:pPr>
        <w:spacing w:after="120"/>
      </w:pPr>
    </w:p>
    <w:p>
      <w:pPr>
        <w:bidi/>
        <w:spacing w:after="120" w:line="312"/>
        <w:jc w:val="start"/>
      </w:pPr>
      <w:r>
        <w:rPr>
          <w:rFonts w:ascii="Arial" w:cs="Arial" w:hAnsi="Arial"/>
          <w:color w:val="000000"/>
          <w:sz w:val="24"/>
          <w:szCs w:val="24"/>
          <w:rtl/>
        </w:rPr>
        <w:t xml:space="preserve">الحكم المركب: المحفظة المركبة ليست خيارًا تحسينيًا بل إجبارية بنيوية. كتالوج عريض (10 عائلات منتجات) لا يمكن توريده من قناة واحدة لأن كل قناة تتخصص في عائلات محددة وطبقة كلفة محددة، والدليل أن المتجر المنظم الوحيد القابل للرصد الداخلي (StackVault) يُظهر في كلفه الداخلية آثار موردين متعددين. التطبيق العملي للمتجر الخليجي: العمود الفقري للحسابات الرقمية من طبقة API، والبطاقات من التحكيم الإقليمي (لبنان للبطاقات الأمريكية) أو الجملة الشرعية (خصم 1–15% من الاسمي خلف بوابات B2B)، والعائلات التعليمية من التقسيم المؤسسي، والتصنيع الداخلي فقط إذا قَبِل المتجر إدارة هشاشته العالية.</w:t>
      </w:r>
    </w:p>
    <w:p>
      <w:pPr>
        <w:pStyle w:val="Heading1"/>
        <w:bidi/>
        <w:spacing w:after="160" w:before="360" w:line="312"/>
        <w:jc w:val="start"/>
      </w:pPr>
      <w:bookmarkStart w:id="100003" w:name="_Toc100003"/>
      <w:r>
        <w:rPr>
          <w:rFonts w:ascii="Arial" w:cs="Arial" w:hAnsi="Arial"/>
          <w:b/>
          <w:bCs/>
          <w:color w:val="162235"/>
          <w:sz w:val="32"/>
          <w:szCs w:val="32"/>
          <w:rtl/>
        </w:rPr>
        <w:t xml:space="preserve">4. حاسبة الهامش العكسي وقانون الأرضيات</w:t>
      </w:r>
      <w:bookmarkEnd w:id="100003"/>
    </w:p>
    <w:p>
      <w:pPr>
        <w:bidi/>
        <w:spacing w:after="120" w:line="312"/>
        <w:jc w:val="start"/>
      </w:pPr>
      <w:r>
        <w:rPr>
          <w:rFonts w:ascii="Arial" w:cs="Arial" w:hAnsi="Arial"/>
          <w:color w:val="000000"/>
          <w:sz w:val="24"/>
          <w:szCs w:val="24"/>
          <w:rtl/>
        </w:rPr>
        <w:t xml:space="preserve">الحاسبة تقرأ كلفة التوريد من الطبقات المرصودة ثم تقارن أي سعر تجزئة بها: هامش المتجر = (سعر البيع ناقص كلفة التوريد) مقسومًا على سعر البيع. القاعدة القرائية المركزية التي تنتج عنها: متجر يبيع ChatGPT Plus بسعر يعادل 6.67 دولار هامشه الإجمالي 42–58% لكنه يتزود من الطبقة الهشة (2.80–3.85 دولار)، ومتجر يبيعه بسعر يعادل 12 دولارًا يستطيع التزود بطبقة الضمان الكامل (10.67 دولار) وهامشه 11% فقط — أي أن ارتفاع السعر قد يعني جودة أعلى لا طمعًا أعلى، وأن المقارنة بين متجرين بلا معرفة طبقة التزويد مقارنة غير صالحة اقتصاديًا.</w:t>
      </w:r>
    </w:p>
    <w:p>
      <w:pPr>
        <w:keepNext/>
        <w:bidi/>
        <w:spacing w:after="80" w:before="160" w:line="312"/>
        <w:jc w:val="start"/>
      </w:pPr>
      <w:r>
        <w:rPr>
          <w:rFonts w:ascii="Arial" w:cs="Arial" w:hAnsi="Arial"/>
          <w:b/>
          <w:bCs/>
          <w:color w:val="162235"/>
          <w:sz w:val="21"/>
          <w:szCs w:val="21"/>
          <w:rtl/>
        </w:rPr>
        <w:t xml:space="preserve">مرسيات حاسبة الهامش العكسي (كل الأرقام مرصودة 25–27/09/2026)</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gridCol w:w="100"/>
      </w:tblGrid>
      <w:tr>
        <w:trPr>
          <w:cantSplit/>
          <w:tblHeader/>
        </w:trPr>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أرضية التوريد</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طبقة «مستقرة»</w:t>
            </w:r>
          </w:p>
        </w:tc>
        <w:tc>
          <w:tcPr>
            <w:tcW w:type="pct" w:w="25%"/>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الرسمي المكافئ</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 شهر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$2.80</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$10.67 (ضمان كامل)</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$20.00</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Netflix — شهر</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≈$3.33 (كلفة محسوبة)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$26.99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Spotify — شهر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$0.79 (سنوي هندي)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$3.74</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$12.99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Microsoft 365 — سنة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$0.21 (كلفة API)</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$8.33</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$129.99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2024 Pro Plus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€0.56 ≈ $0.60</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$2.63 (ضمان 10 سنوات)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$249.99</w:t>
            </w:r>
          </w:p>
        </w:tc>
      </w:tr>
      <w:tr>
        <w:trPr>
          <w:cantSplit/>
        </w:trPr>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Xbox GPU — شهر</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$4.00 (إقليمي)</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$14.09 (كلفة API/سنة)</w:t>
            </w:r>
          </w:p>
        </w:tc>
        <w:tc>
          <w:tcPr>
            <w:tcW w:type="pct" w:w="25%"/>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$22.99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PSN $10 أمريكية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$9.07 (لبنان)</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الاسمي −1..15% (B2B)</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$10.00</w:t>
            </w:r>
          </w:p>
        </w:tc>
      </w:tr>
    </w:tbl>
    <w:p>
      <w:pPr>
        <w:spacing w:after="120"/>
      </w:pPr>
    </w:p>
    <w:p>
      <w:pPr>
        <w:bidi/>
        <w:spacing w:after="120" w:line="312"/>
        <w:jc w:val="start"/>
      </w:pPr>
      <w:r>
        <w:rPr>
          <w:rFonts w:ascii="Arial" w:cs="Arial" w:hAnsi="Arial"/>
          <w:color w:val="000000"/>
          <w:sz w:val="24"/>
          <w:szCs w:val="24"/>
          <w:rtl/>
        </w:rPr>
        <w:t xml:space="preserve">قانون الأرضيات يجيب على السؤال التالي منطقيًا: هل يستطيع متجر أن يشتري أرخص من هذه الأرضيات بإطراد؟ الأدلة تقول لا، لأربعة أسباب مرصودة: الجملة الشرعية (Reloadly وDT One وTurgame Wholesale) تبيع البطاقات بخصم 1–15% من الاسمي فقط، ولا توجد قناة B2B موثقة تبيع الاشتراكات تحت أرضيات المصانع الرمادية؛ وأرضيات المصانع نفسها مقيدة بكلفة حدية حقيقية (طريقة UPI تنجح 1–2% فلا يستطيع حتى الصانع البيع تحت 2.80 دولار بإطراد)؛ ولا يوجد في المصفوفة كلها (91 قناة) كيان واحد يبيع «كل شيء أرخص من الجميع» — الناجون متخصصون بطبقة واحدة وهوامشها المعروفة؛ ومن يعرض أسعارًا تحت الأرضيات بإطراد يكون أحد ثلاثة: يبيع هوية SKU مختلفة أصلًا (حساب مشترك لا خاص)، أو يحرق رأس ماله للاكتساب، أو احتيال منظم — والأنماط الثلاثة موثقة في السجل.</w:t>
      </w:r>
    </w:p>
    <w:p>
      <w:pPr>
        <w:pStyle w:val="Heading1"/>
        <w:bidi/>
        <w:spacing w:after="160" w:before="360" w:line="312"/>
        <w:jc w:val="start"/>
      </w:pPr>
      <w:bookmarkStart w:id="100004" w:name="_Toc100004"/>
      <w:r>
        <w:rPr>
          <w:rFonts w:ascii="Arial" w:cs="Arial" w:hAnsi="Arial"/>
          <w:b/>
          <w:bCs/>
          <w:color w:val="162235"/>
          <w:sz w:val="32"/>
          <w:szCs w:val="32"/>
          <w:rtl/>
        </w:rPr>
        <w:t xml:space="preserve">5. حدود المعرفة والتطبيق العملي</w:t>
      </w:r>
      <w:bookmarkEnd w:id="100004"/>
    </w:p>
    <w:p>
      <w:pPr>
        <w:bidi/>
        <w:spacing w:after="120" w:line="312"/>
        <w:jc w:val="start"/>
      </w:pPr>
      <w:r>
        <w:rPr>
          <w:rFonts w:ascii="Arial" w:cs="Arial" w:hAnsi="Arial"/>
          <w:color w:val="000000"/>
          <w:sz w:val="24"/>
          <w:szCs w:val="24"/>
          <w:rtl/>
        </w:rPr>
        <w:t xml:space="preserve">حدود هذه الهندسة العكسية إلزامية البيان: المتجر محل السؤال الأصلي (دولا) لم يكن قابلًا للرصد المباشر — النطاقات المرشحة كلها متوقفة (فُحصت dolaa.com ونظيراتها بتاريخ 27/09 وأعادت صفحات مواقفة) — لذلك بُني التحليل على النموذج لا على المحاسبة الفعلية للمتجر، والحاسبة جاهزة للتطبيق فور توفر قائمة أسعاره أو قناته. وكل الأسعار المرصودة إعلانية لا معاملاتية (عدا مشتريات مؤكدة يبثها البائعون أنفسهم)، وكلف الـAPI قيم داخلية غير قابلة للتدقيق الخارجي حتى فتح حساب B2B، والهوامش المحسوبة إجمالية قبل احتياطي الاستبدال ورسوم المقاصة (1–2% عبر USDT) وكلفة الاكتساب والضرائب المحلية إن وُجدت. والسوق سريع الدوران: كل الأرقام لحظة 25–27 سبتمبر 2026 وتحتاج مراقبة دورية للاتجاه.</w:t>
      </w:r>
    </w:p>
    <w:p>
      <w:pPr>
        <w:bidi/>
        <w:spacing w:after="120" w:line="312"/>
        <w:jc w:val="start"/>
      </w:pPr>
      <w:r>
        <w:rPr>
          <w:rFonts w:ascii="Arial" w:cs="Arial" w:hAnsi="Arial"/>
          <w:color w:val="000000"/>
          <w:sz w:val="24"/>
          <w:szCs w:val="24"/>
          <w:rtl/>
        </w:rPr>
        <w:t xml:space="preserve">التطبيق العملي لمتجر المستخدم يخرج مباشرة من المصفوفة: للعائلات الرقمية (AI/SaaS) الطريق الأمثل هو حساب موزع API (البروتوكول جاهز في ملف القرارات: ProdSeller أولًا ثم Turgame Wholesale ثم FazerCards ثم Reloadly) مع قياس الفارق على 12 مرساة P1؛ للبطاقات، التحكيم الإقليمي الموثق (قناة لبنان للبطاقات الأمريكية) أو الجملة الشرعية بخصومات 1–15%؛ للعائلات التعليمية، التقسيم المؤسسي بشرط إدارة الخطر التنظيمي. وأي تسعير يجب أن يحدد مسبقًا «طبقة الضمان» المباعة ويحسب احتياطي الاستبدال وفقها — هذا هو الدرس المركزي من سلّم كلفة ChatGPT Plus المرصود: المنتج الواحد خمسة منتجات اقتصادية مختلفة، والخلط بينها هو مصدر خسارة الاستبدال غير المحسوبة.</w:t>
      </w:r>
    </w:p>
    <w:p>
      <w:pPr>
        <w:bidi/>
        <w:spacing w:after="120" w:line="312"/>
        <w:jc w:val="start"/>
      </w:pPr>
      <w:r>
        <w:rPr>
          <w:rFonts w:ascii="Arial" w:cs="Arial" w:hAnsi="Arial"/>
          <w:color w:val="000000"/>
          <w:sz w:val="24"/>
          <w:szCs w:val="24"/>
          <w:rtl/>
        </w:rPr>
        <w:t xml:space="preserve">الخطوة التالية المقترحة بالأولوية: أولًا فتح حساب B2B واحد على الأقل لتحويل كلف الـAPI من «قيم داخلية غير قابلة للتدقيق» إلى «مشاهدة مباشرة من بوابة جملة» (أول أسعار بهذا المستوى في تاريخ المشروع ستُصنف مباشرة كمرصودة)؛ ثانيًا إعادة تشغيل الاستعلامات المؤجلة (15) واستعلامات الدفعة الثالثة (143) فور انفتاح نافذة الحصة لتكتمل تغطية الكتالوج (437/437)؛ ثالثًا تطبيق الحاسبة على قائمة أسعار دولا الفعلية فور توفرها لإنتاج جدول هوامش المتجر الحقيقي بدل النموذج العام.</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start"/>
    </w:pPr>
    <w:r>
      <w:rPr>
        <w:rFonts w:ascii="Arial" w:cs="Arial" w:hAnsi="Arial"/>
        <w:color w:val="808080"/>
        <w:sz w:val="18"/>
        <w:szCs w:val="18"/>
        <w:rtl/>
      </w:rPr>
      <w:t xml:space="preserve">التقرير البرامجي الشامل — محرك استخبارات الموردين التكيّفي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235"/>
      <w:sz w:val="32"/>
      <w:szCs w:val="32"/>
    </w:rPr>
  </w:style>
  <w:style w:type="paragraph" w:styleId="Heading2">
    <w:name w:val="Heading 2"/>
    <w:basedOn w:val="Normal"/>
    <w:next w:val="Normal"/>
    <w:qFormat/>
    <w:pPr>
      <w:spacing w:after="120" w:before="240" w:line="312"/>
      <w:outlineLvl w:val="1"/>
    </w:pPr>
    <w:rPr>
      <w:rFonts w:ascii="Arial" w:cs="Arial" w:hAnsi="Arial"/>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2026-09-27T13:24:37.093Z</dcterms:created>
  <dcterms:modified xsi:type="dcterms:W3CDTF">2026-09-27T13:24:37.093Z</dcterms:modified>
</cp:coreProperties>
</file>

<file path=docProps/custom.xml><?xml version="1.0" encoding="utf-8"?>
<Properties xmlns="http://schemas.openxmlformats.org/officeDocument/2006/custom-properties" xmlns:vt="http://schemas.openxmlformats.org/officeDocument/2006/docPropsVTypes"/>
</file>