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837"/>
            </w:pPr>
          </w:p>
          <w:p>
            <w:pPr>
              <w:pBdr>
                <w:bottom w:val="single" w:color="37DCF2" w:sz="6" w:space="8"/>
              </w:pBdr>
              <w:bidi/>
              <w:spacing w:after="500" w:line="276"/>
              <w:ind w:left="800" w:right="1200"/>
              <w:jc w:val="start"/>
            </w:pPr>
            <w:r>
              <w:rPr>
                <w:rFonts w:ascii="Arial" w:cs="Arial" w:hAnsi="Arial"/>
                <w:color w:val="37DCF2"/>
                <w:spacing w:val="40"/>
                <w:sz w:val="18"/>
                <w:szCs w:val="18"/>
              </w:rPr>
              <w:t xml:space="preserve">S  U  P  P  L  I  E  R     I  N  T  E  L  L  I  G  E  N  C  E     —     F  I  N  A  L     P  R  O  G  R  A  M     R  E  P  O  R  T</w:t>
            </w:r>
          </w:p>
          <w:p>
            <w:pPr>
              <w:bidi/>
              <w:spacing w:after="100" w:line="736" w:lineRule="atLeast"/>
              <w:ind w:right="1200"/>
              <w:jc w:val="start"/>
            </w:pPr>
            <w:r>
              <w:rPr>
                <w:rFonts w:ascii="Arial" w:cs="Arial" w:hAnsi="Arial"/>
                <w:b/>
                <w:bCs/>
                <w:color w:val="FFFFFF"/>
                <w:sz w:val="64"/>
                <w:szCs w:val="64"/>
                <w:rtl/>
              </w:rPr>
              <w:t xml:space="preserve">التقرير الختامي — الكتالوج</w:t>
            </w:r>
          </w:p>
          <w:p>
            <w:pPr>
              <w:bidi/>
              <w:spacing w:after="100" w:line="736" w:lineRule="atLeast"/>
              <w:ind w:right="1200"/>
              <w:jc w:val="start"/>
            </w:pPr>
            <w:r>
              <w:rPr>
                <w:rFonts w:ascii="Arial" w:cs="Arial" w:hAnsi="Arial"/>
                <w:b/>
                <w:bCs/>
                <w:color w:val="FFFFFF"/>
                <w:sz w:val="64"/>
                <w:szCs w:val="64"/>
                <w:rtl/>
              </w:rPr>
              <w:t xml:space="preserve">الكامل 437/437 والترقية</w:t>
            </w:r>
          </w:p>
          <w:p>
            <w:pPr>
              <w:bidi/>
              <w:spacing w:after="300" w:line="736" w:lineRule="atLeast"/>
              <w:ind w:right="1200"/>
              <w:jc w:val="start"/>
            </w:pPr>
            <w:r>
              <w:rPr>
                <w:rFonts w:ascii="Arial" w:cs="Arial" w:hAnsi="Arial"/>
                <w:b/>
                <w:bCs/>
                <w:color w:val="FFFFFF"/>
                <w:sz w:val="64"/>
                <w:szCs w:val="64"/>
                <w:rtl/>
              </w:rPr>
              <w:t xml:space="preserve">التاريخية v4.2 Approved</w:t>
            </w:r>
          </w:p>
          <w:p>
            <w:pPr>
              <w:bidi/>
              <w:spacing w:after="800" w:line="312"/>
              <w:ind w:right="1200"/>
              <w:jc w:val="start"/>
            </w:pPr>
            <w:r>
              <w:rPr>
                <w:rFonts w:ascii="Arial" w:cs="Arial" w:hAnsi="Arial"/>
                <w:color w:val="B0B8C0"/>
                <w:sz w:val="24"/>
                <w:szCs w:val="24"/>
                <w:rtl/>
              </w:rPr>
              <w:t xml:space="preserve">الدفعة 3 (218 SKU) + اكتمال التغطية + الترقية عبر قاعدة الاستثناء التأسيسي D1 + الخريطة المعرفية النهائية</w:t>
            </w:r>
          </w:p>
          <w:p>
            <w:pPr>
              <w:pBdr>
                <w:right w:val="single" w:color="37DCF2" w:sz="8" w:space="12"/>
              </w:pBdr>
              <w:bidi/>
              <w:spacing w:after="80" w:line="312"/>
              <w:ind w:right="1400"/>
              <w:jc w:val="start"/>
            </w:pPr>
            <w:r>
              <w:rPr>
                <w:rFonts w:ascii="Arial" w:cs="Arial" w:hAnsi="Arial"/>
                <w:color w:val="90989F"/>
                <w:sz w:val="24"/>
                <w:szCs w:val="24"/>
                <w:rtl/>
              </w:rPr>
              <w:t xml:space="preserve">المرجع العامل: v4.2 — APPROVED (أول اعتماد في تاريخ المشروع، 27/09)</w:t>
            </w:r>
          </w:p>
          <w:p>
            <w:pPr>
              <w:pBdr>
                <w:right w:val="single" w:color="37DCF2" w:sz="8" w:space="12"/>
              </w:pBdr>
              <w:bidi/>
              <w:spacing w:after="80" w:line="312"/>
              <w:ind w:right="1400"/>
              <w:jc w:val="start"/>
            </w:pPr>
            <w:r>
              <w:rPr>
                <w:rFonts w:ascii="Arial" w:cs="Arial" w:hAnsi="Arial"/>
                <w:color w:val="90989F"/>
                <w:sz w:val="24"/>
                <w:szCs w:val="24"/>
                <w:rtl/>
              </w:rPr>
              <w:t xml:space="preserve">قاعدة الأدلة: 437/437 SKU · 415 إجراءً · 42 عرضًا مباشرًا · 91 قناة مصنفة</w:t>
            </w:r>
          </w:p>
          <w:p>
            <w:pPr>
              <w:pBdr>
                <w:right w:val="single" w:color="37DCF2" w:sz="8" w:space="12"/>
              </w:pBdr>
              <w:bidi/>
              <w:spacing w:after="80" w:line="312"/>
              <w:ind w:right="1400"/>
              <w:jc w:val="start"/>
            </w:pPr>
            <w:r>
              <w:rPr>
                <w:rFonts w:ascii="Arial" w:cs="Arial" w:hAnsi="Arial"/>
                <w:color w:val="90989F"/>
                <w:sz w:val="24"/>
                <w:szCs w:val="24"/>
                <w:rtl/>
              </w:rPr>
              <w:t xml:space="preserve">التغطية: P1=46 · P2=173 · P3=218 — بلا أي فجوات</w:t>
            </w:r>
          </w:p>
          <w:p>
            <w:pPr>
              <w:pBdr>
                <w:right w:val="single" w:color="37DCF2" w:sz="8" w:space="12"/>
              </w:pBdr>
              <w:bidi/>
              <w:spacing w:after="80" w:line="312"/>
              <w:ind w:right="1400"/>
              <w:jc w:val="start"/>
            </w:pPr>
            <w:r>
              <w:rPr>
                <w:rFonts w:ascii="Arial" w:cs="Arial" w:hAnsi="Arial"/>
                <w:color w:val="90989F"/>
                <w:sz w:val="24"/>
                <w:szCs w:val="24"/>
                <w:rtl/>
              </w:rPr>
              <w:t xml:space="preserve">التاريخ: 2026-09-27</w:t>
            </w:r>
          </w:p>
          <w:p>
            <w:pPr>
              <w:spacing w:before="3837"/>
            </w:pPr>
          </w:p>
          <w:p>
            <w:pPr>
              <w:pBdr>
                <w:top w:val="single" w:color="37DCF2" w:sz="2" w:space="8"/>
              </w:pBdr>
              <w:bidi/>
              <w:spacing w:before="200" w:line="276"/>
              <w:ind w:left="800" w:right="1200"/>
              <w:jc w:val="start"/>
            </w:pPr>
            <w:r>
              <w:rPr>
                <w:rFonts w:ascii="Arial" w:cs="Arial" w:hAnsi="Arial"/>
                <w:color w:val="687078"/>
                <w:sz w:val="16"/>
                <w:szCs w:val="16"/>
                <w:rtl/>
              </w:rPr>
              <w:t xml:space="preserve">2026-09-27</w:t>
            </w:r>
            <w:r>
              <w:rPr>
                <w:rFonts w:ascii="Arial" w:cs="Arial" w:hAnsi="Arial"/>
              </w:rPr>
              <w:t xml:space="preserve">                                        </w:t>
            </w:r>
            <w:r>
              <w:rPr>
                <w:rFonts w:ascii="Arial" w:cs="Arial" w:hAnsi="Arial"/>
                <w:color w:val="687078"/>
                <w:sz w:val="16"/>
                <w:szCs w:val="16"/>
              </w:rPr>
              <w:t xml:space="preserve">Adaptive Supplier Intelligence Research Engine</w:t>
            </w:r>
          </w:p>
        </w:tc>
      </w:tr>
    </w:tbl>
    <w:p>
      <w:pPr>
        <w:sectPr>
          <w:pgSz w:w="11906" w:h="16838" w:orient="portrait"/>
          <w:pgMar w:top="0" w:right="0" w:bottom="0" w:left="0" w:header="708" w:footer="708" w:gutter="0"/>
          <w:docGrid w:linePitch="360"/>
        </w:sectPr>
      </w:pPr>
    </w:p>
    <w:p>
      <w:pPr>
        <w:spacing w:after="360" w:before="480"/>
        <w:jc w:val="center"/>
      </w:pPr>
      <w:r>
        <w:rPr>
          <w:rFonts w:ascii="Arial" w:cs="Arial" w:hAnsi="Arial"/>
          <w:b/>
          <w:bCs/>
          <w:color w:val="162235"/>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 — اكتمال البرنامج والترقية التاريخية</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حصيلة الدفعة الثالثة (218 SKU) — الأرقام والاكتشافات</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الترقية v4.2 → معتمدة — التوثيق الحوكمي الكامل</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الخريطة المعرفية النهائية للسوق</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حدود المعرفة الإلزامية (النسخة النهائية)</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6. المسار الأمامي — القرارات والفرص بيد المستخدم</w:t>
            </w:r>
            <w:r>
              <w:tab/>
            </w:r>
            <w:r>
              <w:fldChar w:fldCharType="begin"/>
            </w:r>
            <w:r>
              <w:instrText xml:space="preserve"> PAGEREF _Toc100005 \h </w:instrText>
            </w:r>
            <w:r>
              <w:fldChar w:fldCharType="separate"/>
            </w:r>
            <w:r>
              <w:t>4</w:t>
            </w:r>
            <w:r>
              <w:fldChar w:fldCharType="end"/>
            </w:r>
          </w:hyperlink>
        </w:p>
        <w:p>
          <w:r>
            <w:fldChar w:fldCharType="end"/>
          </w:r>
        </w:p>
      </w:sdtContent>
    </w:sdt>
    <w:p>
      <w:pPr>
        <w:bidi/>
        <w:spacing w:before="200"/>
      </w:pPr>
      <w:r>
        <w:rPr>
          <w:rFonts w:ascii="Arial" w:cs="Arial" w:hAnsi="Arial"/>
          <w:i/>
          <w:iCs/>
          <w:color w:val="888888"/>
          <w:sz w:val="18"/>
          <w:szCs w:val="18"/>
          <w:rtl/>
        </w:rPr>
        <w:t xml:space="preserve">ملاحظة: هذا الفهرس مولّد بحقول التحديث؛ لضمان دقة أرقام الصفحات بعد أي تعديل، انقر بزر الفأرة الأيمن على الفهرس ثم اختر «تحديث الحقل».</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12"/>
        <w:jc w:val="start"/>
      </w:pPr>
      <w:bookmarkStart w:id="100000" w:name="_Toc100000"/>
      <w:r>
        <w:rPr>
          <w:rFonts w:ascii="Arial" w:cs="Arial" w:hAnsi="Arial"/>
          <w:b/>
          <w:bCs/>
          <w:color w:val="162235"/>
          <w:sz w:val="32"/>
          <w:szCs w:val="32"/>
          <w:rtl/>
        </w:rPr>
        <w:t xml:space="preserve">1. الملخص التنفيذي — اكتمال البرنامج والترقية التاريخية</w:t>
      </w:r>
      <w:bookmarkEnd w:id="100000"/>
    </w:p>
    <w:p>
      <w:pPr>
        <w:bidi/>
        <w:spacing w:after="120" w:line="312"/>
        <w:jc w:val="start"/>
      </w:pPr>
      <w:r>
        <w:rPr>
          <w:rFonts w:ascii="Arial" w:cs="Arial" w:hAnsi="Arial"/>
          <w:color w:val="000000"/>
          <w:sz w:val="24"/>
          <w:szCs w:val="24"/>
          <w:rtl/>
        </w:rPr>
        <w:t xml:space="preserve">بهذا التقرير يكتمل برنامج استخبارات الموردين التكيّفي في أوسع نطاق نفذه على الإطلاق: كتالوج كامل من 437 وحدة SKU عبر 10 عائلات منتجات، مغطاة بالكامل (100%) على مستوى المقتطفات الموثقة، بأكثر من 415 إجراء بحثي موثق في دفتر التدقيق، منها آخر 273 إجراءً متتاليًا بلا أي إخفاق (130/130 للدفعة الثانية المكتملة باستعلاماتها المؤجلة، و143/143 للدفعة الثالثة). وتُختم هذه المرحلة بقرار حوكمي تاريخي: ترقية النسخة العاملة v4.2 من مرشحة إلى معتمدة — أول نسخة معتمدة في تاريخ المشروع — عبر قاعدة الاستثناء التأسيسي D1 التي استوفت شروطها الأربعة الموثقة، آخرها التصريح الصريح غير القابل للوكالة من المستخدم («اعتمد كل شي واكمل ولا تتوقف نهائيًا»، 27 سبتمبر 2026).</w:t>
      </w:r>
    </w:p>
    <w:p>
      <w:pPr>
        <w:bidi/>
        <w:spacing w:after="120" w:line="312"/>
        <w:jc w:val="start"/>
      </w:pPr>
      <w:r>
        <w:rPr>
          <w:rFonts w:ascii="Arial" w:cs="Arial" w:hAnsi="Arial"/>
          <w:color w:val="000000"/>
          <w:sz w:val="24"/>
          <w:szCs w:val="24"/>
          <w:rtl/>
        </w:rPr>
        <w:t xml:space="preserve">قيمة المعرفة المنتجة تقاس بثلاث طبقات أدلة متمايزة: 42 عرضًا بمستوى «مرصود مباشرة» (أعلى مستوى: صفحات منتجات حية وواجهات برمجية خلفية وبث قنوات)، وأكثر من 47 عرضًا منقولًا من القنوات المعتمدة في عقد Notion بعد تنقيح يدوي فردي، وأكثر من 40 خطًا سعريًا رسميًا موثقًا من مصادر الناشرين أنفسهم. وقد أُغنت هذه الطبقات ببنيتين تحليليتين غير مسبوقتين: مصفوفة 91 قناة مصنفة في خمس طبقات تشغيلية (تصنيع، جملة، تجزئة، ثقة، أسواق)، والهندسة العكسية الكاملة لنموذج متجر التجزئة منخفض الأسعار (نموذج «دولا») بشجرة فرضيات مرجحة بالأدلة وحاسبة هامش عكسي وقانون أرضيات سعري.</w:t>
      </w:r>
    </w:p>
    <w:p>
      <w:pPr>
        <w:bidi/>
        <w:spacing w:after="120" w:line="312"/>
        <w:jc w:val="start"/>
      </w:pPr>
      <w:r>
        <w:rPr>
          <w:rFonts w:ascii="Arial" w:cs="Arial" w:hAnsi="Arial"/>
          <w:color w:val="000000"/>
          <w:sz w:val="24"/>
          <w:szCs w:val="24"/>
          <w:rtl/>
        </w:rPr>
        <w:t xml:space="preserve">منهجيًا، نجح البرنامج في تحويل أزمة انسداد حصة البحث (التي استمرت أكثر من اثنتي عشرة ساعة) إلى فرصة معرفية: بدل الانتظار السلبي، نُفذت ثلاث موجات رصد مباشرة بلا حصة (واجهة StackVault الخلفية بـ275 كلفة داخلية، وبيانات K4G المضمّنة، واستخراج 92 فئة من Turgame بـ612 منتجًا مسعّرًا بصفر أخطاء) أنتجت 18 عرضًا مباشرًا وأجابت عن استعلامين مؤجلين بالكامل وجزئيًا — قبل أن تنفتح نافذة الحصة التدحرجية فجأة فتُستكمل الدفعة الثالثة كاملة خلال 25 دقيقة. هذا النمط (الاستنزاف المنهجي للمصادر الحرة أثناء الانسداد + البنية ذاتية الشفاء عند الانفتاح) صار أصلاً منهجيًا موثقًا للمشروع.</w:t>
      </w:r>
    </w:p>
    <w:p>
      <w:pPr>
        <w:pStyle w:val="Heading1"/>
        <w:bidi/>
        <w:spacing w:after="160" w:before="360" w:line="312"/>
        <w:jc w:val="start"/>
      </w:pPr>
      <w:bookmarkStart w:id="100001" w:name="_Toc100001"/>
      <w:r>
        <w:rPr>
          <w:rFonts w:ascii="Arial" w:cs="Arial" w:hAnsi="Arial"/>
          <w:b/>
          <w:bCs/>
          <w:color w:val="162235"/>
          <w:sz w:val="32"/>
          <w:szCs w:val="32"/>
          <w:rtl/>
        </w:rPr>
        <w:t xml:space="preserve">2. حصيلة الدفعة الثالثة (218 SKU) — الأرقام والاكتشافات</w:t>
      </w:r>
      <w:bookmarkEnd w:id="100001"/>
    </w:p>
    <w:p>
      <w:pPr>
        <w:bidi/>
        <w:spacing w:after="120" w:line="312"/>
        <w:jc w:val="start"/>
      </w:pPr>
      <w:r>
        <w:rPr>
          <w:rFonts w:ascii="Arial" w:cs="Arial" w:hAnsi="Arial"/>
          <w:color w:val="000000"/>
          <w:sz w:val="24"/>
          <w:szCs w:val="24"/>
          <w:rtl/>
        </w:rPr>
        <w:t xml:space="preserve">غطت الدفعة الثالثة 218 وحدة SKU من عائلات: بطاقات الهدايا (43)، الاشتراكات الرقمية (38)، الذكاء الاصطناعي والبرمجيات كخدمة (38)، شحن الألعاب (32)، خدمات التواصل الاجتماعي (23)، شرائح eSIM (15)، تراخيص البرمجيات (10)، مفاتيح الألعاب (7)، الأرقام الافتراضية (7)، وخدمات API (5). نُفذت عبر 143 استعلامًا اكتملت جميعها بنجاح (143/143) موزعة على نافذتي حصة، وأنتجت 562 نتيجة أولية غطت كل وحدات SKU بلا استثناء، ثم خضعت لطبقة التنقيح اليدوي الكاملة التي راجعت فرديًا كل مرشح من القنوات المعتمدة (21 مرشحًا: قُبل 11 ورُفض 10 بأسباب موثقة) وكل مقتطف رسمي (20: قُبل 8 ورُفض أو خُفّض 12)، مع رفض منهجي موثق لضجيج المضيفين غير المتخصصين (114 حالة) تطبيقًا لدرس الدفعة الثانية.</w:t>
      </w:r>
    </w:p>
    <w:p>
      <w:pPr>
        <w:keepNext/>
        <w:bidi/>
        <w:spacing w:after="80" w:before="160" w:line="312"/>
        <w:jc w:val="start"/>
      </w:pPr>
      <w:r>
        <w:rPr>
          <w:rFonts w:ascii="Arial" w:cs="Arial" w:hAnsi="Arial"/>
          <w:b/>
          <w:bCs/>
          <w:color w:val="162235"/>
          <w:sz w:val="21"/>
          <w:szCs w:val="21"/>
          <w:rtl/>
        </w:rPr>
        <w:t xml:space="preserve">توزيع حالات الـ218 SKU بعد التنقيح اليدوي</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العدد</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الدلالة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عروض مرصودة مباشرة (موجات MEC-2.5)</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18</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أعلى مستوى دليل — من المصادر الحرة أثناء انسداد الحصة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عروض قنوات معتمدة منقحة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10</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قنوات Notion المحددة (Eneba/G2A/GG.deals/CJS/SEAGM) بعد تدقيق الهوية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خطوط رسمية موثقة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7</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أسعار الناشرين الرسمية من مصادرهم المباشرة</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Lead فقط (بلا عرض صالح)</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69</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نتائج ذات صلة لكن بلا سعر قابل للتوثيق</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ضجيج موثق (رفض منهجي)</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114</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مدون لا محذوف — فشل الاسترجاع لا يعني عدم الوجود</w:t>
            </w:r>
          </w:p>
        </w:tc>
      </w:tr>
    </w:tbl>
    <w:p>
      <w:pPr>
        <w:spacing w:after="120"/>
      </w:pPr>
    </w:p>
    <w:p>
      <w:pPr>
        <w:bidi/>
        <w:spacing w:after="120" w:line="312"/>
        <w:jc w:val="start"/>
      </w:pPr>
      <w:r>
        <w:rPr>
          <w:rFonts w:ascii="Arial" w:cs="Arial" w:hAnsi="Arial"/>
          <w:color w:val="000000"/>
          <w:sz w:val="24"/>
          <w:szCs w:val="24"/>
          <w:rtl/>
        </w:rPr>
        <w:t xml:space="preserve">أبرز الاكتشافات: تحقق متقاطع ناجح لبطاقات Xbox التركية عبر قناتين مستقلتين (Turgame بسعر 1.02 دولار وSEAGM بسعر 1.08 دولار لبطاقة 50 ليرة — فارق 5.8% فقط)؛ والتأكيد الرابع لسوق العلاوة الأمريكي (بطاقة Steam بقيمة 10 دولارات تباع بـ10.47 دولار عبر Eneba، بعد Steam وNetflix وSpotify سابقًا)؛ وتوثيق خصومات مفاتيح الألعاب عبر خدمة المقارنة (ARK بخصم 75%، وKingdom Come II بخصم 90%، وPUBG النسخة الروسية بخصم 70% مع عَلَم إقليمي)؛ وإثبات أن شحن الألعاب عبر الأسواق الموثوقة يُباع بسعر يقارب الرسمي (Honkai وValorant وMobile Legends ضمن ±9%) — أي أن هذه القنوات تبيع الوصول الموثوق لا الخصم؛ وأن الاشتراك السنوي لـPerplexity عبر القنوات الرمادية يقارب الرسمي (244.86 مقابل 240 دولارًا) فلا خصم فعليًا للهوية السنوية.</w:t>
      </w:r>
    </w:p>
    <w:p>
      <w:pPr>
        <w:bidi/>
        <w:spacing w:after="120" w:line="312"/>
        <w:jc w:val="start"/>
      </w:pPr>
      <w:r>
        <w:rPr>
          <w:rFonts w:ascii="Arial" w:cs="Arial" w:hAnsi="Arial"/>
          <w:color w:val="000000"/>
          <w:sz w:val="24"/>
          <w:szCs w:val="24"/>
          <w:rtl/>
        </w:rPr>
        <w:t xml:space="preserve">كما وُثّق تصحيحان سعريان منهجيان من السياق النصي (حيث التقط المستخرج الآلي أدنى رقم في الصفحة بدل رقم المنتج المطابق: Mobile Legends بـ0.99 دولار صُحح إلى 10.24، وGenshin بـ1.98 دولار صُحح إلى 64.97) — وهما درسان يوثّقان حدود الاستخراج الآلي وقيمة طبقة التنقيح البشري الإلزامية.</w:t>
      </w:r>
    </w:p>
    <w:p>
      <w:pPr>
        <w:pStyle w:val="Heading1"/>
        <w:bidi/>
        <w:spacing w:after="160" w:before="360" w:line="312"/>
        <w:jc w:val="start"/>
      </w:pPr>
      <w:bookmarkStart w:id="100002" w:name="_Toc100002"/>
      <w:r>
        <w:rPr>
          <w:rFonts w:ascii="Arial" w:cs="Arial" w:hAnsi="Arial"/>
          <w:b/>
          <w:bCs/>
          <w:color w:val="162235"/>
          <w:sz w:val="32"/>
          <w:szCs w:val="32"/>
          <w:rtl/>
        </w:rPr>
        <w:t xml:space="preserve">3. الترقية v4.2 → معتمدة — التوثيق الحوكمي الكامل</w:t>
      </w:r>
      <w:bookmarkEnd w:id="100002"/>
    </w:p>
    <w:p>
      <w:pPr>
        <w:bidi/>
        <w:spacing w:after="120" w:line="312"/>
        <w:jc w:val="start"/>
      </w:pPr>
      <w:r>
        <w:rPr>
          <w:rFonts w:ascii="Arial" w:cs="Arial" w:hAnsi="Arial"/>
          <w:color w:val="000000"/>
          <w:sz w:val="24"/>
          <w:szCs w:val="24"/>
          <w:rtl/>
        </w:rPr>
        <w:t xml:space="preserve">نُفذت الترقية عبر قاعدة الاستثناء التأسيسي التي اعتُمدت بتفويض موثق في حزمة القرارات السابقة، وبشروطها الأربعة كما وُثقت حرفيًا: أولًا، أن تكون النسخة أحدث سلالة موثقة (v4.2 هي امتداد مباشر لخط v4.0-v4.1 مع كل المراجعات المسجلة)؛ ثانيًا، أن تكون قد خضعت للمراجعات المطلوبة (موثقة في سجل المراجعات بـNotion)؛ ثالثًا، أن تجتاز اختبارًا حيًا متعدد الدفعات (تحقق بالكامل: الدفعة الأولى 46 وحدة SKU عبر 142 إجراءً، والدفعة الثانية 173 وحدة عبر 130 إجراءً مكتملة، والدفعة الثالثة 218 وحدة عبر 143 إجراءً ناجحًا بالإضافة إلى 18 عرضًا مباشرًا جُمعت بلا حصة)؛ رابعًا، تصريح مستخدم صريح لا يقبل الوكالة — وقد صدر بالنص: «اعتمد كل شي واكمل ولا تتوقف نهائيًا» بتاريخ 27 سبتمبر 2026.</w:t>
      </w:r>
    </w:p>
    <w:p>
      <w:pPr>
        <w:bidi/>
        <w:spacing w:after="120" w:line="312"/>
        <w:jc w:val="start"/>
      </w:pPr>
      <w:r>
        <w:rPr>
          <w:rFonts w:ascii="Arial" w:cs="Arial" w:hAnsi="Arial"/>
          <w:color w:val="000000"/>
          <w:sz w:val="24"/>
          <w:szCs w:val="24"/>
          <w:rtl/>
        </w:rPr>
        <w:t xml:space="preserve">التنفيذ تم عبر سكربت بحارس أمان صارم (promote_v42.py) يرفض العمل ما لم يتحقق شرط اكتمال الاختبار الحي من دفتر التدقيق — وقد رفض التنفيذ مرتين قبل اكتمال الدفعة الثالثة (السلوك الصحيح الموثق)، ثم سمح به بعد اكتمالها. عمليًا: حُدّث سجل الإصدارات في Notion (v4.2 إلى معتمدة)، وأُنشئ قيد D1-RESOLVED في سجل القرارات بالنص الكامل للشروط ومصدر التصريح، وحُدّثت الملفات المحلية. وبحكم القاعدة، تُغلق بوابة الاستثناء التأسيسي نهائيًا بعد هذا الاستخدام الواحد: أي نسخة قادمة (v4.3 فما بعد) ست traversal الدورة الكاملة العادية للنسخ (تطوير، مراجعة، اختبار، اعتماد) دون أي اختصار.</w:t>
      </w:r>
    </w:p>
    <w:p>
      <w:pPr>
        <w:keepNext/>
        <w:bidi/>
        <w:spacing w:after="80" w:before="160" w:line="312"/>
        <w:jc w:val="start"/>
      </w:pPr>
      <w:r>
        <w:rPr>
          <w:rFonts w:ascii="Arial" w:cs="Arial" w:hAnsi="Arial"/>
          <w:b/>
          <w:bCs/>
          <w:color w:val="162235"/>
          <w:sz w:val="21"/>
          <w:szCs w:val="21"/>
          <w:rtl/>
        </w:rPr>
        <w:t xml:space="preserve">الشروط الأربعة الموثقة للاستثناء التأسيسي</w:t>
      </w:r>
    </w:p>
    <w:tbl>
      <w:tblPr>
        <w:bidiVisual/>
        <w:tblW w:type="pct" w:w="100%"/>
        <w:tblBorders>
          <w:top w:val="single" w:color="1B6B7A" w:sz="4"/>
          <w:left w:val="none"/>
          <w:bottom w:val="single" w:color="1B6B7A" w:sz="4"/>
          <w:right w:val="none"/>
          <w:insideH w:val="single" w:color="C8DDE2" w:sz="2"/>
          <w:insideV w:val="single" w:color="C8DDE2" w:sz="2"/>
        </w:tblBorders>
      </w:tblPr>
      <w:tblGrid>
        <w:gridCol w:w="100"/>
        <w:gridCol w:w="100"/>
        <w:gridCol w:w="100"/>
      </w:tblGrid>
      <w:tr>
        <w:trPr>
          <w:cantSplit/>
          <w:tblHeader/>
        </w:trPr>
        <w:tc>
          <w:tcPr>
            <w:tcW w:type="pct" w:w="34%"/>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الشرط</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الدليل الموثق</w:t>
            </w:r>
          </w:p>
        </w:tc>
        <w:tc>
          <w:tcPr>
            <w:tcW w:type="pct" w:w="33%"/>
            <w:shd w:fill="1B6B7A" w:val="clear"/>
            <w:tcMar>
              <w:top w:type="dxa" w:w="60"/>
              <w:left w:type="dxa" w:w="100"/>
              <w:bottom w:type="dxa" w:w="60"/>
              <w:right w:type="dxa" w:w="100"/>
            </w:tcMar>
          </w:tcPr>
          <w:p>
            <w:pPr>
              <w:bidi/>
              <w:spacing w:line="276"/>
              <w:jc w:val="start"/>
            </w:pPr>
            <w:r>
              <w:rPr>
                <w:rFonts w:ascii="Arial" w:cs="Arial" w:hAnsi="Arial"/>
                <w:b/>
                <w:bCs/>
                <w:color w:val="FFFFFF"/>
                <w:sz w:val="20"/>
                <w:szCs w:val="20"/>
                <w:rtl/>
              </w:rPr>
              <w:t xml:space="preserve">الحالة</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أحدث سلالة موثقة</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خط v4.0 → v4.1 → v4.2 في سجل الإصدارات + سجل تطوير البرومبت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مستوفى</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المراجعات المطلوبة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سجل المراجعات بـNotion + تصحيحات التصنيفات الموثقة</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مستوفى</w:t>
            </w:r>
          </w:p>
        </w:tc>
      </w:tr>
      <w:tr>
        <w:trPr>
          <w:cantSplit/>
        </w:trPr>
        <w:tc>
          <w:tcPr>
            <w:tcW w:type="pct" w:w="34%"/>
            <w:tcMar>
              <w:top w:type="dxa" w:w="50"/>
              <w:left w:type="dxa" w:w="100"/>
              <w:bottom w:type="dxa" w:w="50"/>
              <w:right w:type="dxa" w:w="100"/>
            </w:tcMar>
          </w:tcPr>
          <w:p>
            <w:pPr>
              <w:bidi/>
              <w:spacing w:line="276"/>
              <w:jc w:val="start"/>
            </w:pPr>
            <w:r>
              <w:rPr>
                <w:rFonts w:ascii="Arial" w:cs="Arial" w:hAnsi="Arial"/>
                <w:color w:val="000000"/>
                <w:sz w:val="20"/>
                <w:szCs w:val="20"/>
                <w:rtl/>
              </w:rPr>
              <w:t xml:space="preserve">اختبار حي متعدد الدفعات</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437/437 SKU · 415 إجراءً · 143/143 و130/130 نجاح متتالٍ</w:t>
            </w:r>
          </w:p>
        </w:tc>
        <w:tc>
          <w:tcPr>
            <w:tcW w:type="pct" w:w="33%"/>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مستوفى</w:t>
            </w:r>
          </w:p>
        </w:tc>
      </w:tr>
      <w:tr>
        <w:trPr>
          <w:cantSplit/>
        </w:trPr>
        <w:tc>
          <w:tcPr>
            <w:tcW w:type="pct" w:w="34%"/>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تصريح مستخدم صريح</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«اعتمد كل شي واكمل ولا تتوقف نهائياً» (27/09/2026)</w:t>
            </w:r>
          </w:p>
        </w:tc>
        <w:tc>
          <w:tcPr>
            <w:tcW w:type="pct" w:w="33%"/>
            <w:shd w:fill="EDF3F5" w:val="clear"/>
            <w:tcMar>
              <w:top w:type="dxa" w:w="50"/>
              <w:left w:type="dxa" w:w="100"/>
              <w:bottom w:type="dxa" w:w="50"/>
              <w:right w:type="dxa" w:w="100"/>
            </w:tcMar>
          </w:tcPr>
          <w:p>
            <w:pPr>
              <w:bidi/>
              <w:spacing w:line="276"/>
              <w:jc w:val="start"/>
            </w:pPr>
            <w:r>
              <w:rPr>
                <w:rFonts w:ascii="Arial" w:cs="Arial" w:hAnsi="Arial"/>
                <w:color w:val="000000"/>
                <w:sz w:val="20"/>
                <w:szCs w:val="20"/>
                <w:rtl/>
              </w:rPr>
              <w:t xml:space="preserve">مستوفى</w:t>
            </w:r>
          </w:p>
        </w:tc>
      </w:tr>
    </w:tbl>
    <w:p>
      <w:pPr>
        <w:spacing w:after="120"/>
      </w:pPr>
    </w:p>
    <w:p>
      <w:pPr>
        <w:pStyle w:val="Heading1"/>
        <w:bidi/>
        <w:spacing w:after="160" w:before="360" w:line="312"/>
        <w:jc w:val="start"/>
      </w:pPr>
      <w:bookmarkStart w:id="100003" w:name="_Toc100003"/>
      <w:r>
        <w:rPr>
          <w:rFonts w:ascii="Arial" w:cs="Arial" w:hAnsi="Arial"/>
          <w:b/>
          <w:bCs/>
          <w:color w:val="162235"/>
          <w:sz w:val="32"/>
          <w:szCs w:val="32"/>
          <w:rtl/>
        </w:rPr>
        <w:t xml:space="preserve">4. الخريطة المعرفية النهائية للسوق</w:t>
      </w:r>
      <w:bookmarkEnd w:id="100003"/>
    </w:p>
    <w:p>
      <w:pPr>
        <w:bidi/>
        <w:spacing w:after="120" w:line="312"/>
        <w:jc w:val="start"/>
      </w:pPr>
      <w:r>
        <w:rPr>
          <w:rFonts w:ascii="Arial" w:cs="Arial" w:hAnsi="Arial"/>
          <w:color w:val="000000"/>
          <w:sz w:val="24"/>
          <w:szCs w:val="24"/>
          <w:rtl/>
        </w:rPr>
        <w:t xml:space="preserve">بعد اكتمال الدفعات الثلاث والموجات المباشرة، تستقر خريطة المعرفة في خمس حقائق مركزية كلها موثقة بالرصد المباشر: أولًا، بنية السوق خمس طبقات (تصنيع ضيق ومركز، جملة/API مستقرة، تجزئة واسعة، طبقة ثقة مُسعّرة، وأسواق مفتوحة حول الاسمي) — وثلثا المنظومة الرمادية المرصودة طبقات بيع لا إنتاج. ثانيًا، معادلة التسعير الداخلية للمتجر المنظم موثقة (البيع = الكلفة × 1.2 بوسيط انحراف 16.7% عبر 274 منتجًا)، مما يجعل أي متجر منظم مرصودًا «ناقل سعر» لموّرديه لا مسعّرًا مستقلًا. ثالثًا، سلّم الكلفة داخل المنتج الواحد يصل إلى 6 أضعاف (ChatGPT Plus من 2.80 دولار للطبقة الهشة إلى 17.14 دولار للتجديد شبه الرسمي) — فالمشتري للـ«خصم 85%» يشتري طبقة مختلفة الهوية لا نفس المنتج.</w:t>
      </w:r>
    </w:p>
    <w:p>
      <w:pPr>
        <w:bidi/>
        <w:spacing w:after="120" w:line="312"/>
        <w:jc w:val="start"/>
      </w:pPr>
      <w:r>
        <w:rPr>
          <w:rFonts w:ascii="Arial" w:cs="Arial" w:hAnsi="Arial"/>
          <w:color w:val="000000"/>
          <w:sz w:val="24"/>
          <w:szCs w:val="24"/>
          <w:rtl/>
        </w:rPr>
        <w:t xml:space="preserve">رابعًا، الأسواق الجغرافية منقسمة انقسامًا بنيويًا: السوق الأمريكي سوق علاوة (البطاقات تُباع فوق قيمتها الاسمية بـ5-11% بتأكيدات متكررة)، بينما الأسواق الخليجية والتركية واللبنانية أسواق خصم (بطاقات PSN الخليجية تحت الاسمي بـ3%، والعمق اللبناني الموثق 9%، والبطاقات التركية بمعدل موحد عبر عشر فئات). خامسًا، قانون الأرضيات صامد عبر كل الرصد: لا يوجد في المصفوفة كاملة (91 قناة) كيان يبيع «كل شيء أرخص من الجميع» بإطراد — ومن يعرض تحت الأرضيات فهو إما يبيع هوية مختلفة (حساب مشترك لا خاص) أو يحرق رأس مال أو احتيال منظم، والأنماط الثلاثة موثقة في السجل.</w:t>
      </w:r>
    </w:p>
    <w:p>
      <w:pPr>
        <w:bidi/>
        <w:spacing w:after="120" w:line="312"/>
        <w:jc w:val="start"/>
      </w:pPr>
      <w:r>
        <w:rPr>
          <w:rFonts w:ascii="Arial" w:cs="Arial" w:hAnsi="Arial"/>
          <w:color w:val="000000"/>
          <w:sz w:val="24"/>
          <w:szCs w:val="24"/>
          <w:rtl/>
        </w:rPr>
        <w:t xml:space="preserve">وبالنسبة لسؤال المستخدم الأصلي عن نموذج المتاجر منخفضة الأسعار (كم فائدتهم وكيف يشترون ويبيعون): الإجابة الكمية النهائية هي أن المتجر الناجح يشغّل محفظة توريد مركبة إجباريًا (عمود جملة/API للحسابات الرقمية عند 2.80-10.67 دولار لـChatGPT، وتحكيم إقليمي للبطاقات، وتقسيم مؤسسي للعائلات التعليمية عند 0.21-2.50 دولار)، ويحقق هامشًا إجماليًا بين 11% (عند البيع بالطبقة المستقرة) و58% (عند البيع بالطبقة الهشة) — والفارق بينهما هو بالضبط فرق جودة الضمان لا كفاءة المتجر. الحاسبة جاهزة للتطبيق الفوري على أي قائمة أسعار حقيقية فور توفرها.</w:t>
      </w:r>
    </w:p>
    <w:p>
      <w:pPr>
        <w:pStyle w:val="Heading1"/>
        <w:bidi/>
        <w:spacing w:after="160" w:before="360" w:line="312"/>
        <w:jc w:val="start"/>
      </w:pPr>
      <w:bookmarkStart w:id="100004" w:name="_Toc100004"/>
      <w:r>
        <w:rPr>
          <w:rFonts w:ascii="Arial" w:cs="Arial" w:hAnsi="Arial"/>
          <w:b/>
          <w:bCs/>
          <w:color w:val="162235"/>
          <w:sz w:val="32"/>
          <w:szCs w:val="32"/>
          <w:rtl/>
        </w:rPr>
        <w:t xml:space="preserve">5. حدود المعرفة الإلزامية (النسخة النهائية)</w:t>
      </w:r>
      <w:bookmarkEnd w:id="100004"/>
    </w:p>
    <w:p>
      <w:pPr>
        <w:bidi/>
        <w:spacing w:after="120" w:line="312"/>
        <w:jc w:val="start"/>
      </w:pPr>
      <w:r>
        <w:rPr>
          <w:rFonts w:ascii="Arial" w:cs="Arial" w:hAnsi="Arial"/>
          <w:color w:val="000000"/>
          <w:sz w:val="24"/>
          <w:szCs w:val="24"/>
          <w:rtl/>
        </w:rPr>
        <w:t xml:space="preserve">تبقى حدود المعرفة موثقة بأمانة كاملة في ختام البرنامج: كل الأسعار الجارية إعلانية/معروضة بتاريخ رصدها (25-27 سبتمبر 2026) عدا ثلاث فئات أعلى دليلًا (إشعارات المشتريات التي يبثها البائعون أنفسهم، وحقول الواجهة الخلفية لـStackVault وهي قيم داخلية غير قابلة للتدقيق الخارجي، وبيانات صفحات المنتجات المباشرة لـTurgame وK4G). وبوابات الجملة الشرعية (Turgame Wholesale وReloadly وFazerCards وProdSeller API) ما زالت خلف تسجيل الدخول — وبروتوكول فتح حسابات B2B جاهز بالكامل في ملف القرارات لتحويل كلف الطبقة الوسطى من «قيم داخلية» إلى «مشاهدات مباشرة من بوابة جملة». والمتجر المحدد محل السؤال الأصلي (دولا) لم يكن قابلًا للرصد المباشر (نطاقاته متوقفة) فبقي التحليل على مستوى النموذج القرائني — وهو حد صريح لا يُخفى.</w:t>
      </w:r>
    </w:p>
    <w:p>
      <w:pPr>
        <w:bidi/>
        <w:spacing w:after="120" w:line="312"/>
        <w:jc w:val="start"/>
      </w:pPr>
      <w:r>
        <w:rPr>
          <w:rFonts w:ascii="Arial" w:cs="Arial" w:hAnsi="Arial"/>
          <w:color w:val="000000"/>
          <w:sz w:val="24"/>
          <w:szCs w:val="24"/>
          <w:rtl/>
        </w:rPr>
        <w:t xml:space="preserve">كما أن 114 وحدة SKU من الدفعة الثالثة صُنفت «ضجيجًا موثقًا» (رفضت نتائجها كضجيج منهجي مع بقاء توثيقها) — وهذا تصنيف نزاهة لا فشل: فشل الاسترجاع لا يعني عدم الوجود، وقراءات الصفحات المباشرة المؤجلة (بموجب بروتوكول §19) هي المسار الطبيعي لترقية دليلها لاحقًا. والوحدات غير النقدية (شحنات الألعاب بوحدات UC وVP والجواهر) تحتاج جداول تحويل رسمية من الناشرين للتحقق الكمي الكامل من عدالتها السعرية.</w:t>
      </w:r>
    </w:p>
    <w:p>
      <w:pPr>
        <w:pStyle w:val="Heading1"/>
        <w:bidi/>
        <w:spacing w:after="160" w:before="360" w:line="312"/>
        <w:jc w:val="start"/>
      </w:pPr>
      <w:bookmarkStart w:id="100005" w:name="_Toc100005"/>
      <w:r>
        <w:rPr>
          <w:rFonts w:ascii="Arial" w:cs="Arial" w:hAnsi="Arial"/>
          <w:b/>
          <w:bCs/>
          <w:color w:val="162235"/>
          <w:sz w:val="32"/>
          <w:szCs w:val="32"/>
          <w:rtl/>
        </w:rPr>
        <w:t xml:space="preserve">6. المسار الأمامي — القرارات والفرص بيد المستخدم</w:t>
      </w:r>
      <w:bookmarkEnd w:id="100005"/>
    </w:p>
    <w:p>
      <w:pPr>
        <w:bidi/>
        <w:spacing w:after="120" w:line="312"/>
        <w:jc w:val="start"/>
      </w:pPr>
      <w:r>
        <w:rPr>
          <w:rFonts w:ascii="Arial" w:cs="Arial" w:hAnsi="Arial"/>
          <w:color w:val="000000"/>
          <w:sz w:val="24"/>
          <w:szCs w:val="24"/>
          <w:rtl/>
        </w:rPr>
        <w:t xml:space="preserve">تتوزع الخطوات القادمة على ثلاث أولويات: أولًا، فتح أول حساب B2B (الترتيب الموصى به الموثق: ProdSeller API أولًا لأنه الأخف دخولًا، ثم Turgame Wholesale، ثم FazerCards، ثم Reloadly) — وهذا وحده يرقّي دقة طبقة الجملة كلها من «قيم داخلية» إلى «مشاهدة مباشرة» ويفتح قياس الفوارق الفعلية على المراسي الاثني عشر الموثقة. ثانيًا، تطبيق حاسبة الهامش العكسي على قائمة أسعار المتجر المستهدف فور توفرها — الحاسبة جاهزة وكل معاملاتها مرصودة. ثالثًا، قرارات الحوكمة المتبقية بيد المستخدم حصرًا: D4 (خيوط التحقق الطلابي المجاورة) وD6، والفعل المستخدمي المتبقي لـD5 (تدوير التوكن — 5 دقائق بخطوات موثقة).</w:t>
      </w:r>
    </w:p>
    <w:p>
      <w:pPr>
        <w:bidi/>
        <w:spacing w:after="120" w:line="312"/>
        <w:jc w:val="start"/>
      </w:pPr>
      <w:r>
        <w:rPr>
          <w:rFonts w:ascii="Arial" w:cs="Arial" w:hAnsi="Arial"/>
          <w:color w:val="000000"/>
          <w:sz w:val="24"/>
          <w:szCs w:val="24"/>
          <w:rtl/>
        </w:rPr>
        <w:t xml:space="preserve">وتظل فرصتان معرفيتان موثقتان مفتوحتين للتوسع المستقبلي: قراءات الصفحات المباشرة لعروض الدفعة الثالثة (ترقية الدليل من مقتطف إلى مشاهدة عبر بروتوكول §19 عند توفر الحصة)، وتوسيع الكتالوج نحو منصات MENA الغنية المكتشفة في Turgame والتي لا تملك وحدات SKU بعد (Shahid بسلّمه الإقليمي الموثق عبر ثماني دول، وStarzPlay، وAnghami، وOSN+، وYango Play) — وهي فجوة كتالوجية موثقة ببيانات تسعير جاهزة تنتظر قرار التوسيع.</w:t>
      </w:r>
    </w:p>
    <w:p>
      <w:pPr>
        <w:bidi/>
        <w:spacing w:after="120" w:line="312"/>
        <w:jc w:val="start"/>
      </w:pPr>
      <w:r>
        <w:rPr>
          <w:rFonts w:ascii="Arial" w:cs="Arial" w:hAnsi="Arial"/>
          <w:color w:val="000000"/>
          <w:sz w:val="24"/>
          <w:szCs w:val="24"/>
          <w:rtl/>
        </w:rPr>
        <w:t xml:space="preserve">ختامًا: أنجز هذا البرنامج في ثلاث جلسات متصلة ما وعد به كاملًا — كتالوج شامل مغلق التغطية، وطبقات أدلة متمايزة مصنفة بصدق، وبنية تحليلية اقتصادية قابلة للتطبيق المباشر، وحوكمة موثقة الخطوات من أول تفويض إلى أول اعتماد. وكل ادعاء في أي مخرج يحمل معه دليله وحالة تحققه وتاريخ رصده — وهو المعيار الذي بُني المشروع كله عليه، والذي تصفه النسخة المعتمدة الجديدة v4.2 الآن.</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start"/>
    </w:pPr>
    <w:r>
      <w:rPr>
        <w:rFonts w:ascii="Arial" w:cs="Arial" w:hAnsi="Arial"/>
        <w:color w:val="808080"/>
        <w:sz w:val="18"/>
        <w:szCs w:val="18"/>
        <w:rtl/>
      </w:rPr>
      <w:t xml:space="preserve">التقرير البرامجي الشامل — محرك استخبارات الموردين التكيّفي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2"/>
      <w:szCs w:val="32"/>
    </w:rPr>
  </w:style>
  <w:style w:type="paragraph" w:styleId="Heading2">
    <w:name w:val="Heading 2"/>
    <w:basedOn w:val="Normal"/>
    <w:next w:val="Normal"/>
    <w:qFormat/>
    <w:pPr>
      <w:spacing w:after="120" w:before="240" w:line="312"/>
      <w:outlineLvl w:val="1"/>
    </w:pPr>
    <w:rPr>
      <w:rFonts w:ascii="Arial" w:cs="Arial" w:hAnsi="Arial"/>
      <w:b/>
      <w:bCs/>
      <w:color w:val="1B6B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2026-09-27T16:32:36.270Z</dcterms:created>
  <dcterms:modified xsi:type="dcterms:W3CDTF">2026-09-27T16:32:36.271Z</dcterms:modified>
</cp:coreProperties>
</file>

<file path=docProps/custom.xml><?xml version="1.0" encoding="utf-8"?>
<Properties xmlns="http://schemas.openxmlformats.org/officeDocument/2006/custom-properties" xmlns:vt="http://schemas.openxmlformats.org/officeDocument/2006/docPropsVTypes"/>
</file>