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712"/>
            </w:pPr>
          </w:p>
          <w:p>
            <w:pPr>
              <w:pBdr>
                <w:bottom w:val="single" w:color="37DCF2" w:sz="6" w:space="8"/>
              </w:pBdr>
              <w:bidi/>
              <w:spacing w:after="500" w:line="276"/>
              <w:ind w:left="800" w:right="1200"/>
              <w:jc w:val="start"/>
            </w:pPr>
            <w:r>
              <w:rPr>
                <w:rFonts w:ascii="Arial" w:cs="Arial" w:hAnsi="Arial"/>
                <w:color w:val="37DCF2"/>
                <w:spacing w:val="40"/>
                <w:sz w:val="18"/>
                <w:szCs w:val="18"/>
              </w:rPr>
              <w:t xml:space="preserve">S  U  P  P  L  I  E  R     I  N  T  E  L  L  I  G  E  N  C  E</w:t>
            </w:r>
          </w:p>
          <w:p>
            <w:pPr>
              <w:bidi/>
              <w:spacing w:after="100" w:line="828" w:lineRule="atLeast"/>
              <w:ind w:right="1200"/>
              <w:jc w:val="start"/>
            </w:pPr>
            <w:r>
              <w:rPr>
                <w:rFonts w:ascii="Arial" w:cs="Arial" w:hAnsi="Arial"/>
                <w:b/>
                <w:bCs/>
                <w:color w:val="FFFFFF"/>
                <w:sz w:val="72"/>
                <w:szCs w:val="72"/>
                <w:rtl/>
              </w:rPr>
              <w:t xml:space="preserve">التحليل الشامل والتدقيق</w:t>
            </w:r>
          </w:p>
          <w:p>
            <w:pPr>
              <w:bidi/>
              <w:spacing w:after="100" w:line="828" w:lineRule="atLeast"/>
              <w:ind w:right="1200"/>
              <w:jc w:val="start"/>
            </w:pPr>
            <w:r>
              <w:rPr>
                <w:rFonts w:ascii="Arial" w:cs="Arial" w:hAnsi="Arial"/>
                <w:b/>
                <w:bCs/>
                <w:color w:val="FFFFFF"/>
                <w:sz w:val="72"/>
                <w:szCs w:val="72"/>
                <w:rtl/>
              </w:rPr>
              <w:t xml:space="preserve">المتقاطع لمحرك استخبارات</w:t>
            </w:r>
          </w:p>
          <w:p>
            <w:pPr>
              <w:bidi/>
              <w:spacing w:after="300" w:line="828" w:lineRule="atLeast"/>
              <w:ind w:right="1200"/>
              <w:jc w:val="start"/>
            </w:pPr>
            <w:r>
              <w:rPr>
                <w:rFonts w:ascii="Arial" w:cs="Arial" w:hAnsi="Arial"/>
                <w:b/>
                <w:bCs/>
                <w:color w:val="FFFFFF"/>
                <w:sz w:val="72"/>
                <w:szCs w:val="72"/>
                <w:rtl/>
              </w:rPr>
              <w:t xml:space="preserve">الموردين التكيّفي</w:t>
            </w:r>
          </w:p>
          <w:p>
            <w:pPr>
              <w:bidi/>
              <w:spacing w:after="800" w:line="312"/>
              <w:ind w:right="1200"/>
              <w:jc w:val="start"/>
            </w:pPr>
            <w:r>
              <w:rPr>
                <w:rFonts w:ascii="Arial" w:cs="Arial" w:hAnsi="Arial"/>
                <w:color w:val="B0B8C0"/>
                <w:sz w:val="24"/>
                <w:szCs w:val="24"/>
                <w:rtl/>
              </w:rPr>
              <w:t xml:space="preserve">العصف الذهني والمعالجة النقدية والتحقق من المعلومات مع مطابقة قاعدة المعرفة في Notion</w:t>
            </w:r>
          </w:p>
          <w:p>
            <w:pPr>
              <w:pBdr>
                <w:right w:val="single" w:color="37DCF2" w:sz="8" w:space="12"/>
              </w:pBdr>
              <w:bidi/>
              <w:spacing w:after="80" w:line="312"/>
              <w:ind w:right="1400"/>
              <w:jc w:val="start"/>
            </w:pPr>
            <w:r>
              <w:rPr>
                <w:rFonts w:ascii="Arial" w:cs="Arial" w:hAnsi="Arial"/>
                <w:color w:val="90989F"/>
                <w:sz w:val="24"/>
                <w:szCs w:val="24"/>
                <w:rtl/>
              </w:rPr>
              <w:t xml:space="preserve">المرجع العامل: v4.2 — Working Candidate (غير معتمد)</w:t>
            </w:r>
          </w:p>
          <w:p>
            <w:pPr>
              <w:pBdr>
                <w:right w:val="single" w:color="37DCF2" w:sz="8" w:space="12"/>
              </w:pBdr>
              <w:bidi/>
              <w:spacing w:after="80" w:line="312"/>
              <w:ind w:right="1400"/>
              <w:jc w:val="start"/>
            </w:pPr>
            <w:r>
              <w:rPr>
                <w:rFonts w:ascii="Arial" w:cs="Arial" w:hAnsi="Arial"/>
                <w:color w:val="90989F"/>
                <w:sz w:val="24"/>
                <w:szCs w:val="24"/>
                <w:rtl/>
              </w:rPr>
              <w:t xml:space="preserve">نطاق التحقيق: الدفعة الأولى من برنامج كتالوج 400+ SKU</w:t>
            </w:r>
          </w:p>
          <w:p>
            <w:pPr>
              <w:pBdr>
                <w:right w:val="single" w:color="37DCF2" w:sz="8" w:space="12"/>
              </w:pBdr>
              <w:bidi/>
              <w:spacing w:after="80" w:line="312"/>
              <w:ind w:right="1400"/>
              <w:jc w:val="start"/>
            </w:pPr>
            <w:r>
              <w:rPr>
                <w:rFonts w:ascii="Arial" w:cs="Arial" w:hAnsi="Arial"/>
                <w:color w:val="90989F"/>
                <w:sz w:val="24"/>
                <w:szCs w:val="24"/>
                <w:rtl/>
              </w:rPr>
              <w:t xml:space="preserve">مصادر التحقيق: Notion (قراءة فقط) + أدوات التشغيل + المحادثة المرجعية</w:t>
            </w:r>
          </w:p>
          <w:p>
            <w:pPr>
              <w:pBdr>
                <w:right w:val="single" w:color="37DCF2" w:sz="8" w:space="12"/>
              </w:pBdr>
              <w:bidi/>
              <w:spacing w:after="80" w:line="312"/>
              <w:ind w:right="1400"/>
              <w:jc w:val="start"/>
            </w:pPr>
            <w:r>
              <w:rPr>
                <w:rFonts w:ascii="Arial" w:cs="Arial" w:hAnsi="Arial"/>
                <w:color w:val="90989F"/>
                <w:sz w:val="24"/>
                <w:szCs w:val="24"/>
                <w:rtl/>
              </w:rPr>
              <w:t xml:space="preserve">التاريخ: 2026-09-27</w:t>
            </w:r>
          </w:p>
          <w:p>
            <w:pPr>
              <w:spacing w:before="3712"/>
            </w:pPr>
          </w:p>
          <w:p>
            <w:pPr>
              <w:pBdr>
                <w:top w:val="single" w:color="37DCF2" w:sz="2" w:space="8"/>
              </w:pBdr>
              <w:bidi/>
              <w:spacing w:before="200" w:line="276"/>
              <w:ind w:left="800" w:right="1200"/>
              <w:jc w:val="start"/>
            </w:pPr>
            <w:r>
              <w:rPr>
                <w:rFonts w:ascii="Arial" w:cs="Arial" w:hAnsi="Arial"/>
                <w:color w:val="687078"/>
                <w:sz w:val="16"/>
                <w:szCs w:val="16"/>
                <w:rtl/>
              </w:rPr>
              <w:t xml:space="preserve">2026-09-27</w:t>
            </w:r>
            <w:r>
              <w:rPr>
                <w:rFonts w:ascii="Arial" w:cs="Arial" w:hAnsi="Arial"/>
              </w:rPr>
              <w:t xml:space="preserve">                                        </w:t>
            </w:r>
            <w:r>
              <w:rPr>
                <w:rFonts w:ascii="Arial" w:cs="Arial" w:hAnsi="Arial"/>
                <w:color w:val="687078"/>
                <w:sz w:val="16"/>
                <w:szCs w:val="16"/>
              </w:rPr>
              <w:t xml:space="preserve">Adaptive Supplier Intelligence Research Engine</w:t>
            </w:r>
          </w:p>
        </w:tc>
      </w:tr>
    </w:tbl>
    <w:p>
      <w:pPr>
        <w:sectPr>
          <w:pgSz w:w="11906" w:h="16838" w:orient="portrait"/>
          <w:pgMar w:top="0" w:right="0" w:bottom="0" w:left="0" w:header="708" w:footer="708" w:gutter="0"/>
          <w:docGrid w:linePitch="360"/>
        </w:sectPr>
      </w:pPr>
    </w:p>
    <w:p>
      <w:pPr>
        <w:spacing w:after="360" w:before="480"/>
        <w:jc w:val="center"/>
      </w:pPr>
      <w:r>
        <w:rPr>
          <w:rFonts w:ascii="Arial" w:cs="Arial" w:hAnsi="Arial"/>
          <w:b/>
          <w:bCs/>
          <w:color w:val="162235"/>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منهجية التحقق والمصادر المعتمدة</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الحالة الموثقة: الحوكمة والإصدارات والدورات</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بنية الحوكمة الثلاثية المعتمدة</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خط الإصدارات ونقاط تحوله</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الدورات الخمس المؤرشفة</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4. الحالة الموثقة: عقد التشغيل Batch 1 ونتائجه الفعلية</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عقد التشغيل المقفل</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نتائج التنفيذ الفعلية</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5. التدقيق المتقاطع: المحادثة ↔ Notion ↔ Runtime</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6. سجل التناقضات المكتشفة وحلولها</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7. سجل الفجوات وحلولها المقترحة</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8. سجل المخاطر والاعتماديات</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9. التصنيف المعرفي الرباعي</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أولًا: مؤكد بدليل مباشر</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ثانيًا: يحتاج تحققًا</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ثالثًا: افتراضات غير مثبتة (تُعرض كافتراضات فقط)</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رابعًا: استنتاجات منطقية (مبنية على معطيات متاحة)</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خامسًا: توصيات (تظل توصيات حتى قرار المستخدم)</w:t>
            </w:r>
            <w:r>
              <w:tab/>
            </w:r>
            <w:r>
              <w:fldChar w:fldCharType="begin"/>
            </w:r>
            <w:r>
              <w:instrText xml:space="preserve"> PAGEREF _Toc100018 \h </w:instrText>
            </w:r>
            <w:r>
              <w:fldChar w:fldCharType="separate"/>
            </w:r>
            <w:r>
              <w:t>10</w:t>
            </w:r>
            <w:r>
              <w:fldChar w:fldCharType="end"/>
            </w:r>
          </w:hyperlink>
        </w:p>
        <w:p>
          <w:pPr>
            <w:pStyle w:val="9"/>
            <w:tabs>
              <w:tab w:val="right" w:leader="dot" w:pos="9026"/>
            </w:tabs>
            <w:spacing w:before="120" w:after="60"/>
          </w:pPr>
          <w:hyperlink w:anchor="_Toc100019" w:history="1">
            <w:r>
              <w:rPr>
                <w:rStyle w:val="Hyperlink"/>
              </w:rPr>
              <w:t>10. القرارات المطلوبة من المستخدم</w:t>
            </w:r>
            <w:r>
              <w:tab/>
            </w:r>
            <w:r>
              <w:fldChar w:fldCharType="begin"/>
            </w:r>
            <w:r>
              <w:instrText xml:space="preserve"> PAGEREF _Toc100019 \h </w:instrText>
            </w:r>
            <w:r>
              <w:fldChar w:fldCharType="separate"/>
            </w:r>
            <w:r>
              <w:t>11</w:t>
            </w:r>
            <w:r>
              <w:fldChar w:fldCharType="end"/>
            </w:r>
          </w:hyperlink>
        </w:p>
        <w:p>
          <w:pPr>
            <w:pStyle w:val="9"/>
            <w:tabs>
              <w:tab w:val="right" w:leader="dot" w:pos="9026"/>
            </w:tabs>
            <w:spacing w:before="120" w:after="60"/>
          </w:pPr>
          <w:hyperlink w:anchor="_Toc100020" w:history="1">
            <w:r>
              <w:rPr>
                <w:rStyle w:val="Hyperlink"/>
              </w:rPr>
              <w:t>11. بروتوكول الاتساق والأتمتة التشغيلية</w:t>
            </w:r>
            <w:r>
              <w:tab/>
            </w:r>
            <w:r>
              <w:fldChar w:fldCharType="begin"/>
            </w:r>
            <w:r>
              <w:instrText xml:space="preserve"> PAGEREF _Toc100020 \h </w:instrText>
            </w:r>
            <w:r>
              <w:fldChar w:fldCharType="separate"/>
            </w:r>
            <w:r>
              <w:t>12</w:t>
            </w:r>
            <w:r>
              <w:fldChar w:fldCharType="end"/>
            </w:r>
          </w:hyperlink>
        </w:p>
        <w:p>
          <w:pPr>
            <w:pStyle w:val="9"/>
            <w:tabs>
              <w:tab w:val="right" w:leader="dot" w:pos="9026"/>
            </w:tabs>
            <w:spacing w:before="120" w:after="60"/>
          </w:pPr>
          <w:hyperlink w:anchor="_Toc100021" w:history="1">
            <w:r>
              <w:rPr>
                <w:rStyle w:val="Hyperlink"/>
              </w:rPr>
              <w:t>12. حزمة تحديثات Notion المعلقة</w:t>
            </w:r>
            <w:r>
              <w:tab/>
            </w:r>
            <w:r>
              <w:fldChar w:fldCharType="begin"/>
            </w:r>
            <w:r>
              <w:instrText xml:space="preserve"> PAGEREF _Toc100021 \h </w:instrText>
            </w:r>
            <w:r>
              <w:fldChar w:fldCharType="separate"/>
            </w:r>
            <w:r>
              <w:t>13</w:t>
            </w:r>
            <w:r>
              <w:fldChar w:fldCharType="end"/>
            </w:r>
          </w:hyperlink>
        </w:p>
        <w:p>
          <w:pPr>
            <w:pStyle w:val="9"/>
            <w:tabs>
              <w:tab w:val="right" w:leader="dot" w:pos="9026"/>
            </w:tabs>
            <w:spacing w:before="120" w:after="60"/>
          </w:pPr>
          <w:hyperlink w:anchor="_Toc100022" w:history="1">
            <w:r>
              <w:rPr>
                <w:rStyle w:val="Hyperlink"/>
              </w:rPr>
              <w:t>13. خارطة الطريق والخطوات التالية</w:t>
            </w:r>
            <w:r>
              <w:tab/>
            </w:r>
            <w:r>
              <w:fldChar w:fldCharType="begin"/>
            </w:r>
            <w:r>
              <w:instrText xml:space="preserve"> PAGEREF _Toc100022 \h </w:instrText>
            </w:r>
            <w:r>
              <w:fldChar w:fldCharType="separate"/>
            </w:r>
            <w:r>
              <w:t>13</w:t>
            </w:r>
            <w:r>
              <w:fldChar w:fldCharType="end"/>
            </w:r>
          </w:hyperlink>
        </w:p>
        <w:p>
          <w:r>
            <w:fldChar w:fldCharType="end"/>
          </w:r>
        </w:p>
      </w:sdtContent>
    </w:sdt>
    <w:p>
      <w:pPr>
        <w:bidi/>
        <w:spacing w:before="200"/>
      </w:pPr>
      <w:r>
        <w:rPr>
          <w:rFonts w:ascii="Arial" w:cs="Arial" w:hAnsi="Arial"/>
          <w:i/>
          <w:iCs/>
          <w:color w:val="888888"/>
          <w:sz w:val="18"/>
          <w:szCs w:val="18"/>
          <w:rtl/>
        </w:rPr>
        <w:t xml:space="preserve">ملاحظة: هذا الفهرس مولّد بحقول التحديث؛ لضمان دقة أرقام الصفحات بعد أي تعديل، انقر بزر الفأرة اليمنى على الفهرس ثم 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12"/>
        <w:jc w:val="start"/>
      </w:pPr>
      <w:bookmarkStart w:id="100000" w:name="_Toc100000"/>
      <w:r>
        <w:rPr>
          <w:rFonts w:ascii="Arial" w:cs="Arial" w:hAnsi="Arial"/>
          <w:b/>
          <w:bCs/>
          <w:color w:val="162235"/>
          <w:sz w:val="32"/>
          <w:szCs w:val="32"/>
          <w:rtl/>
        </w:rPr>
        <w:t xml:space="preserve">1. الملخص التنفيذي</w:t>
      </w:r>
      <w:bookmarkEnd w:id="100000"/>
    </w:p>
    <w:p>
      <w:pPr>
        <w:bidi/>
        <w:spacing w:after="120" w:line="312"/>
        <w:jc w:val="start"/>
      </w:pPr>
      <w:r>
        <w:rPr>
          <w:rFonts w:ascii="Arial" w:cs="Arial" w:hAnsi="Arial"/>
          <w:color w:val="000000"/>
          <w:sz w:val="24"/>
          <w:szCs w:val="24"/>
          <w:rtl/>
        </w:rPr>
        <w:t xml:space="preserve">يقدّم هذا التقرير التحليل الشامل والتدقيق المتقاطع لمحادثة محرك استخبارات الموردين التكيّفي (Adaptive Supplier Intelligence Research Engine) بوصفها نطاق العمل المرجعي، مقابل قاعدة المعرفة الموثقة في Notion (33 صفحة وقاعدة بيانات قُرئت عبر الواجهة البرمجية بصورة قراءة فقط) وأدوات التشغيل المحلية لدفعة التنفيذ الأولى (Batch 1). الهدف ليس التلخيص بل المعالجة النقدية: اختبار كل معلومة، وكشف التناقضات والفجوات والافتراضات غير المثبتة، ثم تقديم حلول قابلة للدمج وحزمة تحديثات معلقة جاهزة للارتكاب عبر القناة المخوّلة.</w:t>
      </w:r>
    </w:p>
    <w:p>
      <w:pPr>
        <w:bidi/>
        <w:spacing w:after="120" w:line="312"/>
        <w:jc w:val="start"/>
      </w:pPr>
      <w:r>
        <w:rPr>
          <w:rFonts w:ascii="Arial" w:cs="Arial" w:hAnsi="Arial"/>
          <w:color w:val="000000"/>
          <w:sz w:val="24"/>
          <w:szCs w:val="24"/>
          <w:rtl/>
        </w:rPr>
        <w:t xml:space="preserve">الحالة الحاكمة الموثقة: لا يوجد أي Prompt معتمد (Approved) في السجل القانوني حتى تاريخ هذا التقرير، وبوابة الاعتماد الأولي (Bootstrap) ما زالت قرارًا حوكيميًا مفتوحًا منذ الدورة الأولى. الإصدار v4.2 مقبول من المستخدم بصفته Working Candidate للعمل الحالي — وهو ما ثبت نصًا في سجل الإصدارات وسجل Canonical — لكنه لم يُرقَّ إلى معتمد لأن اختبار التشغيل الحي متعدد الدفعات واختبار الانحدار التنافسي ما زالا غير منفذَين. الدفعة الأولى نُفّذت فعليًا تحت v4.1 بواقع 76 من أصل 96 Research Action، و15 من 15 SKU وصلت حالات نهائية، مع احتياطي 25% لم يُمَس.</w:t>
      </w:r>
    </w:p>
    <w:p>
      <w:pPr>
        <w:bidi/>
        <w:spacing w:after="120" w:line="312"/>
        <w:jc w:val="start"/>
      </w:pPr>
      <w:r>
        <w:rPr>
          <w:rFonts w:ascii="Arial" w:cs="Arial" w:hAnsi="Arial"/>
          <w:color w:val="000000"/>
          <w:sz w:val="24"/>
          <w:szCs w:val="24"/>
          <w:rtl/>
        </w:rPr>
        <w:t xml:space="preserve">أخطر نتيجة تدقيقية: سجلا الدورتين 4 و5 في Notion (اللذان أنتجا v4.2) بُنيا على لقطات شاشة توقفت عند مرحلة تحميل الأدوات وقبل ظهور مخرجات البحث — وقد صرّح Claude بذلك حرفيًا في الدورة 5 وسجّل ضمن مجهولاته سؤال: هل أنتجت أي Research Action نتائج فعلية؟ أدلة التشغيل المحلية تجيب الآن: نعم؛ 76 إجراءً منفذًا وموثقًا، و52 عرضًا مسعّرًا، و52 كيانًا متحققًا، و4 اكتشافات سوقية هيكلية، مع سجل تدقيق كامل. هذه النتائج لم تصل قط إلى قاعدة المعرفة في Notion، ما يعني أن حجّة v4.2 التحققية أضعف مما تسمح به الأدلة المتاحة فعليًا، وأن ترقية حالة التحقق ممكنة جزئيًا بمجرد إيصال الدليل الموجود.</w:t>
      </w:r>
    </w:p>
    <w:p>
      <w:pPr>
        <w:bidi/>
        <w:spacing w:after="120" w:line="312"/>
        <w:jc w:val="start"/>
      </w:pPr>
      <w:r>
        <w:rPr>
          <w:rFonts w:ascii="Arial" w:cs="Arial" w:hAnsi="Arial"/>
          <w:color w:val="000000"/>
          <w:sz w:val="24"/>
          <w:szCs w:val="24"/>
          <w:rtl/>
        </w:rPr>
        <w:t xml:space="preserve">كشف التدقيق 12 تناقضًا أو تضاربًا رقميًا أو وثائقيًا (أبرزها: اشتراط المرجع الحاكم ثلاثة مخرجات مقابل عقد تشغيل قفل مخرجين؛ تضارب عدّ الـanchors بين 9 و11؛ مؤشرات حالة حالية متقادمة في صفحتين حاكمتين)، و11 فجوة (أبرزها: غياب_manifest للكتالوج رغم أن نطاق البرنامج 400+ SKU، وعدم تمرير نتائج Batch 1 إلى Notion)، و8 مخاطر مصنفة. حُلّت القابل للحل منها داخل هذا التقرير، وحُوّل الباقي إلى قرارات مستخدم صريحة لا يُجاب عنها نيابةً عن المستخدم.</w:t>
      </w:r>
    </w:p>
    <w:p>
      <w:pPr>
        <w:bidi/>
        <w:spacing w:after="120" w:line="312"/>
        <w:jc w:val="start"/>
      </w:pPr>
      <w:r>
        <w:rPr>
          <w:rFonts w:ascii="Arial" w:cs="Arial" w:hAnsi="Arial"/>
          <w:color w:val="000000"/>
          <w:sz w:val="24"/>
          <w:szCs w:val="24"/>
          <w:rtl/>
        </w:rPr>
        <w:t xml:space="preserve">الإجراءات ذات الأولوية القصوى: (1) ارتكاب حزمة التحديثات المعلقة المرفقة — وعلى رأسها سجل الدورة 6 وملخص أدلة التشغيل — عبر القناة المخوّلة؛ (2) حسم قرار بوابة الاعتماد الأولي المفتوح؛ (3) تشغيل الدفعة الثانية تحت v4.2 بحيث تبدأ بتوليد manifest الكتالوج وتمرّر كيانات Batch 1 عبر قاعدة الاستمرارية بين الدفعات، مع تمرير انحدار تنافسي — وهو الإجراء الوحيد الذي يقدّم مسارَي الحوكمة والبحث معًا نحو إمكانية اعتماد v4.2؛ (4) تدوير توكن Notion الفوري لكونه مشاركًا بنص صريح في المحادثة.</w:t>
      </w:r>
    </w:p>
    <w:p>
      <w:pPr>
        <w:keepNext/>
        <w:bidi/>
        <w:spacing w:after="80" w:before="160" w:line="312"/>
        <w:jc w:val="start"/>
      </w:pPr>
      <w:r>
        <w:rPr>
          <w:rFonts w:ascii="Arial" w:cs="Arial" w:hAnsi="Arial"/>
          <w:b/>
          <w:bCs/>
          <w:color w:val="162235"/>
          <w:sz w:val="21"/>
          <w:szCs w:val="21"/>
          <w:rtl/>
        </w:rPr>
        <w:t xml:space="preserve">جدول 1: بطاقة الحالة التنفيذية — أرقام مرجعية سريعة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tblGrid>
      <w:tr>
        <w:trPr>
          <w:cantSplit/>
          <w:tblHeader/>
        </w:trPr>
        <w:tc>
          <w:tcPr>
            <w:tcW w:type="pct" w:w="34%"/>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البند</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القيمة الموثقة</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المصدر</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إصدار Prompt العامل</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v4.2 — Working Candidate (غير معتمد)</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 الإصدارات + سجل Canonical</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Prompt معتمد</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يوجد — بوابة Bootstrap مفتوحة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 القرارات (Open)</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دفعة منفذة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Batch 1 — تحت v4.1 — انتهت 2026-09-26</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run-contract.json + dataset</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ميزانية البحث</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76 مستخدمة / 96 سقفًا / 24 احتياطيًا (25%)</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budget.json</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SKU بحالات نهائية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15 من 15 (11 بأدلة anchor مجدولة)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skus.json (المصدر القانوني)</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كيانات متحققة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52 (10 ناشرون + 4 B2B + 38 سوق/بائعون)</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dataset §5</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عروض مسعّرة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52 عرضًا عبر 13 SKU</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dataset + worklog</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مخرجات Batch 1</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لوحة ويب + مجموعة بيانات Markdown (1745 سطرًا)</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dataset + فحص agent-browser</w:t>
            </w:r>
          </w:p>
        </w:tc>
      </w:tr>
    </w:tbl>
    <w:p>
      <w:pPr>
        <w:spacing w:after="120"/>
      </w:pPr>
    </w:p>
    <w:p>
      <w:pPr>
        <w:pStyle w:val="Heading1"/>
        <w:bidi/>
        <w:spacing w:after="160" w:before="360" w:line="312"/>
        <w:jc w:val="start"/>
      </w:pPr>
      <w:bookmarkStart w:id="100001" w:name="_Toc100001"/>
      <w:r>
        <w:rPr>
          <w:rFonts w:ascii="Arial" w:cs="Arial" w:hAnsi="Arial"/>
          <w:b/>
          <w:bCs/>
          <w:color w:val="162235"/>
          <w:sz w:val="32"/>
          <w:szCs w:val="32"/>
          <w:rtl/>
        </w:rPr>
        <w:t xml:space="preserve">2. منهجية التحقق والمصادر المعتمدة</w:t>
      </w:r>
      <w:bookmarkEnd w:id="100001"/>
    </w:p>
    <w:p>
      <w:pPr>
        <w:bidi/>
        <w:spacing w:after="120" w:line="312"/>
        <w:jc w:val="start"/>
      </w:pPr>
      <w:r>
        <w:rPr>
          <w:rFonts w:ascii="Arial" w:cs="Arial" w:hAnsi="Arial"/>
          <w:color w:val="000000"/>
          <w:sz w:val="24"/>
          <w:szCs w:val="24"/>
          <w:rtl/>
        </w:rPr>
        <w:t xml:space="preserve">اعتمد التحقق على ثلاث طبقات أدلة مستقلة جرى مطابقتها فيما بينها بدل الاكتفاء بأي طبقة منفردة. الطبقة الأولى: قاعدة المعرفة في Notion عبر الواجهة البرمجية بصورة قراءة صارمة فقط، إذ حُصدت 25 وثيقة محتوى (المرجع الحاكم، المواصفة التشغيلية، المعجم، ملفات المصادر الأربعة، صفحات الحوكمة ومساحات العمل، نص v4.1 الكامل، نص v4.0 المضمّن في سجل الإصدارات) مع القواعد الثلاث كاملة الصفوف: سجل الإصدارات (3 صفوف)، وسجل القرارات (6 صفوف)، وأرشيف التفاعلات (9 صفوف تغطي الدورات 1–5). الطبقة الثانية: أدوات التشغيل المحلية لدفعة Batch 1 — عقد التشغيل، وسجل الميزانية، وملفات البيانات القانونية (skus/entities/actions)، ومجموعة البيانات النهائية (1745 سطرًا)، و76 ملف إجراء خامًا، وسجل العمل. الطبقة الثالثة: المحادثة المرجعية نفسها بعقد تشغيلها المقفل وقائمة بذورها (~73 كيانًا) وثوابتها المنهجية.</w:t>
      </w:r>
    </w:p>
    <w:p>
      <w:pPr>
        <w:bidi/>
        <w:spacing w:after="120" w:line="312"/>
        <w:jc w:val="start"/>
      </w:pPr>
      <w:r>
        <w:rPr>
          <w:rFonts w:ascii="Arial" w:cs="Arial" w:hAnsi="Arial"/>
          <w:color w:val="000000"/>
          <w:sz w:val="24"/>
          <w:szCs w:val="24"/>
          <w:rtl/>
        </w:rPr>
        <w:t xml:space="preserve">طُبّق إطار العصف الذهني والتحليل النقدي الحاكم المعتمد في المرجع الحاكم بصيغته التشغيلية الأحدث: تصنيف كل معلومة إلى حقيقة مؤكدة بدليل (أ)، أو استنتاج منطقي (ب)، أو افتراض غير مؤكد (ج)، مع منع تقديم (ب) أو (ج) بصيغة (أ)؛ وإلزامية الاختبار النقدي بصيغة [رقم] – [الثغرة] – [السبب] – [درجة الخطورة]؛ والممنوعات الصارمة (لا اختلاق، لا مجاملة، لا تلطيف أحكام). كما التُزم تصنيف الحقيقة المعتمد في بروتوكول التسليم للدورة 2 (FACT / INFERENCE / ASSUMPTION / PROPOSAL / DECISION / UNKNOWN / CONFLICT) وقاعدة عدم التحويل بين المستويات أبدًا (اقتراح ← قرار، افتراض ← حقيقة).</w:t>
      </w:r>
    </w:p>
    <w:p>
      <w:pPr>
        <w:bidi/>
        <w:spacing w:after="120" w:line="312"/>
        <w:jc w:val="start"/>
      </w:pPr>
      <w:r>
        <w:rPr>
          <w:rFonts w:ascii="Arial" w:cs="Arial" w:hAnsi="Arial"/>
          <w:color w:val="000000"/>
          <w:sz w:val="24"/>
          <w:szCs w:val="24"/>
          <w:rtl/>
        </w:rPr>
        <w:t xml:space="preserve">قيود المنهجية الموثقة بأمانة: حصاد Notion لقطة زمنية بتاريخ 2026-09-27 وقابلة للتقادم؛ والرؤية محدودة بما شورك مع تكامل «موردين» تحديدًا (925 كائنًا ظاهرًا للمساحة كلها، منها مشروع هذا التقرير فقط ضمن النطاق، واستُبعدت المشاريع غير المرتبطة صراحة التزامًا بحدود النطاق)؛ ولا وصول إلى Telegram في هذه الجلسة، ولا قدرة معاملات بحكم التصميم؛ وأرقام Batch 1 تُقرأ من ملفات البيانات القانونية لا من أي سرد نصي. لم يُجرَ أي تعديل على أي صفحة من الصفحات المطلوب قراءتها فقط، ولم تُنشأ أي أتمتة فعلية أو إعدادات خارجية، التزامًا بالتعليمات.</w:t>
      </w:r>
    </w:p>
    <w:p>
      <w:pPr>
        <w:pBdr>
          <w:top w:val="single" w:color="C8DDE2" w:sz="2" w:space="4"/>
          <w:bottom w:val="single" w:color="C8DDE2" w:sz="2" w:space="4"/>
          <w:left w:val="single" w:color="C8DDE2" w:sz="2" w:space="4"/>
          <w:right w:val="single" w:color="1B6B7A" w:sz="12" w:space="8"/>
        </w:pBdr>
        <w:shd w:fill="EDF3F5" w:val="clear"/>
        <w:bidi/>
        <w:spacing w:after="160" w:before="120" w:line="312"/>
        <w:jc w:val="start"/>
      </w:pPr>
      <w:r>
        <w:rPr>
          <w:rFonts w:ascii="Arial" w:cs="Arial" w:hAnsi="Arial"/>
          <w:b/>
          <w:bCs/>
          <w:color w:val="1B6B7A"/>
          <w:sz w:val="22"/>
          <w:szCs w:val="22"/>
          <w:rtl/>
        </w:rPr>
        <w:t xml:space="preserve">ملاحظة حاكمة: </w:t>
      </w:r>
      <w:r>
        <w:rPr>
          <w:rFonts w:ascii="Arial" w:cs="Arial" w:hAnsi="Arial"/>
          <w:color w:val="000000"/>
          <w:sz w:val="22"/>
          <w:szCs w:val="22"/>
          <w:rtl/>
        </w:rPr>
        <w:t xml:space="preserve">قاعدة تحرير جوهرية متَّبعة في هذا التقرير: عند أي تعارض بين مصدرين، يُقدَّم المصدر القانوني المعتمد (ملفات JSON للبيانات، وسجل الإصدارات للإصدارات، والمرجع الحاكم للمحتوى التجاري) على أي سرد نصي مشتق، ويُوثَّق التعارض نفسه في سجل التناقضات بدل حذفه.</w:t>
      </w:r>
    </w:p>
    <w:p>
      <w:pPr>
        <w:pStyle w:val="Heading1"/>
        <w:bidi/>
        <w:spacing w:after="160" w:before="360" w:line="312"/>
        <w:jc w:val="start"/>
      </w:pPr>
      <w:bookmarkStart w:id="100002" w:name="_Toc100002"/>
      <w:r>
        <w:rPr>
          <w:rFonts w:ascii="Arial" w:cs="Arial" w:hAnsi="Arial"/>
          <w:b/>
          <w:bCs/>
          <w:color w:val="162235"/>
          <w:sz w:val="32"/>
          <w:szCs w:val="32"/>
          <w:rtl/>
        </w:rPr>
        <w:t xml:space="preserve">3. الحالة الموثقة: الحوكمة والإصدارات والدورات</w:t>
      </w:r>
      <w:bookmarkEnd w:id="100002"/>
    </w:p>
    <w:p>
      <w:pPr>
        <w:pStyle w:val="Heading2"/>
        <w:bidi/>
        <w:spacing w:after="120" w:before="240" w:line="312"/>
        <w:jc w:val="start"/>
      </w:pPr>
      <w:bookmarkStart w:id="100003" w:name="_Toc100003"/>
      <w:r>
        <w:rPr>
          <w:rFonts w:ascii="Arial" w:cs="Arial" w:hAnsi="Arial"/>
          <w:b/>
          <w:bCs/>
          <w:color w:val="1B6B7A"/>
          <w:sz w:val="28"/>
          <w:szCs w:val="28"/>
          <w:rtl/>
        </w:rPr>
        <w:t xml:space="preserve">بنية الحوكمة الثلاثية المعتمدة</w:t>
      </w:r>
      <w:bookmarkEnd w:id="100003"/>
    </w:p>
    <w:p>
      <w:pPr>
        <w:bidi/>
        <w:spacing w:after="120" w:line="312"/>
        <w:jc w:val="start"/>
      </w:pPr>
      <w:r>
        <w:rPr>
          <w:rFonts w:ascii="Arial" w:cs="Arial" w:hAnsi="Arial"/>
          <w:color w:val="000000"/>
          <w:sz w:val="24"/>
          <w:szCs w:val="24"/>
          <w:rtl/>
        </w:rPr>
        <w:t xml:space="preserve">اعتمد المستخدم نموذج المساحات الثلاث قرارًا حوكيميًا موثقًا: مساحة ChatGPT للمراجعة والتدقيق والاختبار، ومساحة Claude للبحث والتطوير والمسودات، وسجل Canonical بوصفه السلطة الوحيدة للنسخة المعتمدة، مع ثوابت صريحة: المراجعة ليست سلطة، والمسودة ليست معتمدة، والاقتراح ليس قرارًا، والمساحة ليست السجل القانوني. ويحدد بروتوكول التشغيل مصفوفة صلاحيات تحرير دقيقة: Claude يحرر مساحته وPrompt Working Reference فقط، وChatGPT يحرر مساحته والسجلات التشغيلية دون ترقية ذاتية، والمستخدم هو السلطة الوحيدة للاعتماد والترقية وأي تغيير حوكيمي. كما اعتمد المستخدم تفويضًا للتعامل التلقائي مع أسطح Notion المرتبطة بالمشروع (قراءة/أرشفة/تحديث/تنظيم) مع حماية صارمة للمواد غير المرتبطة — غير أن تعليمات الجلسة الحالية قيدت ذلك صراحة بقصر العمل على القراءة فقط للصفحات المذكورة، وهو القيد المُعتمد هنا ويغلُب أي تفويض عام سابق لهذه الجلسة تحديدًا.</w:t>
      </w:r>
    </w:p>
    <w:p>
      <w:pPr>
        <w:pStyle w:val="Heading2"/>
        <w:bidi/>
        <w:spacing w:after="120" w:before="240" w:line="312"/>
        <w:jc w:val="start"/>
      </w:pPr>
      <w:bookmarkStart w:id="100004" w:name="_Toc100004"/>
      <w:r>
        <w:rPr>
          <w:rFonts w:ascii="Arial" w:cs="Arial" w:hAnsi="Arial"/>
          <w:b/>
          <w:bCs/>
          <w:color w:val="1B6B7A"/>
          <w:sz w:val="28"/>
          <w:szCs w:val="28"/>
          <w:rtl/>
        </w:rPr>
        <w:t xml:space="preserve">خط الإصدارات ونقاط تحوله</w:t>
      </w:r>
      <w:bookmarkEnd w:id="100004"/>
    </w:p>
    <w:p>
      <w:pPr>
        <w:bidi/>
        <w:spacing w:after="120" w:line="312"/>
        <w:jc w:val="start"/>
      </w:pPr>
      <w:r>
        <w:rPr>
          <w:rFonts w:ascii="Arial" w:cs="Arial" w:hAnsi="Arial"/>
          <w:color w:val="000000"/>
          <w:sz w:val="24"/>
          <w:szCs w:val="24"/>
          <w:rtl/>
        </w:rPr>
        <w:t xml:space="preserve">خط الإصدارات الموثق: الزوج المرجعي الأصلي (الـPrompt الأصلي + نص البحث الأصلي) ثم v2 ثم v3 ثم v4.0 (خط الأساس المعماري بعد اختبار ورقي ثانٍ كشف ثغرات تحكم) ثم v4.1 (إصلاح ما قبل Claude بأربعة عشر إصلاحًا موجهًا: قفل النطاق، عقد التشغيل وقابلية تدقيق الإجراءات، سلامة الأدلة، دلالات الحداثة، دلالات الضمان، تحقق المعاملات، المرحلة صفر لتوليد مرشحي توحيد الكيانات مع صمام هروب، التزامات التغطية، تنويع الاستعلامات، ضوابط الميزانية C1–C4، الحالات النهائية الصريحة، حجر الاستبعادات، التكلفة الفعلية للاقتناء، وسجل التدقيق) ثم v4.2. أما v4.2 فيحافظ على v4.1 كاملة ويضيف حصريًا: كائنات برنامج الكتالوج/الدفعات، دفتر تغطية الكتالوج، استمرارية توحيد الكيانات بين الدفعات، حالات دورة حياة الـSKU، التجميع التراكمي للميزانية عبر الدفعات، وجملة توضيحية تفصل الاكتشاف العالمي عن المطابقة الإقليمية للـSKU.</w:t>
      </w:r>
    </w:p>
    <w:p>
      <w:pPr>
        <w:bidi/>
        <w:spacing w:after="120" w:line="312"/>
        <w:jc w:val="start"/>
      </w:pPr>
      <w:r>
        <w:rPr>
          <w:rFonts w:ascii="Arial" w:cs="Arial" w:hAnsi="Arial"/>
          <w:color w:val="000000"/>
          <w:sz w:val="24"/>
          <w:szCs w:val="24"/>
          <w:rtl/>
        </w:rPr>
        <w:t xml:space="preserve">منعطف v4.2 تحديدًا: حدد Claude في الدورة 5 سبع فجوات (غياب كائن كتالوج/دفعة، غياب دفتر تغطية الكتالوج، غياب استمرارية الكيانات بين الدفعات، عدم فصل النطاق/التغطية/الاكتمال/التحقق، غياب مفردات حالة الـSKU، غياب محاسبة الميزانية التراكمية، وفجوة صياغة في القسم 3) وعالجها بستة إصلاحات مطابقة. غير أن تدقيق ChatGPT اللاحق صحّح لغة التحقق حسمًا: «اجتياز بالبناء» يعني معالجة بنيوية وتصميمية وليست تحققًا تشغيليًا حيًا، ولا يجوز استخدام عبارة Tests Passed دليلًا على صحة التشغيل. ثم وصل الملف الفعلي لاحقًا، فتحقق مستوى المُنتَج وأُثبت قبول المستخدم له بصفته Working Candidate — وبقي الترقية إلى معتمد معلقة على اختبار حي متعدد الدفعات وانحدار تنافسي لم يُنفّذا بعد.</w:t>
      </w:r>
    </w:p>
    <w:p>
      <w:pPr>
        <w:pStyle w:val="Heading2"/>
        <w:bidi/>
        <w:spacing w:after="120" w:before="240" w:line="312"/>
        <w:jc w:val="start"/>
      </w:pPr>
      <w:bookmarkStart w:id="100005" w:name="_Toc100005"/>
      <w:r>
        <w:rPr>
          <w:rFonts w:ascii="Arial" w:cs="Arial" w:hAnsi="Arial"/>
          <w:b/>
          <w:bCs/>
          <w:color w:val="1B6B7A"/>
          <w:sz w:val="28"/>
          <w:szCs w:val="28"/>
          <w:rtl/>
        </w:rPr>
        <w:t xml:space="preserve">الدورات الخمس المؤرشفة</w:t>
      </w:r>
      <w:bookmarkEnd w:id="100005"/>
    </w:p>
    <w:p>
      <w:pPr>
        <w:keepNext/>
        <w:bidi/>
        <w:spacing w:after="80" w:before="160" w:line="312"/>
        <w:jc w:val="start"/>
      </w:pPr>
      <w:r>
        <w:rPr>
          <w:rFonts w:ascii="Arial" w:cs="Arial" w:hAnsi="Arial"/>
          <w:b/>
          <w:bCs/>
          <w:color w:val="162235"/>
          <w:sz w:val="21"/>
          <w:szCs w:val="21"/>
          <w:rtl/>
        </w:rPr>
        <w:t xml:space="preserve">جدول 2: ملخص الدورات 1–5 كما وثّقها أرشيف التفاعلات</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tblGrid>
      <w:tr>
        <w:trPr>
          <w:cantSplit/>
          <w:tblHeader/>
        </w:trPr>
        <w:tc>
          <w:tcPr>
            <w:tcW w:type="pct" w:w="34%"/>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الدورة</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الحدث الجوهري</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1</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طلب المستخدم نموذج Notion-first؛ امتناع Claude الشريف عن التحقيق لغياب ملف v4.1 + اقتراح بوابة Bootstrap</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مؤرشفة — اقتراح Bootstrap ما زال مفتوحًا</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تسليم مقيد ببوابة توفر المُنتَج + تسليم العصف الكامل للمشروع</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مجهزة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3</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التسليم النهائي بحدود إصلاح مضبوطة وملكية مساحات صريحة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مجهزة</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تحليل ChatGPT لأدلة تشغيل z.ai — فصل نطاق الكتالوج عن ميزانية الدفعة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مفتوحة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5</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استجابة Claude: 7 فجوات ← v4.2 Candidate؛ تدقيق ChatGPT وتصحيح لغة التحقق</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مستلمة — التالي: تدقيق v4.2</w:t>
            </w:r>
          </w:p>
        </w:tc>
      </w:tr>
    </w:tbl>
    <w:p>
      <w:pPr>
        <w:spacing w:after="120"/>
      </w:pPr>
    </w:p>
    <w:p>
      <w:pPr>
        <w:bidi/>
        <w:spacing w:after="120" w:line="312"/>
        <w:jc w:val="start"/>
      </w:pPr>
      <w:r>
        <w:rPr>
          <w:rFonts w:ascii="Arial" w:cs="Arial" w:hAnsi="Arial"/>
          <w:color w:val="000000"/>
          <w:sz w:val="24"/>
          <w:szCs w:val="24"/>
          <w:rtl/>
        </w:rPr>
        <w:t xml:space="preserve">سجل القرارات يضم ستة قرارات: خمسة معتمدة من المستخدم (الحوكمة الثلاثية، حدود التحرير الصريحة، تفويض العمل بنطاق المشروع في Notion، فصل طبقات الـPrompt الثلاث، وتوضيح نطاق المنتجات والخدمات مع قاعدة الفئة ≠ SKU)، وواحد مفتوح يتطلب قرار المستخدم (بوابة الاعتماد الأولي). وثيقة التوضيح الحاكمة للنطاق تثبت عشر عائلات (AI/SaaS، بطاقات الهدايا، تعبئة الألعاب، مفاتيح الألعاب، البرامج/التراخيص، eSIM/الاتصالات، خدمات SMM، الأرقام الافتراضية/الرسائل، الاشتراكات الرقمية، والخدمات الرقمية القائمة على API عند انطباقها) مع قاعدة صارمة: الفئة تحدد نطاق المحرك، لكن كل Run يحتاج SKU فعليًا قابلًا للتحديد قبل أي مقارنة سعرية، ولا تُشتق SKU من أمثلة واجهة التشغيل.</w:t>
      </w:r>
    </w:p>
    <w:p>
      <w:pPr>
        <w:pStyle w:val="Heading1"/>
        <w:bidi/>
        <w:spacing w:after="160" w:before="360" w:line="312"/>
        <w:jc w:val="start"/>
      </w:pPr>
      <w:bookmarkStart w:id="100006" w:name="_Toc100006"/>
      <w:r>
        <w:rPr>
          <w:rFonts w:ascii="Arial" w:cs="Arial" w:hAnsi="Arial"/>
          <w:b/>
          <w:bCs/>
          <w:color w:val="162235"/>
          <w:sz w:val="32"/>
          <w:szCs w:val="32"/>
          <w:rtl/>
        </w:rPr>
        <w:t xml:space="preserve">4. الحالة الموثقة: عقد التشغيل Batch 1 ونتائجه الفعلية</w:t>
      </w:r>
      <w:bookmarkEnd w:id="100006"/>
    </w:p>
    <w:p>
      <w:pPr>
        <w:pStyle w:val="Heading2"/>
        <w:bidi/>
        <w:spacing w:after="120" w:before="240" w:line="312"/>
        <w:jc w:val="start"/>
      </w:pPr>
      <w:bookmarkStart w:id="100007" w:name="_Toc100007"/>
      <w:r>
        <w:rPr>
          <w:rFonts w:ascii="Arial" w:cs="Arial" w:hAnsi="Arial"/>
          <w:b/>
          <w:bCs/>
          <w:color w:val="1B6B7A"/>
          <w:sz w:val="28"/>
          <w:szCs w:val="28"/>
          <w:rtl/>
        </w:rPr>
        <w:t xml:space="preserve">عقد التشغيل المقفل</w:t>
      </w:r>
      <w:bookmarkEnd w:id="100007"/>
    </w:p>
    <w:p>
      <w:pPr>
        <w:bidi/>
        <w:spacing w:after="120" w:line="312"/>
        <w:jc w:val="start"/>
      </w:pPr>
      <w:r>
        <w:rPr>
          <w:rFonts w:ascii="Arial" w:cs="Arial" w:hAnsi="Arial"/>
          <w:color w:val="000000"/>
          <w:sz w:val="24"/>
          <w:szCs w:val="24"/>
          <w:rtl/>
        </w:rPr>
        <w:t xml:space="preserve">سُجّل عقد التشغيل SI-BATCH1-20260926 تحت v4.1 Candidate بتاريخ 2026-09-26: الهدف الأول هو استخبارات الأسعار (Price Intelligence) مع اكتشاف الموردين آليةً رئيسة وتتبع المنبع والشرعية وإعادة البيع أبعادًا مساندة لا تحل محل الهدف؛ والنطاق برنامج كتالوج من 400+ SKU رقمي مقسم داخليًا إلى دفعات، والدورة الحالية هي الدفعة الأولى؛ والاكتشاف عالمي بلا استبعاد جغرافي مع مطابقة SKU واعية بالمناطق؛ وبلا سقف سعري مفروض؛ وبتقييم كمي متعدد السيناريوهات (وحدة واحدة، 2–10، جملة، وطبقات Volume/VIP/Dealer/Distributor/Partner/MOQ/تفاوضية تُحفظ منفصلة لا تُعمَّم)؛ والمخرجات المتعاقد عليها: صفحة ويب + ملف Markdown متطابقان دلاليًا. صنّف التعقيد C4 بسقف 96 Research Action واحتياطي 24 (25%) وسقف فرع واحد 35%. عولج حقل SKU الحاجب (Blocking) ببرنامج الكتالوج هذا، وسُجّلت بصدق حدود الأدوات: البحث عبر مقاطع فقط افتراضيًا، وحماية بعض المواقع تمنع الجلب المباشر، ولا وصول إلى Telegram، ولا قدرة معاملات إطلاقًا.</w:t>
      </w:r>
    </w:p>
    <w:p>
      <w:pPr>
        <w:pStyle w:val="Heading2"/>
        <w:bidi/>
        <w:spacing w:after="120" w:before="240" w:line="312"/>
        <w:jc w:val="start"/>
      </w:pPr>
      <w:bookmarkStart w:id="100008" w:name="_Toc100008"/>
      <w:r>
        <w:rPr>
          <w:rFonts w:ascii="Arial" w:cs="Arial" w:hAnsi="Arial"/>
          <w:b/>
          <w:bCs/>
          <w:color w:val="1B6B7A"/>
          <w:sz w:val="28"/>
          <w:szCs w:val="28"/>
          <w:rtl/>
        </w:rPr>
        <w:t xml:space="preserve">نتائج التنفيذ الفعلية</w:t>
      </w:r>
      <w:bookmarkEnd w:id="100008"/>
    </w:p>
    <w:p>
      <w:pPr>
        <w:bidi/>
        <w:spacing w:after="120" w:line="312"/>
        <w:jc w:val="start"/>
      </w:pPr>
      <w:r>
        <w:rPr>
          <w:rFonts w:ascii="Arial" w:cs="Arial" w:hAnsi="Arial"/>
          <w:color w:val="000000"/>
          <w:sz w:val="24"/>
          <w:szCs w:val="24"/>
          <w:rtl/>
        </w:rPr>
        <w:t xml:space="preserve">استُهلك 76 من 96 إجراءً في خمس موجات (13 مرساة رسمية، 20 اكتشاف أسواق مع إعادات، 19 لـ MENA/B2B/SMM/الأرقام، 14 لأدلة مضادة وتوحيد كيانات، و10 تعافٍ)، مع 24 احتياطيًا لم يُمَس احترامًا لاستمرارية البرنامج. فشل 12 إجراءً بصدق (11 حد معدل استعلام + 1 بلا نتائج) واستُعيد 6 منها بتبديل البناء والتبريد، وصُنّفت البقايا Retrieval-Limited بأمانة. وصلت الـ15 SKU كلها حالات نهائية (مشبعة أو محدودة الاسترجاع)، مع 11 منها تحمل أدلة مرساة مجدولة: 8 بمستوى First-Party (Spotify وNetflix وNordVPN وSteam وiTunes وWindows 11 وMinecraft وeSIM عبر Airalo) و3 بمستوى Secondary (ChatGPT وGemini وPUBG)، و2 محدودة الاسترجاع بعد أربع محاولات لكل منها (Google Play وFree Fire)، و2 غير ذوات مرساة رسمية بطبيعتها (SMM والأرقام الافتراضية تُبحثان عند مستوى أرضية السوق).</w:t>
      </w:r>
    </w:p>
    <w:p>
      <w:pPr>
        <w:bidi/>
        <w:spacing w:after="120" w:line="312"/>
        <w:jc w:val="start"/>
      </w:pPr>
      <w:r>
        <w:rPr>
          <w:rFonts w:ascii="Arial" w:cs="Arial" w:hAnsi="Arial"/>
          <w:color w:val="000000"/>
          <w:sz w:val="24"/>
          <w:szCs w:val="24"/>
          <w:rtl/>
        </w:rPr>
        <w:t xml:space="preserve">الكيانات: 52 كيانًا متحققًا موثقًا (10 ناشرين رسميين، و4 بنية تحتية B2B — DT One وReloadly وDing وAl Momaiz — و38 سوقًا/بائعًا/خدمة عبر MENA وروسيا والأسواق العالمية)، إضافة إلى مجموعات بذور غير متحققة من أصل 73 بذرة تاريخية عوملت كلها كـ Unverified Leads في دفتر البنود المفتوحة ولم تُرقَّ إلى حقائق. الاكتشافات الهيكلية الخمس: (1) أكواد Steam الأمريكية تُتداول فوق قيمتها الاسمية في السوق الرمادية بنحو +8.5% بثلاثة أصول مستقلة؛ (2) متاجر MENA تبيع بطاقات أمريكية بقيمة ≈الاسمية؛ (3) تشتت سعري حقيقي في PUBG UC من 9.99$ رسميًا إلى 8.99$ عبر Midasbuy (رسمي الناشر) إلى 8.71$ في bittopup وصولًا إلى 4.99$ في cardsouq المُعلَّمة للمراجعة؛ (4) أرضية متاجر المفاتيح للبرمجيات بين 0.46€ و1.03€ مشروطة بكوبونات؛ (5) تأكيد DT One وReloadly وDing بوصفها بنية تحتية B2B علوية تغذي التعبئة عالميًا. ووُثّقت 4 أدلة مضادة ناجية (تقييد NordVPN لإعادة البيع، موقف Microsoft أن المفتاح ≠ الترخيص، نطاق اقتصاديات الاحتيال في bittopup، وتقارير غياب موزع معتمد).</w:t>
      </w:r>
    </w:p>
    <w:p>
      <w:pPr>
        <w:bidi/>
        <w:spacing w:after="120" w:line="312"/>
        <w:jc w:val="start"/>
      </w:pPr>
      <w:r>
        <w:rPr>
          <w:rFonts w:ascii="Arial" w:cs="Arial" w:hAnsi="Arial"/>
          <w:color w:val="000000"/>
          <w:sz w:val="24"/>
          <w:szCs w:val="24"/>
          <w:rtl/>
        </w:rPr>
        <w:t xml:space="preserve">بقيت أربع فرضيات مفتوحة بلا حسم (H1: عرض cardsouq إما ترويج حقيقي أو شروط تسليم مختلفة أو احتيال؛ H2: Turgame وDefinite Play كيان واحد؛ H3: متاجر MENA التجزئية تتزود من منصات B2B API؛ H4: مفاتيح Spotify لـ12 شهرًا بـ20.86$ منتجات مراجحة مناطقية)، و9 مطالبات غير محسومة، واقتراحا توسيع نطاق لم يُنفذا انتظارًا لتخويل المستخدم (إعادة توطين فئة Free Fire من 520 إلى 2000/2200 الملاحظة سوقيًا، وتعمّق في السوق الرمادي لاشتراكات AI). وسُجلت ستة مسارات لم تُبحث بعد بوضوح (Telegram، التاريخية/الأرشيفية، سلاسل الإحالة، شبكات الإعلانات، بصمات البنية التحتية، وتسعير B2B القائم على الحسابات). المخرجات النهائية: لوحة تحكم ويب RTL تحقق تشغيلها فعليًا عبر متصفح وكيل بستة تبويبات وبلا أخطاء، ومجموعة بيانات Markdown من 1745 سطرًا و13 قسمًا — وكلاهما من مصدر بيانات موحد واحد.</w:t>
      </w:r>
    </w:p>
    <w:p>
      <w:pPr>
        <w:pStyle w:val="Heading1"/>
        <w:bidi/>
        <w:spacing w:after="160" w:before="360" w:line="312"/>
        <w:jc w:val="start"/>
      </w:pPr>
      <w:bookmarkStart w:id="100009" w:name="_Toc100009"/>
      <w:r>
        <w:rPr>
          <w:rFonts w:ascii="Arial" w:cs="Arial" w:hAnsi="Arial"/>
          <w:b/>
          <w:bCs/>
          <w:color w:val="162235"/>
          <w:sz w:val="32"/>
          <w:szCs w:val="32"/>
          <w:rtl/>
        </w:rPr>
        <w:t xml:space="preserve">5. التدقيق المتقاطع: المحادثة ↔ Notion ↔ Runtime</w:t>
      </w:r>
      <w:bookmarkEnd w:id="100009"/>
    </w:p>
    <w:p>
      <w:pPr>
        <w:bidi/>
        <w:spacing w:after="120" w:line="312"/>
        <w:jc w:val="start"/>
      </w:pPr>
      <w:r>
        <w:rPr>
          <w:rFonts w:ascii="Arial" w:cs="Arial" w:hAnsi="Arial"/>
          <w:color w:val="000000"/>
          <w:sz w:val="24"/>
          <w:szCs w:val="24"/>
          <w:rtl/>
        </w:rPr>
        <w:t xml:space="preserve">جرت مطابقة كل مطالبة جوهرية في المحادثة المرجعية مقابل سجلات Notion وأدوات التشغيل المحلية. الجدول التالي يعرض الحكم التدقيقي لكل بند مع مصدره، والأحكام الأربعة الممكنة: مؤكد (بدليل مباشر من المصدر القانوني)، أو محل تضارب (مصدران يقولان شيئين مختلفين)، أو في المحادثة فقط (لم يوثّق في Notion بعد)، أو غير محسوم (الدليل غير كافٍ للحسم). أهم نتيجتين: أولًا، الإطار الزمني — الملخص المحادثي الذي وصل لبداية هذه الجلسة كان لقطة منتصف محادثة (قبل التنفيذ)، بينما أدوات التشغيل تثبت أن الدفعة الأولى نُفّذت حتى الاكتمال بعده؛ وثانيًا، فجوة الدليل — سجلَي الدورتين 4 و5 بنيا على لقطات شاشة لم تعرض مخرجات البحث الفعلية، والأدلة الكاملة موجودة محليًا ولم تصل إلى Notion.</w:t>
      </w:r>
    </w:p>
    <w:p>
      <w:pPr>
        <w:keepNext/>
        <w:bidi/>
        <w:spacing w:after="80" w:before="160" w:line="312"/>
        <w:jc w:val="start"/>
      </w:pPr>
      <w:r>
        <w:rPr>
          <w:rFonts w:ascii="Arial" w:cs="Arial" w:hAnsi="Arial"/>
          <w:b/>
          <w:bCs/>
          <w:color w:val="162235"/>
          <w:sz w:val="21"/>
          <w:szCs w:val="21"/>
          <w:rtl/>
        </w:rPr>
        <w:t xml:space="preserve">جدول 3: مصفوفة المطابقة المتقاطعة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gridCol w:w="100"/>
      </w:tblGrid>
      <w:tr>
        <w:trPr>
          <w:cantSplit/>
          <w:tblHeader/>
        </w:trPr>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البند</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المحادثة</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Notion</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أدوات التشغيل</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الحكم</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نطاق 400+ SKU</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متطلب تشغيل من المستخدم</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الدورة 4: Run+400 كملاحظة تشغيلية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program_scope في عقد التشغيل</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مؤكد كنطاق برنامج (لا كإنجاز بحث)</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حالة تنفيذ Batch 1</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الملخص الوارد: لم يبدأ التنفيذ</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الدورة 4: دفعة منفذة جزئيًا في اللقطات</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76 إجراءً + 15/15 SKU نهائية + مخرجات</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مؤكد منفذة — الملخص كان لقطة زمنية أبكر</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قبول v4.2 كـ Working Candidate</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رسالة المستخدم الحالية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 الإصدارات: سجل قبول صريح</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ذي صلة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مؤكد (ورافض للترقية إلى Approved)</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مخرجات البرنامج</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عقد مقفل: ويب + Markdown</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المرجع الحاكم: ثلاثة مخرجات تشمل Word</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Batch 1 سلّم مخرجين</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تضارب مفتوح — قرار مستخدم</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عدد الـanchors المقفلة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مذكور</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مذكور</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11 (skus.json) مقابل 9 (مصفوفة تغطية MD)</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تضارب داخلي في المخرجات — المصدر القانوني 11</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البذور التاريخية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~73 كيانًا كـ Unverified Leads</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قوائم المرجع الحاكم + سجل Stack Vault</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73 بذرة في عقد التشغيل والمجموعة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مؤكد 73 بذرة (بعد إزالة التكرار)</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إمكانية الوصول للصفحات الـ33</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قائمة المستخدم</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33/33 ظاهرة للتكامل</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ذي صلة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مؤكد — المرجع الحاكم صفحة مساحة لا قاعدة بيانات</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مصدر ProdSeller/Stack Vault</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 بذور المحادثة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الدورة 5: 404 غير متاح</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 تفاوض تاريخي كامل (450 سطرًا)</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محسوم — الموقع الحالي معطل والمحتوى التاريخي محفوظ</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مهمة المراقبة الأسبوعية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مذكورة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المرجع الحاكم: أُنشئت مهمة دورية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أثر لها في بيئة هذه الجلسة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يحتاج تحقق — حالتها الراهنة مجهولة</w:t>
            </w:r>
          </w:p>
        </w:tc>
      </w:tr>
    </w:tbl>
    <w:p>
      <w:pPr>
        <w:spacing w:after="120"/>
      </w:pPr>
    </w:p>
    <w:p>
      <w:pPr>
        <w:bidi/>
        <w:spacing w:after="120" w:line="312"/>
        <w:jc w:val="start"/>
      </w:pPr>
      <w:r>
        <w:rPr>
          <w:rFonts w:ascii="Arial" w:cs="Arial" w:hAnsi="Arial"/>
          <w:color w:val="000000"/>
          <w:sz w:val="24"/>
          <w:szCs w:val="24"/>
          <w:rtl/>
        </w:rPr>
        <w:t xml:space="preserve">نتيجة جوهرية إضافية من المطابقة: مجهولات الدورة 5 الثلاثة التي سجّلها Claude حرفيًا (هل أنتجت الإجراءات نتائج فعلية؟ وهل مُورست استمرارية الكيانات بين الدفعات؟ وهل أرقام البذور والـ400+ SKU قابلة للتتبع؟) أصبحت قابلة للإجابة الآن: نعم للإجراءات والنتائج (76 إجراءً و52 عرضًا و4 اكتشافات هيكلية موثقة)؛ ولا لاستمرارية الكيانات بين الدفعات (لم تُمارَس بعد لأنها تتطلب دفعة ثانية تحت v4.2 — وهذا تحديدًا ما صُمم القسم 8.2 الجديد لاختباره)؛ ونعم جزئيًا لتتبع الأرقام (73 بذرة مثبتة في عقد التشغيل وقوائم المرجع، و400+ مثبتة كنطاق برنامج معلن لا ككتالوج مبني — انظر الفجوة G1). إيصال هذه الإجابات إلى Notion عبر حزمة التحديثات المعلقة يرفع دقة قاعدة المعرفة دون أن يعادل اختبارًا حيًا متعدد الدفعات.</w:t>
      </w:r>
    </w:p>
    <w:p>
      <w:pPr>
        <w:pStyle w:val="Heading1"/>
        <w:bidi/>
        <w:spacing w:after="160" w:before="360" w:line="312"/>
        <w:jc w:val="start"/>
      </w:pPr>
      <w:bookmarkStart w:id="100010" w:name="_Toc100010"/>
      <w:r>
        <w:rPr>
          <w:rFonts w:ascii="Arial" w:cs="Arial" w:hAnsi="Arial"/>
          <w:b/>
          <w:bCs/>
          <w:color w:val="162235"/>
          <w:sz w:val="32"/>
          <w:szCs w:val="32"/>
          <w:rtl/>
        </w:rPr>
        <w:t xml:space="preserve">6. سجل التناقضات المكتشفة وحلولها</w:t>
      </w:r>
      <w:bookmarkEnd w:id="100010"/>
    </w:p>
    <w:p>
      <w:pPr>
        <w:bidi/>
        <w:spacing w:after="120" w:line="312"/>
        <w:jc w:val="start"/>
      </w:pPr>
      <w:r>
        <w:rPr>
          <w:rFonts w:ascii="Arial" w:cs="Arial" w:hAnsi="Arial"/>
          <w:color w:val="000000"/>
          <w:sz w:val="24"/>
          <w:szCs w:val="24"/>
          <w:rtl/>
        </w:rPr>
        <w:t xml:space="preserve">رُقّمت التناقضات وفق الصيغة الحاكمة [رقم] – [الثغرة] – [السبب] – [درجة الخطورة]، مع الحل المقترح أو المُطبَّق لكل منها. القاعدة المتبعة: التناقض لا يُحسم بالتخمين بل بإحالته إلى المصدر القانوني، وما لا يملك المستخدم وحده حسمه يُحوَّل إلى قرار مفتوح ولا يُجاب نيابةً عنه.</w:t>
      </w:r>
    </w:p>
    <w:p>
      <w:pPr>
        <w:keepNext/>
        <w:bidi/>
        <w:spacing w:after="80" w:before="160" w:line="312"/>
        <w:jc w:val="start"/>
      </w:pPr>
      <w:r>
        <w:rPr>
          <w:rFonts w:ascii="Arial" w:cs="Arial" w:hAnsi="Arial"/>
          <w:b/>
          <w:bCs/>
          <w:color w:val="162235"/>
          <w:sz w:val="21"/>
          <w:szCs w:val="21"/>
          <w:rtl/>
        </w:rPr>
        <w:t xml:space="preserve">جدول 4: سجل التناقضات مرتبًا من الأخطر إلى الأقل</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gridCol w:w="100"/>
      </w:tblGrid>
      <w:tr>
        <w:trPr>
          <w:cantSplit/>
          <w:tblHeader/>
        </w:trPr>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الثغرة</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السبب الجوهري</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الخطورة</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الحل</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اشتراط المرجع الحاكم ثلاثة مخرجات (ويب + Word + Markdown) مقابل عقد تشغيل Batch 1 المقفل على مخرجين (ويب + Markdown) فقط</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عقد الجلسة ضيّق النطاق دون تحديث المرجع الحاكم أو تسجيل قرار صريح بإسقاط مخرج Word</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حرجة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قرار مستخدم D2: إما اعتماد المعيار الثلاثي للبرنامج أو تحديث المرجع الحاكم رسميًا إلى مخرجين — والحالة الحالية عدم اتساق موثق</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صفحة بروتوكول التشغيل ما زالت تقول: المرشح الحالي v4.1 والخطوة التالية تحقق Claude المستقل لـ v4.1</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كُتبت قبل الدورة 5 (17:58Z) وتطورت الصفحة بإلحاقات دون مزامنة قسم الحالة الحالية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مُعالج في حزمة التحديثات المعلقة: نص مزامنة مقترح للقسم يعكس v4.2 كـ Working Candidate</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3</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عدّ الـanchors المقفلة: 9 في مصفوفة التغطية وسجل التدقيق داخل ملف MD مقابل 11 في skus.json (المصدر القانوني) وسجل العمل</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ملف MD وُلّد من حالة وسيطة قبل تصفية نهائية للأدلة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محسوم تدقيقيًا لصالح 11 (8 First-Party + 3 Secondary)؛ التصحيح مُدرج في حزمة التحديثات لإصدار v1.1 من المجموعة</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أعداد الكيانات تتذبذب بين 52 متحققًا + 14 مجموعة بذور (تذييل المجموعة) و57 إجمالًا: 45 نشطًا/خيطًا + 12 مجموعة (سجل التدقيق)</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قصّان مختلفان للتصنيف (ترقيم ENT مقابل الحالة الفعلية) دون جدول تسوية موحد</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التسوية موثقة في هذا التقرير (52 كيانًا برقم ENT مع 5 فجوات ترقيم) + توصية بجدول تسوية إلزامي في v1.1</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5</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بيانات v4.2 الوصفية تقول Tests Passed بينما متنها وتدقيق ChatGPT يقولان: لم تُختبر حيًّا بعد</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لغة التحقق بالبناء أقوى مما تسمح الأدلة — وقد صحّحها تدقيق ChatGPT رسميًا</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محسوم: اعتماد لغة التدقيق («معالجة بنيوية — تحقق تصميمي») عند الاستشهاد بـ v4.2، وهو المعتمد في هذا التقرير</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6</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تعارض توجيهي داخل رسالة المستخدم: تحديث المعرفة في Notion مقابل قصر الصفحات الـ33 على القراءة فقط</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التعليق الأحدث والأكثر تحديدًا (القراءة فقط) يغلب التفويض العام السابق (DEC-4) في هذه الجلسة تحديدًا</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محسوم منهجيًا: قراءة صارمة فقط + حزمة تحديثات معلقة جاهزة للارتكاب عبر القناة المخوّلة</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7</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تاريخ ملف global_digital_suppliers_database مكتوب 2025-09-25 بينما الملفات الأحدث 2026-09-25</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معلوم ومسجل مسبقًا في المرجع الحاكم (قسم 16) كتعارض لا يُحسم بالتخمين</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طفيفة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يبقى محفوظًا كمرجع تاريخي وفق قاعدة الحوكمة — لا يُفترض خطأً دون دليل</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8</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عنوانا سجلي SMM وVN في المجموعة يظهران undefined undefined بدل اسم المنتج</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حقل هوية المنتج لم يُملأ لهذين الـSKU لأنهما يُبحثان عند مستوى أرضية السوق لا مستوى العلامة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طفيفة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تصحيح تسمية مُدرج في حزمة التحديثات (v1.1): «أرضية سوق SMM — 1000 متابع» و«أرضية سوق الأرقام الافتراضية»</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صياغات عدد العروض تتذبذب: 52 عرضًا عبر 13 SKU (سجل العمل والتذييل) مقابل 40+ عرضًا عبر 9 SKU (مصفوفة التغطية)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قص عدّ مختلف (لحظة توليد المصفوفة مقابل النهاية)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طفيفة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المعتمد: 52 عرضًا / 13 SKU (التذييل النهائي + سجل العمل) — وتوحيد الصياغة في v1.1</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10</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توتر حوكيمي غير تناقضي: البرنامج ينفّذ على مرشحين غير معتمدين بينما بوابة الاعتماد الأولي مفتوحة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التنفيذ بغرض الاختبار مسموح ومصمم له، لكن الترقية مسدودة بنيويًا حتى حسم Bootstrap</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 (توتر موثق)</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قرار مستخدم D1 — والاختبار الحي متعدد الدفعات المطلوب للترقية هو نفسه الدفعة الثانية المقترحة</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11</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تكامل «موردين» في Notion يرى 925 كائنًا عبر كل مشاريع المساحة، والحماية تعتمد على الانضباط لا العزل التقني</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التشارك تم على مستوى المساحة لا على مستوى الصفحات المشروعية فقط</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طفيفة (أمنية)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التزم هذا التقرير بعزل النطاق يدويًا؛ التوصية: تقييد تشارك التكامل بصفحات المشروع عند إعادة توليد التوكن (D5)</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12</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القائمة المعلنة من المستخدم تعدّ 33 صفحة والمرجع الحاكم مذكور مرتين (كبند أول وكمرجع رئيسي)</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تكرار سردي لا يغير المحتوى — والمطابقة الفعلية 33/33 صفحة فريدة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طفيفة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محسوم توثيقيًا: 33 صفحة فريدة (المرجع الحاكم صفحة مساحة واحدة تضم صفحات المصادر الأربع أبناءً لها)</w:t>
            </w:r>
          </w:p>
        </w:tc>
      </w:tr>
    </w:tbl>
    <w:p>
      <w:pPr>
        <w:spacing w:after="120"/>
      </w:pPr>
    </w:p>
    <w:p>
      <w:pPr>
        <w:bidi/>
        <w:spacing w:after="120" w:line="312"/>
        <w:jc w:val="start"/>
      </w:pPr>
      <w:r>
        <w:rPr>
          <w:rFonts w:ascii="Arial" w:cs="Arial" w:hAnsi="Arial"/>
          <w:color w:val="000000"/>
          <w:sz w:val="24"/>
          <w:szCs w:val="24"/>
          <w:rtl/>
        </w:rPr>
        <w:t xml:space="preserve">لا يخفي هذا السجل أي ثغرة لتقوية موقف مقترح: التناقض رقم 1 تحديدًا يعني أن الدفعة الأولى سلّمت أقل من المعيار الحاكم بمخرج واحد كامل (ملف Word المرجعي الذي سبق للجلسة البحثية السابقة في 2026-09-25 أن سلّمته فعليًا بواقع 83 صفحة)، وأن أي استمرار للبرنامج دون حسم هذا القرار سيراكم عدم اتساقًا بين المرجع الأعلى والمخرجات الفعلية. كما أن التناقضين 2 و3 يثبتان أن آلية المزامنة بين أسطح الحالة المختلفة (قاعدة بيانات JSON، وملف MD، وصفحات Notion) تحتاج بروتوكول الاتساق الموثق في القسم الحادي عشر من هذا التقرير، وإلا تكرر الانحراف مع كل دفعة جديدة.</w:t>
      </w:r>
    </w:p>
    <w:p>
      <w:pPr>
        <w:pStyle w:val="Heading1"/>
        <w:bidi/>
        <w:spacing w:after="160" w:before="360" w:line="312"/>
        <w:jc w:val="start"/>
      </w:pPr>
      <w:bookmarkStart w:id="100011" w:name="_Toc100011"/>
      <w:r>
        <w:rPr>
          <w:rFonts w:ascii="Arial" w:cs="Arial" w:hAnsi="Arial"/>
          <w:b/>
          <w:bCs/>
          <w:color w:val="162235"/>
          <w:sz w:val="32"/>
          <w:szCs w:val="32"/>
          <w:rtl/>
        </w:rPr>
        <w:t xml:space="preserve">7. سجل الفجوات وحلولها المقترحة</w:t>
      </w:r>
      <w:bookmarkEnd w:id="100011"/>
    </w:p>
    <w:p>
      <w:pPr>
        <w:bidi/>
        <w:spacing w:after="120" w:line="312"/>
        <w:jc w:val="start"/>
      </w:pPr>
      <w:r>
        <w:rPr>
          <w:rFonts w:ascii="Arial" w:cs="Arial" w:hAnsi="Arial"/>
          <w:color w:val="000000"/>
          <w:sz w:val="24"/>
          <w:szCs w:val="24"/>
          <w:rtl/>
        </w:rPr>
        <w:t xml:space="preserve">الفجوة ليست عيبًا في ما نفذ بل غياب عنصر لازم لاستمرار البرنامج على النحو المخطط. رُتبت الفجوات بحسب أثرها على المسار الحرج (تشغيل الدفعة الثانية وتحقيق شروط اعتماد v4.2)، مع حل مقترح قابل للتنفيذ لكل فجوة ومالك التنفيذ.</w:t>
      </w:r>
    </w:p>
    <w:p>
      <w:pPr>
        <w:keepNext/>
        <w:bidi/>
        <w:spacing w:after="80" w:before="160" w:line="312"/>
        <w:jc w:val="start"/>
      </w:pPr>
      <w:r>
        <w:rPr>
          <w:rFonts w:ascii="Arial" w:cs="Arial" w:hAnsi="Arial"/>
          <w:b/>
          <w:bCs/>
          <w:color w:val="162235"/>
          <w:sz w:val="21"/>
          <w:szCs w:val="21"/>
          <w:rtl/>
        </w:rPr>
        <w:t xml:space="preserve">جدول 5: سجل الفجوات</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gridCol w:w="100"/>
      </w:tblGrid>
      <w:tr>
        <w:trPr>
          <w:cantSplit/>
          <w:tblHeader/>
        </w:trPr>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الفجوة</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الأثر</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الحل المقترح</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المالك</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G1</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يوجد manifest لكتالوج 400+ SKU: قائمة الخدمات المستخرجة من الصور (220+ خدمة في 11 فئة) لم تُحوَّل بعد إلى كتالوج هويات SKU قابلة للتنفيذ</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الدفعة الثانية لا تملك قائمة SKU معرفة؛ وv4.2 يعرّف بنية الكتالوج دون محتواه</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المرحلة الأولى من الدفعة الثانية: توليد الكتالوج من قائمة الخدمات + العائلات العشر بقاعدة الفئة ≠ SKU (كل خدمة تتفرع إلى خطة/مدة/منطقة/نوع حساب عند اختلاف القيمة التجارية)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محرك z.ai بتخويل المستخدم</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G2</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نتائج Batch 1 الكاملة (76 إجراءً، 52 عرضًا، 52 كيانًا، سجل تدقيق) غائبة عن Notion — قاعدة المعرفة تعرف عنها فقط عبر لقطات الدورة 4</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حجج v4.2 التحققية أضعف من الأدلة المتاحة؛ ومجهولات الدورة 5 بلا إجابة موثقة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حزمة التحديثات المعلقة المرفقة: سجل الدورة 6 + ملخص أدلة التشغيل + مزامنات الحالة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المستخدم عبر القناة المخولة</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G3</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استمرارية الكيانات بين الدفعات (v4.2 §8.2) لم تُمارَس أبدًا</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شرط الترقية (اختبار حي متعدد الدفعات) غير محقق بعد</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تشغيل الدفعة الثانية تحت v4.2 مع تمرير كيانات Batch 1 الـ52 ككيانات قائمة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محرك z.ai</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G4</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الانحدار التنافسي (Adversarial Regression) غير منفذ</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شرط ترقية ثانٍ غير محقق</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دمج تمرير تنافسي صريح في الدفعة الثانية أو دورة اختبار مخصصة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محرك z.ai بتخويل المستخدم</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G5</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مخرج Word غائب عن Batch 1 (مرتبط بالتناقض 1)</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عدم اتساق مع المرجع الحاكم إن اعتُمد المعيار الثلاثي</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ينتظر قرار D2؛ وإن اعتُمد الثلاثي فيُولَّد من مصدر البيانات الموحد نفسه</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محرك z.ai</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G6</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حالة مهمة المراقبة الأسبوعية المزعومة غير معروفة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قد تكون الأسعار تتقادم بلا رصد منذ 2026-09-26</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تحقق المستخدم من وجود المهمة وتشغيلها، وربطها بحقول Last Checked</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المستخدم</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G7</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توكن Notion مكشوف بنص صريح في المحادثة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خطر وصول غير مصرح به لقاعدة المعرفة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تدوير فوري للتوكن بعد هذه الجلسة + تقييد التشارك بصفحات المشروع</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المستخدم</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G8</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مجموعتا حجر بحالة مراجعة (خيوط SheerID المجاورة واشتراكات الحسابات المشتركة) بانتظار قرار إنساني</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يمكن ترقيتها أو استبعادها بالوكيل</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قرار مستخدم D4 بعد عرض الأدلة في مجموعة البيانات (قسم 10)</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المستخدم</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توحيد الكيانات المعلق: H2 (Turgame وDefinite Play كيان واحد؟) وتراكب Xbox/Microsoft (حُل عمليًا بالدمج في ENT-006)</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ازدواجية محتملة في الرسم البياني للموردين عبر الدفعات</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تمرير H2 كفرضية نشطة إلى الدفعة الثانية ضمن آلية الفرضيات، لا حسمها بالتخمين</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محرك z.ai</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G10</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مرساتان فاشلتان رغم أربع محاولات لكل منهما (Google Play وFree Fire) واقتراح إعادة توطين فئة Free Fire معلق</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فجوة تغطية معلنة بأمانة في Batch 1</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إعادة محاولة ببناء استعلام مختلف في الدفعة الثانية أو قبول Retrieval-Limited كحالة نهائية موثقة + قرار D3 لإعادة التوطين</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محرك z.ai / المستخدم</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G11</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مصدرا ProdSeller وStack Vault غير مقروءَين (404 حاليًا) رغم وجود سجل تفاوض تاريخي كامل للأخير</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طرف سلسلة توريد محتمل غير مفحوص</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إمداد Claude بمحتوى السجل التاريخي عبر تسليم مضبوط إن لزم، مع بقاء الحالة 404 موثقة كواقعة حالية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المستخدم</w:t>
            </w:r>
          </w:p>
        </w:tc>
      </w:tr>
    </w:tbl>
    <w:p>
      <w:pPr>
        <w:spacing w:after="120"/>
      </w:pPr>
    </w:p>
    <w:p>
      <w:pPr>
        <w:pStyle w:val="Heading1"/>
        <w:bidi/>
        <w:spacing w:after="160" w:before="360" w:line="312"/>
        <w:jc w:val="start"/>
      </w:pPr>
      <w:bookmarkStart w:id="100012" w:name="_Toc100012"/>
      <w:r>
        <w:rPr>
          <w:rFonts w:ascii="Arial" w:cs="Arial" w:hAnsi="Arial"/>
          <w:b/>
          <w:bCs/>
          <w:color w:val="162235"/>
          <w:sz w:val="32"/>
          <w:szCs w:val="32"/>
          <w:rtl/>
        </w:rPr>
        <w:t xml:space="preserve">8. سجل المخاطر والاعتماديات</w:t>
      </w:r>
      <w:bookmarkEnd w:id="100012"/>
    </w:p>
    <w:p>
      <w:pPr>
        <w:bidi/>
        <w:spacing w:after="120" w:line="312"/>
        <w:jc w:val="start"/>
      </w:pPr>
      <w:r>
        <w:rPr>
          <w:rFonts w:ascii="Arial" w:cs="Arial" w:hAnsi="Arial"/>
          <w:color w:val="000000"/>
          <w:sz w:val="24"/>
          <w:szCs w:val="24"/>
          <w:rtl/>
        </w:rPr>
        <w:t xml:space="preserve">صُنّفت المخاطر بدرجات ثلاث (حرجة / متوسطة / طفيفة) وفق أثرها واحتمالها المستدل عليه من الأدلة، مع التخفيف القائم والمتبقي لكل منها. لا أرقام احتمالية مختلقة — التصنيف نوعي كما يفرض الإطار الحاكم.</w:t>
      </w:r>
    </w:p>
    <w:p>
      <w:pPr>
        <w:keepNext/>
        <w:bidi/>
        <w:spacing w:after="80" w:before="160" w:line="312"/>
        <w:jc w:val="start"/>
      </w:pPr>
      <w:r>
        <w:rPr>
          <w:rFonts w:ascii="Arial" w:cs="Arial" w:hAnsi="Arial"/>
          <w:b/>
          <w:bCs/>
          <w:color w:val="162235"/>
          <w:sz w:val="21"/>
          <w:szCs w:val="21"/>
          <w:rtl/>
        </w:rPr>
        <w:t xml:space="preserve">جدول 6: سجل المخاطر</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gridCol w:w="100"/>
      </w:tblGrid>
      <w:tr>
        <w:trPr>
          <w:cantSplit/>
          <w:tblHeader/>
        </w:trPr>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الخطر</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الدرجة</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التخفيف القائم</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المتبقي</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R1</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دين حوكمة: تنفيذ برنامج كامل على مرشحين غير معتمدين — إن فشل v4.2 في الاختبار الحي احتاجت البيانات إعادة تحقق تحت النسخة المصححة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v4.2 إضافي فقط (يحفظ v4.1 كاملة) فصحة بيانات الدفعات غير مهددة بنيويًا؛ والاختبار الحي منصوص كشرط ترقية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حسم Bootstrap ثم التشغيل الحي متعدد الدفعات</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R2</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تفتت المعرفة وانحراف الحالة: الحالة موزعة على Notion + بيئة z.ai + محادثات الوكلاء، وقد أنتجت فعليًا مؤشرات متقادمة (التناقضان 2 و3)</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حرجة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بروتوكول الاتساق المفعّل في هذا التقرير + حزمة التحديثات المعلقة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اعتماد البروتوكول عرفًا دائمًا لكل جلسة</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R3</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تقادم الأسعار: آخر فحص 2026-09-26 ومهمة المراقبة غير متحقق منها — ذكاء الأسعار يفقد قيمته سريعًا خاصة في SMM والأرقام الافتراضية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حرجة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حقول Last Checked إلزامية ومطبقة في كل العروض</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التحقق من المراقبة الأسبوعية (G6) وإعادة الفحص قبل أي قرار شرائي</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R4</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سقوف استرجاع دائمة: Telegram (28 خيط بوت غير قابل للتحقق) وتسعير B2B المحجوب خلف حسابات</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موثقة بأمانة كـ Retrieval-Limited ولا تُحول إلى عدم وجود</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رفع بلا تغيير وصول — تُدار كقيد معلن</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R5</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تكاليف تشغيلية: حدود المعدل استهلكت 11 من 76 إجراءً (14%) ونمط نتائج خبيث (scribd) لوّث نحو 6 استعلامات</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استراتيجية تبديل البناء والتبريد استعادت 6 إخفاقات</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تحسين هندسة الاستعلام في الدفعات اللاحقة وتنويع المحركات</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R6</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حالات مراجعة السوق الرمادية (حسابات مشتركة، خيوط SheerID) قد تُروَّج دون قرار إنساني عن طريق الخطأ</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قواعد الحجر مطبقة والإشارة بلا دليل كافٍ تبقى حالة مراجعة لا اتهامًا</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قرار المستخدم D4</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R7</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أمني: توكن Notion مكشوف في نص المحادثة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حرجة (فورية)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شيء — غير قابل للتخفيف دون فعل</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تدوير التوكن فورًا (G7)</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R8</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عنق زجاجة النقل: الترحيل بين الوكلاء يدوي عبر المستخدم، وقد أنتج فشل الدورة 1 (غياب الملف) أصلًا</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بوابات توفر المُنتَج صارت إلزامية في بروتوكول التسليم</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يبقى هيكليًا حتى أتمتة نقل معتمدة لاحقًا</w:t>
            </w:r>
          </w:p>
        </w:tc>
      </w:tr>
    </w:tbl>
    <w:p>
      <w:pPr>
        <w:spacing w:after="120"/>
      </w:pPr>
    </w:p>
    <w:p>
      <w:pPr>
        <w:bidi/>
        <w:spacing w:after="120" w:line="312"/>
        <w:jc w:val="start"/>
      </w:pPr>
      <w:r>
        <w:rPr>
          <w:rFonts w:ascii="Arial" w:cs="Arial" w:hAnsi="Arial"/>
          <w:color w:val="000000"/>
          <w:sz w:val="24"/>
          <w:szCs w:val="24"/>
          <w:rtl/>
        </w:rPr>
        <w:t xml:space="preserve">الاعتماديات الحرجة المترتبة: اعتماد v4.2 يعتمد على (الدفعة الثانية تحت v4.2) التي تعتمد على (manifest الكتالوج G1) الذي يعتمد على (تخويل المستخدم D7)؛ وكلها معلقة بدورها على (حسم بوابة Bootstrap D1) لأن الترقية بلا حسمها مسدودة بنيويًا مهما نجح الاختبار الحي. وبالمقابل، جودة بيانات الدفعات لا تعتمد على أي من قرارات الحوكمة — فالبيانات صالحة بالأدلة الموثقة ذاتها — وهذا فصل مقصود في التصميم بين صحة البحث واعتماد الأداة.</w:t>
      </w:r>
    </w:p>
    <w:p>
      <w:pPr>
        <w:pStyle w:val="Heading1"/>
        <w:bidi/>
        <w:spacing w:after="160" w:before="360" w:line="312"/>
        <w:jc w:val="start"/>
      </w:pPr>
      <w:bookmarkStart w:id="100013" w:name="_Toc100013"/>
      <w:r>
        <w:rPr>
          <w:rFonts w:ascii="Arial" w:cs="Arial" w:hAnsi="Arial"/>
          <w:b/>
          <w:bCs/>
          <w:color w:val="162235"/>
          <w:sz w:val="32"/>
          <w:szCs w:val="32"/>
          <w:rtl/>
        </w:rPr>
        <w:t xml:space="preserve">9. التصنيف المعرفي الرباعي</w:t>
      </w:r>
      <w:bookmarkEnd w:id="100013"/>
    </w:p>
    <w:p>
      <w:pPr>
        <w:bidi/>
        <w:spacing w:after="120" w:line="312"/>
        <w:jc w:val="start"/>
      </w:pPr>
      <w:r>
        <w:rPr>
          <w:rFonts w:ascii="Arial" w:cs="Arial" w:hAnsi="Arial"/>
          <w:color w:val="000000"/>
          <w:sz w:val="24"/>
          <w:szCs w:val="24"/>
          <w:rtl/>
        </w:rPr>
        <w:t xml:space="preserve">يفرق هذا القسم صراحة بين المعلومات المؤكدة بدليل، والمعلومات التي تحتاج تحققًا، والافتراضات غير المثبتة، والاستنتاجات، والتوصيات — وفق الإطار الحاكم المعتمد. كل بند يحيل إلى دليله، ولا يُعرض أي استنتاج أو افتراض بصيغة حقيقة.</w:t>
      </w:r>
    </w:p>
    <w:p>
      <w:pPr>
        <w:pStyle w:val="Heading2"/>
        <w:bidi/>
        <w:spacing w:after="120" w:before="240" w:line="312"/>
        <w:jc w:val="start"/>
      </w:pPr>
      <w:bookmarkStart w:id="100014" w:name="_Toc100014"/>
      <w:r>
        <w:rPr>
          <w:rFonts w:ascii="Arial" w:cs="Arial" w:hAnsi="Arial"/>
          <w:b/>
          <w:bCs/>
          <w:color w:val="1B6B7A"/>
          <w:sz w:val="28"/>
          <w:szCs w:val="28"/>
          <w:rtl/>
        </w:rPr>
        <w:t xml:space="preserve">أولًا: مؤكد بدليل مباشر</w:t>
      </w:r>
      <w:bookmarkEnd w:id="100014"/>
    </w:p>
    <w:p>
      <w:pPr>
        <w:pStyle w:val="ListParagraph"/>
        <w:numPr>
          <w:ilvl w:val="0"/>
          <w:numId w:val="1"/>
        </w:numPr>
        <w:bidi/>
        <w:spacing w:after="80" w:line="312"/>
        <w:jc w:val="start"/>
      </w:pPr>
      <w:r>
        <w:rPr>
          <w:rFonts w:ascii="Arial" w:cs="Arial" w:hAnsi="Arial"/>
          <w:color w:val="000000"/>
          <w:sz w:val="23"/>
          <w:szCs w:val="23"/>
          <w:rtl/>
        </w:rPr>
        <w:t xml:space="preserve">لا يوجد Prompt معتمد في السجل القانوني؛ v4.2 مرشح عمل مقبول من المستخدم وغير مرقى — الدليل: سجل الإصدارات (صفوف v4.0/v4.1/v4.2 بحقل Canonical غير محدد) وسجل Canonical (قسم Current Prompt State).</w:t>
      </w:r>
    </w:p>
    <w:p>
      <w:pPr>
        <w:pStyle w:val="ListParagraph"/>
        <w:numPr>
          <w:ilvl w:val="0"/>
          <w:numId w:val="1"/>
        </w:numPr>
        <w:bidi/>
        <w:spacing w:after="80" w:line="312"/>
        <w:jc w:val="start"/>
      </w:pPr>
      <w:r>
        <w:rPr>
          <w:rFonts w:ascii="Arial" w:cs="Arial" w:hAnsi="Arial"/>
          <w:color w:val="000000"/>
          <w:sz w:val="23"/>
          <w:szCs w:val="23"/>
          <w:rtl/>
        </w:rPr>
        <w:t xml:space="preserve">بوابة الاعتماد الأولي قرار مفتوح منذ الدورة 1 لم يُحسم — الدليل: سجل القرارات (حالة Open وحقل User Decision = Required).</w:t>
      </w:r>
    </w:p>
    <w:p>
      <w:pPr>
        <w:pStyle w:val="ListParagraph"/>
        <w:numPr>
          <w:ilvl w:val="0"/>
          <w:numId w:val="1"/>
        </w:numPr>
        <w:bidi/>
        <w:spacing w:after="80" w:line="312"/>
        <w:jc w:val="start"/>
      </w:pPr>
      <w:r>
        <w:rPr>
          <w:rFonts w:ascii="Arial" w:cs="Arial" w:hAnsi="Arial"/>
          <w:color w:val="000000"/>
          <w:sz w:val="23"/>
          <w:szCs w:val="23"/>
          <w:rtl/>
        </w:rPr>
        <w:t xml:space="preserve">Batch 1 نُفّذت حتى حالاتها النهائية: 76/96 إجراءً، 15/15 SKU، احتياطي 24 سليمًا — الدليل: budget.json وskus.json وملف الإجراءات وسجل العمل.</w:t>
      </w:r>
    </w:p>
    <w:p>
      <w:pPr>
        <w:pStyle w:val="ListParagraph"/>
        <w:numPr>
          <w:ilvl w:val="0"/>
          <w:numId w:val="1"/>
        </w:numPr>
        <w:bidi/>
        <w:spacing w:after="80" w:line="312"/>
        <w:jc w:val="start"/>
      </w:pPr>
      <w:r>
        <w:rPr>
          <w:rFonts w:ascii="Arial" w:cs="Arial" w:hAnsi="Arial"/>
          <w:color w:val="000000"/>
          <w:sz w:val="23"/>
          <w:szCs w:val="23"/>
          <w:rtl/>
        </w:rPr>
        <w:t xml:space="preserve">أدلة المرساة: 8 First-Party + 3 Secondary + 2 Retrieval-Limited + 2 غير ذات مرساة — الدليل: حقل official_anchor لكل SKU في skus.json (المصدر القانوني المعتمد هنا على مصفوفة MD المتضاربة).</w:t>
      </w:r>
    </w:p>
    <w:p>
      <w:pPr>
        <w:pStyle w:val="ListParagraph"/>
        <w:numPr>
          <w:ilvl w:val="0"/>
          <w:numId w:val="1"/>
        </w:numPr>
        <w:bidi/>
        <w:spacing w:after="80" w:line="312"/>
        <w:jc w:val="start"/>
      </w:pPr>
      <w:r>
        <w:rPr>
          <w:rFonts w:ascii="Arial" w:cs="Arial" w:hAnsi="Arial"/>
          <w:color w:val="000000"/>
          <w:sz w:val="23"/>
          <w:szCs w:val="23"/>
          <w:rtl/>
        </w:rPr>
        <w:t xml:space="preserve">52 كيانًا متحققًا (10 ناشرين + 4 B2B + 38 سوقًا) — الدليل: ملفات entities الثلاثة وأقسام المجموعة §5.</w:t>
      </w:r>
    </w:p>
    <w:p>
      <w:pPr>
        <w:pStyle w:val="ListParagraph"/>
        <w:numPr>
          <w:ilvl w:val="0"/>
          <w:numId w:val="1"/>
        </w:numPr>
        <w:bidi/>
        <w:spacing w:after="80" w:line="312"/>
        <w:jc w:val="start"/>
      </w:pPr>
      <w:r>
        <w:rPr>
          <w:rFonts w:ascii="Arial" w:cs="Arial" w:hAnsi="Arial"/>
          <w:color w:val="000000"/>
          <w:sz w:val="23"/>
          <w:szCs w:val="23"/>
          <w:rtl/>
        </w:rPr>
        <w:t xml:space="preserve">نتائج الدورتين 4 و5 بُنيت على لقطات شاشة توقفت قبل مخرجات البحث — الدليل: نص الدورة 5 نفسه (قسم المصادر والمجهولات).</w:t>
      </w:r>
    </w:p>
    <w:p>
      <w:pPr>
        <w:pStyle w:val="ListParagraph"/>
        <w:numPr>
          <w:ilvl w:val="0"/>
          <w:numId w:val="1"/>
        </w:numPr>
        <w:bidi/>
        <w:spacing w:after="80" w:line="312"/>
        <w:jc w:val="start"/>
      </w:pPr>
      <w:r>
        <w:rPr>
          <w:rFonts w:ascii="Arial" w:cs="Arial" w:hAnsi="Arial"/>
          <w:color w:val="000000"/>
          <w:sz w:val="23"/>
          <w:szCs w:val="23"/>
          <w:rtl/>
        </w:rPr>
        <w:t xml:space="preserve">الجلسة البحثية السابقة (2026-09-25) سلّمت ثلاثة مخرجات فعلًا (ويب + Word 83 صفحة + Markdown) لـ14 SKU و39 كيانًا — الدليل: صفحة progress.md.</w:t>
      </w:r>
    </w:p>
    <w:p>
      <w:pPr>
        <w:pStyle w:val="Heading2"/>
        <w:bidi/>
        <w:spacing w:after="120" w:before="240" w:line="312"/>
        <w:jc w:val="start"/>
      </w:pPr>
      <w:bookmarkStart w:id="100015" w:name="_Toc100015"/>
      <w:r>
        <w:rPr>
          <w:rFonts w:ascii="Arial" w:cs="Arial" w:hAnsi="Arial"/>
          <w:b/>
          <w:bCs/>
          <w:color w:val="1B6B7A"/>
          <w:sz w:val="28"/>
          <w:szCs w:val="28"/>
          <w:rtl/>
        </w:rPr>
        <w:t xml:space="preserve">ثانيًا: يحتاج تحققًا</w:t>
      </w:r>
      <w:bookmarkEnd w:id="100015"/>
    </w:p>
    <w:p>
      <w:pPr>
        <w:pStyle w:val="ListParagraph"/>
        <w:numPr>
          <w:ilvl w:val="0"/>
          <w:numId w:val="1"/>
        </w:numPr>
        <w:bidi/>
        <w:spacing w:after="80" w:line="312"/>
        <w:jc w:val="start"/>
      </w:pPr>
      <w:r>
        <w:rPr>
          <w:rFonts w:ascii="Arial" w:cs="Arial" w:hAnsi="Arial"/>
          <w:color w:val="000000"/>
          <w:sz w:val="23"/>
          <w:szCs w:val="23"/>
          <w:rtl/>
        </w:rPr>
        <w:t xml:space="preserve">حالة مهمة المراقبة الأسبوعية للأسعار (مسجلة كمنشأة في المرجع الحاكم؛ لا أثر لها في بيئة الجلسة الحالية).</w:t>
      </w:r>
    </w:p>
    <w:p>
      <w:pPr>
        <w:pStyle w:val="ListParagraph"/>
        <w:numPr>
          <w:ilvl w:val="0"/>
          <w:numId w:val="1"/>
        </w:numPr>
        <w:bidi/>
        <w:spacing w:after="80" w:line="312"/>
        <w:jc w:val="start"/>
      </w:pPr>
      <w:r>
        <w:rPr>
          <w:rFonts w:ascii="Arial" w:cs="Arial" w:hAnsi="Arial"/>
          <w:color w:val="000000"/>
          <w:sz w:val="23"/>
          <w:szCs w:val="23"/>
          <w:rtl/>
        </w:rPr>
        <w:t xml:space="preserve">الوضع الراهن لمصدر Stack Vault/ProdSeller (404 موثق في الدورة 5؛ السجل التاريخي محفوظ؛ لا ما يؤكد تغير الحالة).</w:t>
      </w:r>
    </w:p>
    <w:p>
      <w:pPr>
        <w:pStyle w:val="ListParagraph"/>
        <w:numPr>
          <w:ilvl w:val="0"/>
          <w:numId w:val="1"/>
        </w:numPr>
        <w:bidi/>
        <w:spacing w:after="80" w:line="312"/>
        <w:jc w:val="start"/>
      </w:pPr>
      <w:r>
        <w:rPr>
          <w:rFonts w:ascii="Arial" w:cs="Arial" w:hAnsi="Arial"/>
          <w:color w:val="000000"/>
          <w:sz w:val="23"/>
          <w:szCs w:val="23"/>
          <w:rtl/>
        </w:rPr>
        <w:t xml:space="preserve">عدد مجموعات البذور غير المتحققة (14 وفق تذييل المجموعة مقابل 12 وفق سجل التدقيق — يحتاج جدول تسوية).</w:t>
      </w:r>
    </w:p>
    <w:p>
      <w:pPr>
        <w:pStyle w:val="ListParagraph"/>
        <w:numPr>
          <w:ilvl w:val="0"/>
          <w:numId w:val="1"/>
        </w:numPr>
        <w:bidi/>
        <w:spacing w:after="80" w:line="312"/>
        <w:jc w:val="start"/>
      </w:pPr>
      <w:r>
        <w:rPr>
          <w:rFonts w:ascii="Arial" w:cs="Arial" w:hAnsi="Arial"/>
          <w:color w:val="000000"/>
          <w:sz w:val="23"/>
          <w:szCs w:val="23"/>
          <w:rtl/>
        </w:rPr>
        <w:t xml:space="preserve">أي سعر من أسعار Batch 1 بوصفه حاليًا الآن — كل الأسعار مقيدة بتاريخ الفحص 2026-09-26 بحكم التصميم.</w:t>
      </w:r>
    </w:p>
    <w:p>
      <w:pPr>
        <w:pStyle w:val="Heading2"/>
        <w:bidi/>
        <w:spacing w:after="120" w:before="240" w:line="312"/>
        <w:jc w:val="start"/>
      </w:pPr>
      <w:bookmarkStart w:id="100016" w:name="_Toc100016"/>
      <w:r>
        <w:rPr>
          <w:rFonts w:ascii="Arial" w:cs="Arial" w:hAnsi="Arial"/>
          <w:b/>
          <w:bCs/>
          <w:color w:val="1B6B7A"/>
          <w:sz w:val="28"/>
          <w:szCs w:val="28"/>
          <w:rtl/>
        </w:rPr>
        <w:t xml:space="preserve">ثالثًا: افتراضات غير مثبتة (تُعرض كافتراضات فقط)</w:t>
      </w:r>
      <w:bookmarkEnd w:id="100016"/>
    </w:p>
    <w:p>
      <w:pPr>
        <w:pStyle w:val="ListParagraph"/>
        <w:numPr>
          <w:ilvl w:val="0"/>
          <w:numId w:val="1"/>
        </w:numPr>
        <w:bidi/>
        <w:spacing w:after="80" w:line="312"/>
        <w:jc w:val="start"/>
      </w:pPr>
      <w:r>
        <w:rPr>
          <w:rFonts w:ascii="Arial" w:cs="Arial" w:hAnsi="Arial"/>
          <w:color w:val="000000"/>
          <w:sz w:val="23"/>
          <w:szCs w:val="23"/>
          <w:rtl/>
        </w:rPr>
        <w:t xml:space="preserve">أن قائمة الخدمات (220+ خدمة) قابلة للتحول إلى كتالوج 400+ SKU ذي معنى تجاري (معقولة حسابيًا بالتفرع إلى خطة/مدة/منطقة، لكن الكتالوج لم يُبنَ بعد — انظر G1).</w:t>
      </w:r>
    </w:p>
    <w:p>
      <w:pPr>
        <w:pStyle w:val="ListParagraph"/>
        <w:numPr>
          <w:ilvl w:val="0"/>
          <w:numId w:val="1"/>
        </w:numPr>
        <w:bidi/>
        <w:spacing w:after="80" w:line="312"/>
        <w:jc w:val="start"/>
      </w:pPr>
      <w:r>
        <w:rPr>
          <w:rFonts w:ascii="Arial" w:cs="Arial" w:hAnsi="Arial"/>
          <w:color w:val="000000"/>
          <w:sz w:val="23"/>
          <w:szCs w:val="23"/>
          <w:rtl/>
        </w:rPr>
        <w:t xml:space="preserve">أن صلاحيات v4.2 البنيوية ستصمد في تشغيل حي متعدد الدفعات (تصميمها سليم؛ اختبارها لم يحدث).</w:t>
      </w:r>
    </w:p>
    <w:p>
      <w:pPr>
        <w:pStyle w:val="ListParagraph"/>
        <w:numPr>
          <w:ilvl w:val="0"/>
          <w:numId w:val="1"/>
        </w:numPr>
        <w:bidi/>
        <w:spacing w:after="80" w:line="312"/>
        <w:jc w:val="start"/>
      </w:pPr>
      <w:r>
        <w:rPr>
          <w:rFonts w:ascii="Arial" w:cs="Arial" w:hAnsi="Arial"/>
          <w:color w:val="000000"/>
          <w:sz w:val="23"/>
          <w:szCs w:val="23"/>
          <w:rtl/>
        </w:rPr>
        <w:t xml:space="preserve">أن تكامل Notion مقيد التأثير بما يراه المستخدم فقط (لا دليل على وصول أطراف ثالثة، لكن التوكن المكشوف يجعل الافتراض هشًا حتى التدوير).</w:t>
      </w:r>
    </w:p>
    <w:p>
      <w:pPr>
        <w:pStyle w:val="Heading2"/>
        <w:bidi/>
        <w:spacing w:after="120" w:before="240" w:line="312"/>
        <w:jc w:val="start"/>
      </w:pPr>
      <w:bookmarkStart w:id="100017" w:name="_Toc100017"/>
      <w:r>
        <w:rPr>
          <w:rFonts w:ascii="Arial" w:cs="Arial" w:hAnsi="Arial"/>
          <w:b/>
          <w:bCs/>
          <w:color w:val="1B6B7A"/>
          <w:sz w:val="28"/>
          <w:szCs w:val="28"/>
          <w:rtl/>
        </w:rPr>
        <w:t xml:space="preserve">رابعًا: استنتاجات منطقية (مبنية على معطيات متاحة)</w:t>
      </w:r>
      <w:bookmarkEnd w:id="100017"/>
    </w:p>
    <w:p>
      <w:pPr>
        <w:pStyle w:val="ListParagraph"/>
        <w:numPr>
          <w:ilvl w:val="0"/>
          <w:numId w:val="1"/>
        </w:numPr>
        <w:bidi/>
        <w:spacing w:after="80" w:line="312"/>
        <w:jc w:val="start"/>
      </w:pPr>
      <w:r>
        <w:rPr>
          <w:rFonts w:ascii="Arial" w:cs="Arial" w:hAnsi="Arial"/>
          <w:color w:val="000000"/>
          <w:sz w:val="23"/>
          <w:szCs w:val="23"/>
          <w:rtl/>
        </w:rPr>
        <w:t xml:space="preserve">الإجراء الأعلى مردودًا هو تشغيل الدفعة الثانية تحت v4.2 بمرحلة كتالوج أولى وتمرير تنافسي: يحقق شرطَي الترقية المتبقيين (اختبار حي متعدد الدفعات + انحدار تنافسي) ويتقدم بمسار البحث معًا.</w:t>
      </w:r>
    </w:p>
    <w:p>
      <w:pPr>
        <w:pStyle w:val="ListParagraph"/>
        <w:numPr>
          <w:ilvl w:val="0"/>
          <w:numId w:val="1"/>
        </w:numPr>
        <w:bidi/>
        <w:spacing w:after="80" w:line="312"/>
        <w:jc w:val="start"/>
      </w:pPr>
      <w:r>
        <w:rPr>
          <w:rFonts w:ascii="Arial" w:cs="Arial" w:hAnsi="Arial"/>
          <w:color w:val="000000"/>
          <w:sz w:val="23"/>
          <w:szCs w:val="23"/>
          <w:rtl/>
        </w:rPr>
        <w:t xml:space="preserve">الملخص المحادثي الذي بدأت به هذه الجلسة كان لقطة منتصف محادثة، والدليل على ذلك تعارضه مع سجل العمل وأدوات التشغيل — أي أن «عدم بدء التنفيذ» لم يكن ادعاء كاذبًا بل حالة زمنية تجاوزها التنفيذ لاحقًا.</w:t>
      </w:r>
    </w:p>
    <w:p>
      <w:pPr>
        <w:pStyle w:val="ListParagraph"/>
        <w:numPr>
          <w:ilvl w:val="0"/>
          <w:numId w:val="1"/>
        </w:numPr>
        <w:bidi/>
        <w:spacing w:after="80" w:line="312"/>
        <w:jc w:val="start"/>
      </w:pPr>
      <w:r>
        <w:rPr>
          <w:rFonts w:ascii="Arial" w:cs="Arial" w:hAnsi="Arial"/>
          <w:color w:val="000000"/>
          <w:sz w:val="23"/>
          <w:szCs w:val="23"/>
          <w:rtl/>
        </w:rPr>
        <w:t xml:space="preserve">تضارب 9/11 في الـanchors نتج عن توليد ملف MD من حالة وسيطة، بدليل أن skus.json (الذي وُلّد الملف منه) يحمل الحالة النهائية 11.</w:t>
      </w:r>
    </w:p>
    <w:p>
      <w:pPr>
        <w:pStyle w:val="ListParagraph"/>
        <w:numPr>
          <w:ilvl w:val="0"/>
          <w:numId w:val="1"/>
        </w:numPr>
        <w:bidi/>
        <w:spacing w:after="80" w:line="312"/>
        <w:jc w:val="start"/>
      </w:pPr>
      <w:r>
        <w:rPr>
          <w:rFonts w:ascii="Arial" w:cs="Arial" w:hAnsi="Arial"/>
          <w:color w:val="000000"/>
          <w:sz w:val="23"/>
          <w:szCs w:val="23"/>
          <w:rtl/>
        </w:rPr>
        <w:t xml:space="preserve">غياب مخرج Word عن Batch 1 قرار تضييق مقصود في عقد الجلسة وليس إغفالًا، بدليل صراحة عقد التشغيل بالمخرجين — لكنه بقي غير مسجل كتعديل على المعيار الحاكم.</w:t>
      </w:r>
    </w:p>
    <w:p>
      <w:pPr>
        <w:pStyle w:val="Heading2"/>
        <w:bidi/>
        <w:spacing w:after="120" w:before="240" w:line="312"/>
        <w:jc w:val="start"/>
      </w:pPr>
      <w:bookmarkStart w:id="100018" w:name="_Toc100018"/>
      <w:r>
        <w:rPr>
          <w:rFonts w:ascii="Arial" w:cs="Arial" w:hAnsi="Arial"/>
          <w:b/>
          <w:bCs/>
          <w:color w:val="1B6B7A"/>
          <w:sz w:val="28"/>
          <w:szCs w:val="28"/>
          <w:rtl/>
        </w:rPr>
        <w:t xml:space="preserve">خامسًا: توصيات (تظل توصيات حتى قرار المستخدم)</w:t>
      </w:r>
      <w:bookmarkEnd w:id="100018"/>
    </w:p>
    <w:p>
      <w:pPr>
        <w:pStyle w:val="ListParagraph"/>
        <w:numPr>
          <w:ilvl w:val="0"/>
          <w:numId w:val="1"/>
        </w:numPr>
        <w:bidi/>
        <w:spacing w:after="80" w:line="312"/>
        <w:jc w:val="start"/>
      </w:pPr>
      <w:r>
        <w:rPr>
          <w:rFonts w:ascii="Arial" w:cs="Arial" w:hAnsi="Arial"/>
          <w:color w:val="000000"/>
          <w:sz w:val="23"/>
          <w:szCs w:val="23"/>
          <w:rtl/>
        </w:rPr>
        <w:t xml:space="preserve">ارتكاب حزمة التحديثات المعلقة فورًا عبر القناة المخولة (تفصيلها في القسم الثاني عشر).</w:t>
      </w:r>
    </w:p>
    <w:p>
      <w:pPr>
        <w:pStyle w:val="ListParagraph"/>
        <w:numPr>
          <w:ilvl w:val="0"/>
          <w:numId w:val="1"/>
        </w:numPr>
        <w:bidi/>
        <w:spacing w:after="80" w:line="312"/>
        <w:jc w:val="start"/>
      </w:pPr>
      <w:r>
        <w:rPr>
          <w:rFonts w:ascii="Arial" w:cs="Arial" w:hAnsi="Arial"/>
          <w:color w:val="000000"/>
          <w:sz w:val="23"/>
          <w:szCs w:val="23"/>
          <w:rtl/>
        </w:rPr>
        <w:t xml:space="preserve">حسم بوابة Bootstrap (D1) قبل أي حديث عن ترقية v4.2.</w:t>
      </w:r>
    </w:p>
    <w:p>
      <w:pPr>
        <w:pStyle w:val="ListParagraph"/>
        <w:numPr>
          <w:ilvl w:val="0"/>
          <w:numId w:val="1"/>
        </w:numPr>
        <w:bidi/>
        <w:spacing w:after="80" w:line="312"/>
        <w:jc w:val="start"/>
      </w:pPr>
      <w:r>
        <w:rPr>
          <w:rFonts w:ascii="Arial" w:cs="Arial" w:hAnsi="Arial"/>
          <w:color w:val="000000"/>
          <w:sz w:val="23"/>
          <w:szCs w:val="23"/>
          <w:rtl/>
        </w:rPr>
        <w:t xml:space="preserve">تدوير توكن Notion فور انتهاء هذه الجلسة (D5).</w:t>
      </w:r>
    </w:p>
    <w:p>
      <w:pPr>
        <w:pStyle w:val="ListParagraph"/>
        <w:numPr>
          <w:ilvl w:val="0"/>
          <w:numId w:val="1"/>
        </w:numPr>
        <w:bidi/>
        <w:spacing w:after="80" w:line="312"/>
        <w:jc w:val="start"/>
      </w:pPr>
      <w:r>
        <w:rPr>
          <w:rFonts w:ascii="Arial" w:cs="Arial" w:hAnsi="Arial"/>
          <w:color w:val="000000"/>
          <w:sz w:val="23"/>
          <w:szCs w:val="23"/>
          <w:rtl/>
        </w:rPr>
        <w:t xml:space="preserve">اعتماد بروتوكول الاتساق (القسم الحادي عشر) عرفًا دائمًا لكل جلسات المحرك.</w:t>
      </w:r>
    </w:p>
    <w:p>
      <w:pPr>
        <w:pStyle w:val="Heading1"/>
        <w:bidi/>
        <w:spacing w:after="160" w:before="360" w:line="312"/>
        <w:jc w:val="start"/>
      </w:pPr>
      <w:bookmarkStart w:id="100019" w:name="_Toc100019"/>
      <w:r>
        <w:rPr>
          <w:rFonts w:ascii="Arial" w:cs="Arial" w:hAnsi="Arial"/>
          <w:b/>
          <w:bCs/>
          <w:color w:val="162235"/>
          <w:sz w:val="32"/>
          <w:szCs w:val="32"/>
          <w:rtl/>
        </w:rPr>
        <w:t xml:space="preserve">10. القرارات المطلوبة من المستخدم</w:t>
      </w:r>
      <w:bookmarkEnd w:id="100019"/>
    </w:p>
    <w:p>
      <w:pPr>
        <w:bidi/>
        <w:spacing w:after="120" w:line="312"/>
        <w:jc w:val="start"/>
      </w:pPr>
      <w:r>
        <w:rPr>
          <w:rFonts w:ascii="Arial" w:cs="Arial" w:hAnsi="Arial"/>
          <w:color w:val="000000"/>
          <w:sz w:val="24"/>
          <w:szCs w:val="24"/>
          <w:rtl/>
        </w:rPr>
        <w:t xml:space="preserve">القرارات التالية مفتوحة على المستخدم وحده ولا يُجاب عن أي منها نيابةً عنه، وفق قاعدة الحوكمة الصريحة (الاقتراح ليس قرارًا). عُرضت لكل قرار خياراته المعروفة وآثاره واعتمادياته، مع الإشارة إلى ما يلزم من معلومات إن كان النقص جوهريًا.</w:t>
      </w:r>
    </w:p>
    <w:p>
      <w:pPr>
        <w:keepNext/>
        <w:bidi/>
        <w:spacing w:after="80" w:before="160" w:line="312"/>
        <w:jc w:val="start"/>
      </w:pPr>
      <w:r>
        <w:rPr>
          <w:rFonts w:ascii="Arial" w:cs="Arial" w:hAnsi="Arial"/>
          <w:b/>
          <w:bCs/>
          <w:color w:val="162235"/>
          <w:sz w:val="21"/>
          <w:szCs w:val="21"/>
          <w:rtl/>
        </w:rPr>
        <w:t xml:space="preserve">جدول 7: قرارات المستخدم المفتوحة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gridCol w:w="100"/>
      </w:tblGrid>
      <w:tr>
        <w:trPr>
          <w:cantSplit/>
          <w:tblHeader/>
        </w:trPr>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القرار</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الخيارات المعروفة</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الأثر</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الاعتمادية</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D1</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بوابة الاعتماد الأولي (Bootstrap) — مفتوحة منذ الدورة 1</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(أ) اعتماد الاستثناء المقترح: أول ترقية من أحدث سلالة مثبتة بشرط اجتياز المراجعات والاختبارات وتصريح المستخدم، ثم يعود الباب القياسي؛ (ب) الإبقاء على القاعدة وقبول التعطيل البنيوي</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بدون (أ) يستحيل اعتماد أي إصدار أبدًا مهما نجح</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يعلق عليها كل مسار الترقية</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D2</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معيار مخرجات البرنامج: ثلاثة (ويب + Word + Markdown) أم اثنان (ويب + Markdown)؟</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(أ) اعتماد الثلاثة وتوليد Word للبرنامج كله من المصدر الموحد؛ (ب) تحديث المرجع الحاكم رسميًا إلى مخرجين</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يحسم التناقض 1 ويحدد شكل مخرجات كل الدفعات</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شيء — قرار مستقل</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D3</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إعادة توطين فئة Free Fire (من 520 إلى 2000/2200 ماسة الملاحظة سوقيًا) المرفوعة كتوسيع نطاق</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(أ) التخويل للدفعة الثانية؛ (ب) الرفض والإبقاء على الفئة الأصلية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يغلق فشل المرساة الأربعة إن تكرر أو يثبته كقيد دائم</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G10</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D4</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مجموعتا الحجر بحالة مراجعة: خيوط SheerID المجاورة واشتراكات الحسابات المشتركة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(أ) استبعاد؛ (ب) إبقاء للمراجعة مع أدلة إضافية في الدفعة الثانية؛ (ج) ترقية مشروطة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يحدد ما إذا كانا داخل نطاق التوصية التجارية أصلًا</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G8 — أدلة كل مجموعة معروضة في المجموعة قسم 10</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D5</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تدوير توكن Notion وتقييد تشارك التكامل بصفحات المشروع</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(أ) فورًا بعد هذه الجلسة (موصى به)؛ (ب) لاحقًا مع قبول المخاطر</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يغلق الخطر الأمني الأعلى درجة (R7)</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شيء — فوري</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D6</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التحقق من مهمة المراقبة الأسبوعية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التحقق من الوجود والتشغيل أو إعادة إنشائها مع حقول Last Checked</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يحمي قيمة ذكاء الأسعار من التقادم (R3)</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G6</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D7</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تخويل الدفعة الثانية تحت v4.2</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(أ) تخويل كامل بمرحلة كتالوج أولى وتمرير كيانات وتمرير تنافسي؛ (ب) تخويل مرحلي (الكتالوج فقط ثم مراجعة)؛ (ج) تأجيل</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يحقق شرطَي ترقية v4.2 المتبقيين ويستأنف البرنامج</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G1 وG3 وG4 — ويُستحسن حسم D1 وD2 قبله</w:t>
            </w:r>
          </w:p>
        </w:tc>
      </w:tr>
    </w:tbl>
    <w:p>
      <w:pPr>
        <w:spacing w:after="120"/>
      </w:pPr>
    </w:p>
    <w:p>
      <w:pPr>
        <w:bidi/>
        <w:spacing w:after="120" w:line="312"/>
        <w:jc w:val="start"/>
      </w:pPr>
      <w:r>
        <w:rPr>
          <w:rFonts w:ascii="Arial" w:cs="Arial" w:hAnsi="Arial"/>
          <w:color w:val="000000"/>
          <w:sz w:val="24"/>
          <w:szCs w:val="24"/>
          <w:rtl/>
        </w:rPr>
        <w:t xml:space="preserve">ملاحظة ترتيب مقترحة (توصية لا قرار): D5 فورًا ثم D1 وD2 (حوكميان سريعان يحسمان مسارين كاملين) ثم D7 بتخويل كامل، بينما D3 وD4 وD6 يمكن دمجها داخل تشغيل الدفعة الثانية نفسها دون تعطيله، إذ تتسع كل منها ضمن ميزانيتها.</w:t>
      </w:r>
    </w:p>
    <w:p>
      <w:pPr>
        <w:pStyle w:val="Heading1"/>
        <w:bidi/>
        <w:spacing w:after="160" w:before="360" w:line="312"/>
        <w:jc w:val="start"/>
      </w:pPr>
      <w:bookmarkStart w:id="100020" w:name="_Toc100020"/>
      <w:r>
        <w:rPr>
          <w:rFonts w:ascii="Arial" w:cs="Arial" w:hAnsi="Arial"/>
          <w:b/>
          <w:bCs/>
          <w:color w:val="162235"/>
          <w:sz w:val="32"/>
          <w:szCs w:val="32"/>
          <w:rtl/>
        </w:rPr>
        <w:t xml:space="preserve">11. بروتوكول الاتساق والأتمتة التشغيلية</w:t>
      </w:r>
      <w:bookmarkEnd w:id="100020"/>
    </w:p>
    <w:p>
      <w:pPr>
        <w:bidi/>
        <w:spacing w:after="120" w:line="312"/>
        <w:jc w:val="start"/>
      </w:pPr>
      <w:r>
        <w:rPr>
          <w:rFonts w:ascii="Arial" w:cs="Arial" w:hAnsi="Arial"/>
          <w:color w:val="000000"/>
          <w:sz w:val="24"/>
          <w:szCs w:val="24"/>
          <w:rtl/>
        </w:rPr>
        <w:t xml:space="preserve">المنهجية التشغيلية المفعّلة في هذه المحادثة — والمقترحة عرفًا دائمًا لكل جلسات المحرك — تُنفذ الأتمتة بوصفها انضباطًا منهجيًا داخل الجلسة لا أتمتة فعلية خارجية، التزامًا بقاعدة عدم إنشاء أتمتة حقيقية أو تعديل إعدادات خارجية إلا بتخويل صريح. وهي تجيب عمليًا على سؤال: كيف نمنع انحراف الحالة بين المحادثة وNotion وأدوات التشغيل؟ — وهو الانحراف الذي أنتج فعليًا التناقضات 2 و3 و4 أعلاه.</w:t>
      </w:r>
    </w:p>
    <w:p>
      <w:pPr>
        <w:pStyle w:val="ListParagraph"/>
        <w:numPr>
          <w:ilvl w:val="0"/>
          <w:numId w:val="1"/>
        </w:numPr>
        <w:bidi/>
        <w:spacing w:after="80" w:line="312"/>
        <w:jc w:val="start"/>
      </w:pPr>
      <w:r>
        <w:rPr>
          <w:rFonts w:ascii="Arial" w:cs="Arial" w:hAnsi="Arial"/>
          <w:color w:val="000000"/>
          <w:sz w:val="23"/>
          <w:szCs w:val="23"/>
          <w:rtl/>
        </w:rPr>
        <w:t xml:space="preserve">الخطوة 1 — مطابقة الحالة قبل أي مخرج: تُقرأ أسطح الحالة الثلاثة (المحادثة، Notion، أدوات التشغيل) وتُبنى مصفوفة مطابقة كما في القسم الخامس قبل توليد أي استنتاج أو مخرج.</w:t>
      </w:r>
    </w:p>
    <w:p>
      <w:pPr>
        <w:pStyle w:val="ListParagraph"/>
        <w:numPr>
          <w:ilvl w:val="0"/>
          <w:numId w:val="1"/>
        </w:numPr>
        <w:bidi/>
        <w:spacing w:after="80" w:line="312"/>
        <w:jc w:val="start"/>
      </w:pPr>
      <w:r>
        <w:rPr>
          <w:rFonts w:ascii="Arial" w:cs="Arial" w:hAnsi="Arial"/>
          <w:color w:val="000000"/>
          <w:sz w:val="23"/>
          <w:szCs w:val="23"/>
          <w:rtl/>
        </w:rPr>
        <w:t xml:space="preserve">الخطوة 2 — التصنيف المعرفي الإلزامي: كل معلومة تُوسم (أ/ب/ج) أو (FACT/INFERENCE/ASSUMPTION/PROPOSAL/DECISION/UNKNOWN/CONFLICT) قبل ورودها في أي مخرج، مع منع التحويل بين المستويات.</w:t>
      </w:r>
    </w:p>
    <w:p>
      <w:pPr>
        <w:pStyle w:val="ListParagraph"/>
        <w:numPr>
          <w:ilvl w:val="0"/>
          <w:numId w:val="1"/>
        </w:numPr>
        <w:bidi/>
        <w:spacing w:after="80" w:line="312"/>
        <w:jc w:val="start"/>
      </w:pPr>
      <w:r>
        <w:rPr>
          <w:rFonts w:ascii="Arial" w:cs="Arial" w:hAnsi="Arial"/>
          <w:color w:val="000000"/>
          <w:sz w:val="23"/>
          <w:szCs w:val="23"/>
          <w:rtl/>
        </w:rPr>
        <w:t xml:space="preserve">الخطوة 3 — كشف الانحراف: أي اختلاف بين الأسطح يُرقم ويوثق في سجل تناقضات، ويُحسم بإحالة المصدر القانوني (JSON للبيانات، سجل الإصدارات للإصدارات، المرجع الحاكم للمحتوى التجاري)، وما لا يحسم كذلك يبقى CONFLICT معلنًا.</w:t>
      </w:r>
    </w:p>
    <w:p>
      <w:pPr>
        <w:pStyle w:val="ListParagraph"/>
        <w:numPr>
          <w:ilvl w:val="0"/>
          <w:numId w:val="1"/>
        </w:numPr>
        <w:bidi/>
        <w:spacing w:after="80" w:line="312"/>
        <w:jc w:val="start"/>
      </w:pPr>
      <w:r>
        <w:rPr>
          <w:rFonts w:ascii="Arial" w:cs="Arial" w:hAnsi="Arial"/>
          <w:color w:val="000000"/>
          <w:sz w:val="23"/>
          <w:szCs w:val="23"/>
          <w:rtl/>
        </w:rPr>
        <w:t xml:space="preserve">الخطوة 4 — حزمة التحديثات بدل الكتابة المباشرة: عند قصر الجلسة على القراءة (كحالتها الحالية) تُعد حزمة تحديثات معلقة جاهزة للارتكاب عبر القناة المخولة، فلا يضيع أثر الجلسة ولا يُخترق قيد القراءة.</w:t>
      </w:r>
    </w:p>
    <w:p>
      <w:pPr>
        <w:pStyle w:val="ListParagraph"/>
        <w:numPr>
          <w:ilvl w:val="0"/>
          <w:numId w:val="1"/>
        </w:numPr>
        <w:bidi/>
        <w:spacing w:after="80" w:line="312"/>
        <w:jc w:val="start"/>
      </w:pPr>
      <w:r>
        <w:rPr>
          <w:rFonts w:ascii="Arial" w:cs="Arial" w:hAnsi="Arial"/>
          <w:color w:val="000000"/>
          <w:sz w:val="23"/>
          <w:szCs w:val="23"/>
          <w:rtl/>
        </w:rPr>
        <w:t xml:space="preserve">الخطوة 5 — تتبع القرارات: كل قرار مستخدم يُرقم (D1، D2...) ويُتابع حتى حسمه؛ لا يُجاب عنه بالوكالة ولا يُدمج مع غيره.</w:t>
      </w:r>
    </w:p>
    <w:p>
      <w:pPr>
        <w:pStyle w:val="ListParagraph"/>
        <w:numPr>
          <w:ilvl w:val="0"/>
          <w:numId w:val="1"/>
        </w:numPr>
        <w:bidi/>
        <w:spacing w:after="80" w:line="312"/>
        <w:jc w:val="start"/>
      </w:pPr>
      <w:r>
        <w:rPr>
          <w:rFonts w:ascii="Arial" w:cs="Arial" w:hAnsi="Arial"/>
          <w:color w:val="000000"/>
          <w:sz w:val="23"/>
          <w:szCs w:val="23"/>
          <w:rtl/>
        </w:rPr>
        <w:t xml:space="preserve">الخطوة 6 — قابلية التكرار: نفس الخطوات تُطبق في بداية كل جلسة جديدة، فتصبح مصفوفة المطابقة لحظةَ دخول قياسية تكشف تلقائيًا ما تغير منذ الجلسة السابقة (صفحات جديدة، تحريرات، إصدارات).</w:t>
      </w:r>
    </w:p>
    <w:p>
      <w:pPr>
        <w:bidi/>
        <w:spacing w:after="120" w:line="312"/>
        <w:jc w:val="start"/>
      </w:pPr>
      <w:r>
        <w:rPr>
          <w:rFonts w:ascii="Arial" w:cs="Arial" w:hAnsi="Arial"/>
          <w:color w:val="000000"/>
          <w:sz w:val="24"/>
          <w:szCs w:val="24"/>
          <w:rtl/>
        </w:rPr>
        <w:t xml:space="preserve">نتيجة تطبيق البروتوكول في هذه الجلسة (شاهد قابل للتحقق): اكتُشف 12 تناقضًا، وحُسم 6 منها بأحالة المصدر القانوني، وحُوّل 4 إلى قرارات مستخدم، وبقي 2 محفوظَين كتعارض موثق بقاعدة عدم الحسم بالتخمين؛ وأُعدت حزمة تحديثات كاملة دون أي كتابة فعلية. البروتوكول نفسه محايد تجاه النقل (يدعم النقل اليدوي الحالي أو أي أتمتة مستقبلية معتمدة) — تمامًا كما يقرر بروتوكول التشغيل أن نموذج السلطة لا يعتمد على وسيلة النقل.</w:t>
      </w:r>
    </w:p>
    <w:p>
      <w:pPr>
        <w:pStyle w:val="Heading1"/>
        <w:bidi/>
        <w:spacing w:after="160" w:before="360" w:line="312"/>
        <w:jc w:val="start"/>
      </w:pPr>
      <w:bookmarkStart w:id="100021" w:name="_Toc100021"/>
      <w:r>
        <w:rPr>
          <w:rFonts w:ascii="Arial" w:cs="Arial" w:hAnsi="Arial"/>
          <w:b/>
          <w:bCs/>
          <w:color w:val="162235"/>
          <w:sz w:val="32"/>
          <w:szCs w:val="32"/>
          <w:rtl/>
        </w:rPr>
        <w:t xml:space="preserve">12. حزمة تحديثات Notion المعلقة</w:t>
      </w:r>
      <w:bookmarkEnd w:id="100021"/>
    </w:p>
    <w:p>
      <w:pPr>
        <w:bidi/>
        <w:spacing w:after="120" w:line="312"/>
        <w:jc w:val="start"/>
      </w:pPr>
      <w:r>
        <w:rPr>
          <w:rFonts w:ascii="Arial" w:cs="Arial" w:hAnsi="Arial"/>
          <w:color w:val="000000"/>
          <w:sz w:val="24"/>
          <w:szCs w:val="24"/>
          <w:rtl/>
        </w:rPr>
        <w:t xml:space="preserve">التزامًا بقصر هذه الجلسة على القراءة فقط، لم تُكتب أي معلومة في أي صفحة من صفحات Notion. بدلًا من ذلك أُعدت حزمة تحديثات كاملة في ملف مستقل مرفق (supplier-intelligence-notion-update-package-2026-09-27.md) بصيغة جاهزة للارتكاب المباشر عبر القناة المخولة (مسار ChatGPT وفق بروتوكول التشغيل، أو ارتكاب المستخدم المباشر). الحزمة تلتزم قواعد الحوكمة: لا ترقية أي إصدار، ولا حسم أي قرار مفتوح، ولا حذف أي سجل تاريخي، وكل إضافة موسومة بحالتها المعرفية.</w:t>
      </w:r>
    </w:p>
    <w:p>
      <w:pPr>
        <w:keepNext/>
        <w:bidi/>
        <w:spacing w:after="80" w:before="160" w:line="312"/>
        <w:jc w:val="start"/>
      </w:pPr>
      <w:r>
        <w:rPr>
          <w:rFonts w:ascii="Arial" w:cs="Arial" w:hAnsi="Arial"/>
          <w:b/>
          <w:bCs/>
          <w:color w:val="162235"/>
          <w:sz w:val="21"/>
          <w:szCs w:val="21"/>
          <w:rtl/>
        </w:rPr>
        <w:t xml:space="preserve">جدول 8: مكونات حزمة التحديثات المعلقة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المكون</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الصفحة الهدف</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النوع</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 الدورة 6 — التحليل الشامل لجلسة z.ai ومطابقة نتائج Batch 1</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أرشيف التفاعلات</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 جديد (Draft)</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جاهز للارتكاب — اقتراح تصنيف فاعل جديد: z.ai Runtime</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ملخص أدلة التشغيل الفعلية (إجابات مجهولات الدورة 5)</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ضمن جسم الدورة 6 أو مساحة ChatGPT</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محتوى جديد</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جاهز — يرفع حجة v4.2 من مجهولة إلى موثقة جزئيًا</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مزامنة قسم Current State (من v4.1 إلى v4.2 Working Candidate + الخطوة التالية)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بروتوكول التشغيل</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تحديث حالة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جاهز — يعالج التناقض 2</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مزامنة نقطة الحالة الحالية (v4.1 ← v4.2)</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تاريخ تطوير الـPrompt</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تحديث حالة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جاهز — يعالج التناقض 3 جزئيًا</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ملاحظات تصحيح مجموعة بيانات Batch 1 (الـanchors 9←11، جدول تسوية الكيانات، تسميات SMM/VN، توحيد صياغة العروض)</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توجيه للدفعة الثانية / إصدار v1.1</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ملاحظات إصلاح</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جاهزة — تعالج التناقضات 3 و4 و8 و9</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مقترح استيراد الكيانات الـ52 المتحققة إلى بنية المرجع الحاكم</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المرجع الحاكم (صفحة أبناء جديدة مقترحة)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مقترح (Proposal) لا قرار</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يحتاج تخويل المستخدم أولًا</w:t>
            </w:r>
          </w:p>
        </w:tc>
      </w:tr>
    </w:tbl>
    <w:p>
      <w:pPr>
        <w:spacing w:after="120"/>
      </w:pPr>
    </w:p>
    <w:p>
      <w:pPr>
        <w:bidi/>
        <w:spacing w:after="120" w:line="312"/>
        <w:jc w:val="start"/>
      </w:pPr>
      <w:r>
        <w:rPr>
          <w:rFonts w:ascii="Arial" w:cs="Arial" w:hAnsi="Arial"/>
          <w:color w:val="000000"/>
          <w:sz w:val="24"/>
          <w:szCs w:val="24"/>
          <w:rtl/>
        </w:rPr>
        <w:t xml:space="preserve">ما لم يتضمنته الحزمة عمدًا: أي تعديل على سجل Canonical أو سجل الإصدارات (كلاهما محدّث وأصيل كما هو)، وأي إضافة إلى سجل القرارات (القرارات السبعة المفتوحة معروضة للمستخدم في القسم العاشر ولم تُحسم)، وأي تعديل على قاعدة بيانات الموردين الحاكمة (نتائج Batch 1 مقترح استيرادها لا فرضها)، وأي مساس بالسجلات التاريخية الثلاثة للملفات المصدرية أو سجل Stack Vault.</w:t>
      </w:r>
    </w:p>
    <w:p>
      <w:pPr>
        <w:pStyle w:val="Heading1"/>
        <w:bidi/>
        <w:spacing w:after="160" w:before="360" w:line="312"/>
        <w:jc w:val="start"/>
      </w:pPr>
      <w:bookmarkStart w:id="100022" w:name="_Toc100022"/>
      <w:r>
        <w:rPr>
          <w:rFonts w:ascii="Arial" w:cs="Arial" w:hAnsi="Arial"/>
          <w:b/>
          <w:bCs/>
          <w:color w:val="162235"/>
          <w:sz w:val="32"/>
          <w:szCs w:val="32"/>
          <w:rtl/>
        </w:rPr>
        <w:t xml:space="preserve">13. خارطة الطريق والخطوات التالية</w:t>
      </w:r>
      <w:bookmarkEnd w:id="100022"/>
    </w:p>
    <w:p>
      <w:pPr>
        <w:bidi/>
        <w:spacing w:after="120" w:line="312"/>
        <w:jc w:val="start"/>
      </w:pPr>
      <w:r>
        <w:rPr>
          <w:rFonts w:ascii="Arial" w:cs="Arial" w:hAnsi="Arial"/>
          <w:color w:val="000000"/>
          <w:sz w:val="24"/>
          <w:szCs w:val="24"/>
          <w:rtl/>
        </w:rPr>
        <w:t xml:space="preserve">خارطة الطريق مرتبة بحيث يقدّم كل إجراء أكبر تقدم ممكن على مسارَي الحوكمة والبحث معًا، مع فهم واضح للاعتماديات: الترقية معلقة على Bootstrap والاختبار الحي، والاختبار الحي معلق على الدفعة الثانية، والدفعة الثانية معلقة على الكتالوج والتخويل.</w:t>
      </w:r>
    </w:p>
    <w:p>
      <w:pPr>
        <w:keepNext/>
        <w:bidi/>
        <w:spacing w:after="80" w:before="160" w:line="312"/>
        <w:jc w:val="start"/>
      </w:pPr>
      <w:r>
        <w:rPr>
          <w:rFonts w:ascii="Arial" w:cs="Arial" w:hAnsi="Arial"/>
          <w:b/>
          <w:bCs/>
          <w:color w:val="162235"/>
          <w:sz w:val="21"/>
          <w:szCs w:val="21"/>
          <w:rtl/>
        </w:rPr>
        <w:t xml:space="preserve">جدول 9: خارطة الطريق المرحلة تلو المرحلة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المرحلة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الإجراء</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المالك</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يحقق</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0 — فورية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تدوير توكن Notion (D5) والتحقق من مهمة المراقبة (D6)</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المستخدم</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يغلق الخطر الأمني الأعلى ويؤمّن قيمة الأسعار</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 — هذا الأسبوع</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ارتكاب حزمة التحديثات المعلقة عبر القناة المخولة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المستخدم / مسار ChatGPT</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يصل نتائج Batch 1 إلى قاعدة المعرفة ويجيب مجهولات الدورة 5</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 — هذا الأسبوع</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حسم D1 (Bootstrap) وD2 (معيار المخرجات)</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المستخدم</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يفك القفل البنيوي للترقية ويحسم أكبر تناقض موثق</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 — التشغيل التالي</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تخويل الدفعة الثانية تحت v4.2 (D7): المرحلة الأولى توليد manifest الكتالوج من قائمة الخدمات بالتفرع الصحيح، ثم بحث SKU مع تمرير كيانات Batch 1 الـ52 (اختبار §8.2 حيًّا) وتمرير تنافسي صريح</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محرك z.ai بتخويل المستخدم</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شرطا ترقية v4.2 المتبقيان + تقدم فعلي في الـ400+ SKU</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4 — بعد الدفعة الثانية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تدقيق ChatGPT لأداء v4.2 الحي متعدد الدفعات ثم قرار الترقية وفق الباب القياسي (بعد حسم D1)</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مسار ChatGPT ثم المستخدم</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أول Prompt معتمد في تاريخ المشروع إن اجتاز</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5 — استمرارية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اعتماد بروتوكول الاتساق عرفًا لكل جلسة + إعادة فحص الأسعار قبل أي قرار شرائي + متابعة H1–H4 وG8–G11</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الكل</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يمنع تكرار الانحراف ويحفظ نزاهة الاستخبارات</w:t>
            </w:r>
          </w:p>
        </w:tc>
      </w:tr>
    </w:tbl>
    <w:p>
      <w:pPr>
        <w:spacing w:after="120"/>
      </w:pPr>
    </w:p>
    <w:p>
      <w:pPr>
        <w:bidi/>
        <w:spacing w:after="120" w:line="312"/>
        <w:jc w:val="start"/>
      </w:pPr>
      <w:r>
        <w:rPr>
          <w:rFonts w:ascii="Arial" w:cs="Arial" w:hAnsi="Arial"/>
          <w:color w:val="000000"/>
          <w:sz w:val="24"/>
          <w:szCs w:val="24"/>
          <w:rtl/>
        </w:rPr>
        <w:t xml:space="preserve">المعادلة الحاكمة للمرحلة القادمة تختصر في سطر واحد: حزمة التحديثات تسد فجوة الدليل، وBootstrap يفك قفل الاعتماد، والدفعة الثانية تحت v4.2 هي الاختبار الحي الذي يحوّل المرشح إلى قابل للترقية — وثلاثتها مجتمعة تنقل المشروع من طور بناء المحرك إلى طور التشغيل المعتمد المنتج لقاعدة استخبارات الموردين القابلة للتدقيق التي صُمم أصلا لتحقيقها: من يبيع، وماذا، بأي شروط، بأي سعر حقيقي، وبأي ضمان، وبأي حق إعادة بيع، ومن المورد الأعلى، وبأي قوة دليل، وما الذي لم يُعرف بعد.</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bidi/>
      <w:jc w:val="start"/>
    </w:pPr>
    <w:r>
      <w:rPr>
        <w:rFonts w:ascii="Arial" w:cs="Arial" w:hAnsi="Arial"/>
        <w:color w:val="808080"/>
        <w:sz w:val="18"/>
        <w:szCs w:val="18"/>
        <w:rtl/>
      </w:rPr>
      <w:t xml:space="preserve">التحليل الشامل والتدقيق المتقاطع — محرك استخبارات الموردين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162235"/>
      <w:sz w:val="32"/>
      <w:szCs w:val="32"/>
    </w:rPr>
  </w:style>
  <w:style w:type="paragraph" w:styleId="Heading2">
    <w:name w:val="Heading 2"/>
    <w:basedOn w:val="Normal"/>
    <w:next w:val="Normal"/>
    <w:qFormat/>
    <w:pPr>
      <w:spacing w:after="120" w:before="240" w:line="312"/>
      <w:outlineLvl w:val="1"/>
    </w:pPr>
    <w:rPr>
      <w:rFonts w:ascii="Arial" w:cs="Arial" w:hAnsi="Arial"/>
      <w:b/>
      <w:bCs/>
      <w:color w:val="1B6B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2026-09-26T23:00:03.605Z</dcterms:created>
  <dcterms:modified xsi:type="dcterms:W3CDTF">2026-09-26T23:00:03.605Z</dcterms:modified>
</cp:coreProperties>
</file>

<file path=docProps/custom.xml><?xml version="1.0" encoding="utf-8"?>
<Properties xmlns="http://schemas.openxmlformats.org/officeDocument/2006/custom-properties" xmlns:vt="http://schemas.openxmlformats.org/officeDocument/2006/docPropsVTypes"/>
</file>