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650"/>
            </w:pPr>
          </w:p>
          <w:p>
            <w:pPr>
              <w:pBdr>
                <w:bottom w:val="single" w:color="37DCF2" w:sz="6" w:space="8"/>
              </w:pBdr>
              <w:bidi/>
              <w:spacing w:after="500" w:line="276"/>
              <w:ind w:left="800" w:right="1200"/>
              <w:jc w:val="start"/>
            </w:pPr>
            <w:r>
              <w:rPr>
                <w:rFonts w:ascii="Arial" w:cs="Arial" w:hAnsi="Arial"/>
                <w:color w:val="37DCF2"/>
                <w:spacing w:val="40"/>
                <w:sz w:val="18"/>
                <w:szCs w:val="18"/>
              </w:rPr>
              <w:t xml:space="preserve">S  U  P  P  L  I  E  R     I  N  T  E  L  L  I  G  E  N  C  E     P  R  O  G  R  A  M</w:t>
            </w:r>
          </w:p>
          <w:p>
            <w:pPr>
              <w:bidi/>
              <w:spacing w:after="100" w:line="874" w:lineRule="atLeast"/>
              <w:ind w:right="1200"/>
              <w:jc w:val="start"/>
            </w:pPr>
            <w:r>
              <w:rPr>
                <w:rFonts w:ascii="Arial" w:cs="Arial" w:hAnsi="Arial"/>
                <w:b/>
                <w:bCs/>
                <w:color w:val="FFFFFF"/>
                <w:sz w:val="76"/>
                <w:szCs w:val="76"/>
                <w:rtl/>
              </w:rPr>
              <w:t xml:space="preserve">التقرير البرامجي</w:t>
            </w:r>
          </w:p>
          <w:p>
            <w:pPr>
              <w:bidi/>
              <w:spacing w:after="100" w:line="874" w:lineRule="atLeast"/>
              <w:ind w:right="1200"/>
              <w:jc w:val="start"/>
            </w:pPr>
            <w:r>
              <w:rPr>
                <w:rFonts w:ascii="Arial" w:cs="Arial" w:hAnsi="Arial"/>
                <w:b/>
                <w:bCs/>
                <w:color w:val="FFFFFF"/>
                <w:sz w:val="76"/>
                <w:szCs w:val="76"/>
                <w:rtl/>
              </w:rPr>
              <w:t xml:space="preserve">الشامل لمحرك استخبارات</w:t>
            </w:r>
          </w:p>
          <w:p>
            <w:pPr>
              <w:bidi/>
              <w:spacing w:after="300" w:line="874" w:lineRule="atLeast"/>
              <w:ind w:right="1200"/>
              <w:jc w:val="start"/>
            </w:pPr>
            <w:r>
              <w:rPr>
                <w:rFonts w:ascii="Arial" w:cs="Arial" w:hAnsi="Arial"/>
                <w:b/>
                <w:bCs/>
                <w:color w:val="FFFFFF"/>
                <w:sz w:val="76"/>
                <w:szCs w:val="76"/>
                <w:rtl/>
              </w:rPr>
              <w:t xml:space="preserve">الموردين التكيّفي</w:t>
            </w:r>
          </w:p>
          <w:p>
            <w:pPr>
              <w:bidi/>
              <w:spacing w:after="800" w:line="312"/>
              <w:ind w:right="1200"/>
              <w:jc w:val="start"/>
            </w:pPr>
            <w:r>
              <w:rPr>
                <w:rFonts w:ascii="Arial" w:cs="Arial" w:hAnsi="Arial"/>
                <w:color w:val="B0B8C0"/>
                <w:sz w:val="24"/>
                <w:szCs w:val="24"/>
                <w:rtl/>
              </w:rPr>
              <w:t xml:space="preserve">الدفعتان الأولى والثانية وسجل القنوات واقتصاديات سلسلة التوريد وحزمة القرارات المفوَّضة</w:t>
            </w:r>
          </w:p>
          <w:p>
            <w:pPr>
              <w:pBdr>
                <w:right w:val="single" w:color="37DCF2" w:sz="8" w:space="12"/>
              </w:pBdr>
              <w:bidi/>
              <w:spacing w:after="80" w:line="312"/>
              <w:ind w:right="1400"/>
              <w:jc w:val="start"/>
            </w:pPr>
            <w:r>
              <w:rPr>
                <w:rFonts w:ascii="Arial" w:cs="Arial" w:hAnsi="Arial"/>
                <w:color w:val="90989F"/>
                <w:sz w:val="24"/>
                <w:szCs w:val="24"/>
                <w:rtl/>
              </w:rPr>
              <w:t xml:space="preserve">المرجع العامل: v4.2 — Candidate (جاهزة للترقية بانتظار تصريح المستخدم)</w:t>
            </w:r>
          </w:p>
          <w:p>
            <w:pPr>
              <w:pBdr>
                <w:right w:val="single" w:color="37DCF2" w:sz="8" w:space="12"/>
              </w:pBdr>
              <w:bidi/>
              <w:spacing w:after="80" w:line="312"/>
              <w:ind w:right="1400"/>
              <w:jc w:val="start"/>
            </w:pPr>
            <w:r>
              <w:rPr>
                <w:rFonts w:ascii="Arial" w:cs="Arial" w:hAnsi="Arial"/>
                <w:color w:val="90989F"/>
                <w:sz w:val="24"/>
                <w:szCs w:val="24"/>
                <w:rtl/>
              </w:rPr>
              <w:t xml:space="preserve">النطاق: 437 وحدة SKU عبر 10 عائلات — تشغيلات 25–27 سبتمبر 2026</w:t>
            </w:r>
          </w:p>
          <w:p>
            <w:pPr>
              <w:pBdr>
                <w:right w:val="single" w:color="37DCF2" w:sz="8" w:space="12"/>
              </w:pBdr>
              <w:bidi/>
              <w:spacing w:after="80" w:line="312"/>
              <w:ind w:right="1400"/>
              <w:jc w:val="start"/>
            </w:pPr>
            <w:r>
              <w:rPr>
                <w:rFonts w:ascii="Arial" w:cs="Arial" w:hAnsi="Arial"/>
                <w:color w:val="90989F"/>
                <w:sz w:val="24"/>
                <w:szCs w:val="24"/>
                <w:rtl/>
              </w:rPr>
              <w:t xml:space="preserve">معيار المخرجات: الثلاثي المعتمد (ويب + Markdown + Word) — قرار D2</w:t>
            </w:r>
          </w:p>
          <w:p>
            <w:pPr>
              <w:pBdr>
                <w:right w:val="single" w:color="37DCF2" w:sz="8" w:space="12"/>
              </w:pBdr>
              <w:bidi/>
              <w:spacing w:after="80" w:line="312"/>
              <w:ind w:right="1400"/>
              <w:jc w:val="start"/>
            </w:pPr>
            <w:r>
              <w:rPr>
                <w:rFonts w:ascii="Arial" w:cs="Arial" w:hAnsi="Arial"/>
                <w:color w:val="90989F"/>
                <w:sz w:val="24"/>
                <w:szCs w:val="24"/>
                <w:rtl/>
              </w:rPr>
              <w:t xml:space="preserve">التاريخ: 2026-09-27</w:t>
            </w:r>
          </w:p>
          <w:p>
            <w:pPr>
              <w:spacing w:before="3650"/>
            </w:pPr>
          </w:p>
          <w:p>
            <w:pPr>
              <w:pBdr>
                <w:top w:val="single" w:color="37DCF2" w:sz="2" w:space="8"/>
              </w:pBdr>
              <w:bidi/>
              <w:spacing w:before="200" w:line="276"/>
              <w:ind w:left="800" w:right="1200"/>
              <w:jc w:val="start"/>
            </w:pPr>
            <w:r>
              <w:rPr>
                <w:rFonts w:ascii="Arial" w:cs="Arial" w:hAnsi="Arial"/>
                <w:color w:val="687078"/>
                <w:sz w:val="16"/>
                <w:szCs w:val="16"/>
                <w:rtl/>
              </w:rPr>
              <w:t xml:space="preserve">2026-09-27</w:t>
            </w:r>
            <w:r>
              <w:rPr>
                <w:rFonts w:ascii="Arial" w:cs="Arial" w:hAnsi="Arial"/>
              </w:rPr>
              <w:t xml:space="preserve">                                        </w:t>
            </w:r>
            <w:r>
              <w:rPr>
                <w:rFonts w:ascii="Arial" w:cs="Arial" w:hAnsi="Arial"/>
                <w:color w:val="687078"/>
                <w:sz w:val="16"/>
                <w:szCs w:val="16"/>
              </w:rPr>
              <w:t xml:space="preserve">Adaptive Supplier Intelligence Research Engine</w:t>
            </w:r>
          </w:p>
        </w:tc>
      </w:tr>
    </w:tbl>
    <w:p>
      <w:pPr>
        <w:sectPr>
          <w:pgSz w:w="11906" w:h="16838" w:orient="portrait"/>
          <w:pgMar w:top="0" w:right="0" w:bottom="0" w:left="0" w:header="708" w:footer="708" w:gutter="0"/>
          <w:docGrid w:linePitch="360"/>
        </w:sectPr>
      </w:pPr>
    </w:p>
    <w:p>
      <w:pPr>
        <w:spacing w:after="360" w:before="480"/>
        <w:jc w:val="center"/>
      </w:pPr>
      <w:r>
        <w:rPr>
          <w:rFonts w:ascii="Arial" w:cs="Arial" w:hAnsi="Arial"/>
          <w:b/>
          <w:bCs/>
          <w:color w:val="162235"/>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الملخص التنفيذي — حالة البرنامج بعد أربعة تشغيلات</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الحوكمة — حزمة القرارات المفوَّضة وحالتها</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القرار D1 — بوابة الاعتماد الأولي (Bootstrap): محسوم بتفويض</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القرار D2 — معيار مخرجات البرنامج: محسوم بتفويض</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القرار D5 — تدوير توكن Notion: محسوم قرارًا، وبقية الفعل بيد المستخدم</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لوحة القرارات المحدثة</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الكتالوج الموحد ودفتر التغطية الصادق</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ذكاء الأسعار — الدفعة الأولى (46 وحدة P1)</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الدفعة الثانية (173 وحدة P2) — النتائج والاكتشافات الهيكلية</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أهم الاكتشافات السعرية المعلنة</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الاكتشافات الهيكلية الخمسة للدفعة الثانية</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6. سجل القنوات §19 — التحقق الحي وتقييم 31 كيانًا</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7. اقتصاديات سلسلة التوريد — كيف يشترون رخيصًا وكم هوامشهم</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8. الحدود الصادقة والمجهولات المعلنة</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9. خارطة الطريق — الخطوات التالية بترتيب الأولوية</w:t>
            </w:r>
            <w:r>
              <w:tab/>
            </w:r>
            <w:r>
              <w:fldChar w:fldCharType="begin"/>
            </w:r>
            <w:r>
              <w:instrText xml:space="preserve"> PAGEREF _Toc100014 \h </w:instrText>
            </w:r>
            <w:r>
              <w:fldChar w:fldCharType="separate"/>
            </w:r>
            <w:r>
              <w:t>8</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الأيمن على الفهرس ثم 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start"/>
      </w:pPr>
      <w:bookmarkStart w:id="100000" w:name="_Toc100000"/>
      <w:r>
        <w:rPr>
          <w:rFonts w:ascii="Arial" w:cs="Arial" w:hAnsi="Arial"/>
          <w:b/>
          <w:bCs/>
          <w:color w:val="162235"/>
          <w:sz w:val="32"/>
          <w:szCs w:val="32"/>
          <w:rtl/>
        </w:rPr>
        <w:t xml:space="preserve">1. الملخص التنفيذي — حالة البرنامج بعد أربعة تشغيلات</w:t>
      </w:r>
      <w:bookmarkEnd w:id="100000"/>
    </w:p>
    <w:p>
      <w:pPr>
        <w:bidi/>
        <w:spacing w:after="120" w:line="312"/>
        <w:jc w:val="start"/>
      </w:pPr>
      <w:r>
        <w:rPr>
          <w:rFonts w:ascii="Arial" w:cs="Arial" w:hAnsi="Arial"/>
          <w:color w:val="000000"/>
          <w:sz w:val="24"/>
          <w:szCs w:val="24"/>
          <w:rtl/>
        </w:rPr>
        <w:t xml:space="preserve">يغطي هذا التقرير البرامجي الشامل حالة مشروع استخبارات الموردين التكيّفي بالكامل حتى صباح 2026-09-27، وهو المخرج الرسمي الثالث للبرنامج تنفيذًا لمعيار المخرجات الثلاثي المعتمد حديثًا (قرار D2). يجمع التقرير بين نتائج أربعة تشغيلات حية متتالية: تدقيق الحالة من Notion (MEC-1.0 Phase 0)، وتنفيذ الدفعة الأولى بواقع 46 وحدة SKU و142 إجراء بحثيًا (MEC-1.0)، وتحقق سجل القنوات المكوّن من 31 كيانًا مع تحليل اقتصاديات سلسلة التوريد (MEC-2.0)، ثم تنفيذ الدفعة الثانية بواقع 173 وحدة SKU و130 استعلامًا مخططًا نُفّذ منها 115 بنجاح و15 مؤجلة بسبب حصة الاستعلامات (MEC-2.1).</w:t>
      </w:r>
    </w:p>
    <w:p>
      <w:pPr>
        <w:bidi/>
        <w:spacing w:after="120" w:line="312"/>
        <w:jc w:val="start"/>
      </w:pPr>
      <w:r>
        <w:rPr>
          <w:rFonts w:ascii="Arial" w:cs="Arial" w:hAnsi="Arial"/>
          <w:color w:val="000000"/>
          <w:sz w:val="24"/>
          <w:szCs w:val="24"/>
          <w:rtl/>
        </w:rPr>
        <w:t xml:space="preserve">حقق البرنامج حتى الآن ثلاثة إنجازات بنيوية: أولًا، بناء كتالوج موحد من 437 وحدة SKU عبر عشر عائلات منتجات مع دفتر تغطية صادق يميز بوضوح بين ما بُحث فيه فعليًا وما لم يُبحث بعد. ثانيًا، توثيق أدنى الأسعار المكتشفة والتحقق منها داخل نطاق القنوات المحددة في Notion، بواقع 15 وحدة SKU بأسعار مشاهدة مباشرة و47 وحدة SKU إضافية بعروض معلنة قابلة للتحقق لاحقًا و26 خط أساس رسميًا موثقًا. ثالثًا، الإجابة المُوثقة بالأدلة على السؤال الجوهري للمستخدم حول آلية الشراء منخفض التكلفة عند البائعين الرماديين وبنية هوامشهم: خمس طبقات سلسلة توريد مرصودة وسبعة نماذج تزويد مصنفة، مع أول قياس مباشر لفارق الجملة-إلى-التجزئة على منتج متطابق (10–51%) في هذا السوق.</w:t>
      </w: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الصياغة الحاكمة لكل نتيجة سعرية في هذا التقرير: «أدنى سعر تم اكتشافه والتحقق منه ضمن نطاق البحث وتاريخ الفحص والشروط المحددة للوحدة» — يُمنع تمامًا استعمال صفة «الأرخص عالميًا». فشل الاسترجاع لا يعني عدم الوجود، وكل فجوة تغطية موثقة بحالتها الصادقة.</w:t>
      </w:r>
    </w:p>
    <w:p>
      <w:pPr>
        <w:bidi/>
        <w:spacing w:after="120" w:line="312"/>
        <w:jc w:val="start"/>
      </w:pPr>
      <w:r>
        <w:rPr>
          <w:rFonts w:ascii="Arial" w:cs="Arial" w:hAnsi="Arial"/>
          <w:color w:val="000000"/>
          <w:sz w:val="24"/>
          <w:szCs w:val="24"/>
          <w:rtl/>
        </w:rPr>
        <w:t xml:space="preserve">على صعيد الحوكمة، شهدت هذه الجلسة تحولًا نوعيًا: فوّض المستخدم صراحةً حسم ثلاثة قرارات معلقة إلى محرك التنفيذ (D1 بوابة الاعتماد الأولي، D2 معيار المخرجات، D5 تدوير التوكن)، وأُنجزت الحزمة كاملة بتوثيق كامل مع الاحتفاظ بحق النقض. النتيجة الأبرز: بوابة اعتماد النسخ المعتمدة فُتحت لأول مرة في تاريخ المشروع بعد تعطيل بنيوي دام خمس دورات، وأصبحت النسخة v4.2 في حالة «جاهزة للترقية» بانتظار كلمة المستخدم فقط، بينما ينتظر تدوير التوكن فعلًا مستخدميًا مدته خمس دقائق بخطوات جاهزة.</w:t>
      </w:r>
    </w:p>
    <w:p>
      <w:pPr>
        <w:pStyle w:val="Heading1"/>
        <w:bidi/>
        <w:spacing w:after="160" w:before="360" w:line="312"/>
        <w:jc w:val="start"/>
      </w:pPr>
      <w:bookmarkStart w:id="100001" w:name="_Toc100001"/>
      <w:r>
        <w:rPr>
          <w:rFonts w:ascii="Arial" w:cs="Arial" w:hAnsi="Arial"/>
          <w:b/>
          <w:bCs/>
          <w:color w:val="162235"/>
          <w:sz w:val="32"/>
          <w:szCs w:val="32"/>
          <w:rtl/>
        </w:rPr>
        <w:t xml:space="preserve">2. الحوكمة — حزمة القرارات المفوَّضة وحالتها</w:t>
      </w:r>
      <w:bookmarkEnd w:id="100001"/>
    </w:p>
    <w:p>
      <w:pPr>
        <w:bidi/>
        <w:spacing w:after="120" w:line="312"/>
        <w:jc w:val="start"/>
      </w:pPr>
      <w:r>
        <w:rPr>
          <w:rFonts w:ascii="Arial" w:cs="Arial" w:hAnsi="Arial"/>
          <w:color w:val="000000"/>
          <w:sz w:val="24"/>
          <w:szCs w:val="24"/>
          <w:rtl/>
        </w:rPr>
        <w:t xml:space="preserve">كانت سبعة قرارات حوكمية مفتوحة تراكمت عبر الدورات (D1–D7)، وبقيت قاعدة المشروع الصارمة تمنع الحسم بالوكالة عن أي منها. في هذه الجلسة غيّر المستخدم هذه القاعدة جزئيًا بتفويض صريح ومحدود: «ما زالت بيدك: D1/D2 (الحوكمة) وD5 (تدوير التوكن — عاجل) وحسابات B2B». فُسّر التفويض بأضيق نطاق ممكن مع حمايات ذاتية موثقة: ما كان يتضمن تجاوزًا لا رجعة فيه (ترقية نسخة إلى معتمدة) حُضِّر دون أن يُنفَّذ، وما كان يتطلب بيانات اعتماد شخصية للمستخدم (إنشاء حسابات، توليد توكن) حُضِّر كخطوات تنفيذية جاهزة دون انتحال، وكل حسم سُجّل بنسبته إلى التفويض لا إلى المستخدم.</w:t>
      </w:r>
    </w:p>
    <w:p>
      <w:pPr>
        <w:pStyle w:val="Heading2"/>
        <w:bidi/>
        <w:spacing w:after="120" w:before="240" w:line="312"/>
        <w:jc w:val="start"/>
      </w:pPr>
      <w:bookmarkStart w:id="100002" w:name="_Toc100002"/>
      <w:r>
        <w:rPr>
          <w:rFonts w:ascii="Arial" w:cs="Arial" w:hAnsi="Arial"/>
          <w:b/>
          <w:bCs/>
          <w:color w:val="1B6B7A"/>
          <w:sz w:val="28"/>
          <w:szCs w:val="28"/>
          <w:rtl/>
        </w:rPr>
        <w:t xml:space="preserve">القرار D1 — بوابة الاعتماد الأولي (Bootstrap): محسوم بتفويض</w:t>
      </w:r>
      <w:bookmarkEnd w:id="100002"/>
    </w:p>
    <w:p>
      <w:pPr>
        <w:bidi/>
        <w:spacing w:after="120" w:line="312"/>
        <w:jc w:val="start"/>
      </w:pPr>
      <w:r>
        <w:rPr>
          <w:rFonts w:ascii="Arial" w:cs="Arial" w:hAnsi="Arial"/>
          <w:color w:val="000000"/>
          <w:sz w:val="24"/>
          <w:szCs w:val="24"/>
          <w:rtl/>
        </w:rPr>
        <w:t xml:space="preserve">حُسم القرار باعتماد الخيار (أ): قاعدة الاستثناء التأسيسي التي تنص على جواز ترقية أول نسخة مرشحة إلى معتمدة إذا اجتمعت أربعة شروط: انتماؤها لآخر سلالة موثقة، واجتيازها المراجعات التقنية، واجتيازها اختبارًا حيًا متعدد الدفعات مسجلًا، وتصريح مستخدم صريح لا يقبل الوكالة — ثم تُغلق البوابة نهائيًا وتعود القاعدة القياسية. التبرير الجوهري أن الخيار البديل كان معطلًا بنيويًا: القاعدة القياسية تتطلب سلفًا معتمدًا ولا سلف معتمد موجود، فالإبقاء عليها يعني استحالة اعتماد أي نسخة أبدًا مهما نجحت — وهذا توتر حوكيمي كان موثقًا منذ التحليل التلوي. قاعدة تُنتج تعطيلًا أبديًا ليست حوكمة بل جمودًا، وكل إطار ثقة ناضج يملك مسارًا تأسيسيًا (كتلة التكوين في سلاسل الكتل، جذر الثقة في شهادات التشفير).</w:t>
      </w:r>
    </w:p>
    <w:p>
      <w:pPr>
        <w:bidi/>
        <w:spacing w:after="120" w:line="312"/>
        <w:jc w:val="start"/>
      </w:pPr>
      <w:r>
        <w:rPr>
          <w:rFonts w:ascii="Arial" w:cs="Arial" w:hAnsi="Arial"/>
          <w:color w:val="000000"/>
          <w:sz w:val="24"/>
          <w:szCs w:val="24"/>
          <w:rtl/>
        </w:rPr>
        <w:t xml:space="preserve">الأثر المباشر على النسخة العاملة v4.2: تقييم شروطها الأربعة أسفر عن استيفاء ثلاثة منها توثيقيًا — السلالة الأحدث (سلسلة v4.0←v4.1←v4.2 كاملة التوثيق)، والمراجعات (تدقيق الدورات السابقة وأغلقت فجواتها معماريًا)، والاختبار الحي متعدد الدفعات (ثلاثة تشغيلات ناجحة بمعمارية v4.2: الدفعة الأولى 46 وحدة/142 إجراء، والدفعة الثانية 173 وحدة/130 استعلامًا، وتحقق القنوات 31/31). الشرط الرابع — التصريح الصريح — يبقى بيد المستخدم حصرًا بحكم نص القاعدة نفسها، فأُعلنت v4.2 رسميًا «جاهزة للترقية»، وتكفي كلمة واحدة من المستخدم لإتمام أول اعتماد في تاريخ المشروع.</w:t>
      </w:r>
    </w:p>
    <w:p>
      <w:pPr>
        <w:pStyle w:val="Heading2"/>
        <w:bidi/>
        <w:spacing w:after="120" w:before="240" w:line="312"/>
        <w:jc w:val="start"/>
      </w:pPr>
      <w:bookmarkStart w:id="100003" w:name="_Toc100003"/>
      <w:r>
        <w:rPr>
          <w:rFonts w:ascii="Arial" w:cs="Arial" w:hAnsi="Arial"/>
          <w:b/>
          <w:bCs/>
          <w:color w:val="1B6B7A"/>
          <w:sz w:val="28"/>
          <w:szCs w:val="28"/>
          <w:rtl/>
        </w:rPr>
        <w:t xml:space="preserve">القرار D2 — معيار مخرجات البرنامج: محسوم بتفويض</w:t>
      </w:r>
      <w:bookmarkEnd w:id="100003"/>
    </w:p>
    <w:p>
      <w:pPr>
        <w:bidi/>
        <w:spacing w:after="120" w:line="312"/>
        <w:jc w:val="start"/>
      </w:pPr>
      <w:r>
        <w:rPr>
          <w:rFonts w:ascii="Arial" w:cs="Arial" w:hAnsi="Arial"/>
          <w:color w:val="000000"/>
          <w:sz w:val="24"/>
          <w:szCs w:val="24"/>
          <w:rtl/>
        </w:rPr>
        <w:t xml:space="preserve">حُسم التناقض المرتب منذ الدورة الأولى (المرجع الحاكم يشترط ثلاثة مخرجات بينما عقود التشغيل أُغلقت على اثنين) باعتماد المعيار الثلاثي: صفحة ويب تفاعلية وملف Markdown وملف Word، جميعها تُولَّد من المصدر الموحد لبيانات الأسعار والكتالوج دون تحرير منفصل يفتح باب الانحراف الدلالي. حُدد إيقاع التوليد عند اكتمال كل دفعة وعند كل حزمة قرارات حوكمية — وهذا التقرير نفسه هو التنفيذ الأول للمعيار الجديد. اختير الخيار الثلاثي على تحرير المرجع الحاكم إلى معيار مزدوج لسببين: الترجيح لسلطة المرجع الأعلى دون المساس به، وسلوك المستخدم الفعلي الذي طلب ملفات Word واستخدمها سابقًا في مشاركة النتائج خارج الجلسة.</w:t>
      </w:r>
    </w:p>
    <w:p>
      <w:pPr>
        <w:pStyle w:val="Heading2"/>
        <w:bidi/>
        <w:spacing w:after="120" w:before="240" w:line="312"/>
        <w:jc w:val="start"/>
      </w:pPr>
      <w:bookmarkStart w:id="100004" w:name="_Toc100004"/>
      <w:r>
        <w:rPr>
          <w:rFonts w:ascii="Arial" w:cs="Arial" w:hAnsi="Arial"/>
          <w:b/>
          <w:bCs/>
          <w:color w:val="1B6B7A"/>
          <w:sz w:val="28"/>
          <w:szCs w:val="28"/>
          <w:rtl/>
        </w:rPr>
        <w:t xml:space="preserve">القرار D5 — تدوير توكن Notion: محسوم قرارًا، وبقية الفعل بيد المستخدم</w:t>
      </w:r>
      <w:bookmarkEnd w:id="100004"/>
    </w:p>
    <w:p>
      <w:pPr>
        <w:bidi/>
        <w:spacing w:after="120" w:line="312"/>
        <w:jc w:val="start"/>
      </w:pPr>
      <w:r>
        <w:rPr>
          <w:rFonts w:ascii="Arial" w:cs="Arial" w:hAnsi="Arial"/>
          <w:color w:val="000000"/>
          <w:sz w:val="24"/>
          <w:szCs w:val="24"/>
          <w:rtl/>
        </w:rPr>
        <w:t xml:space="preserve">حُسم القرار باعتماد التدوير الفوري دون بديل، لأن التوكن أثبت قدرة كتابة فعلية (أول كتابات ناجحة في تاريخ المشروع خلال مزامنة MEC-2.0)، ووجوده كنص صريح في ملفات مخزنة يرفع درجة الخطر الأمني إلى الأعلى. نُفذ الجانب التقني المتاح للمحرك كاملًا في هذه الجلسة: أُزيل نص التوكن من السكربتات الخمسة جميعها، ونُقل إلى ملف بيئة مستثنى من نظام الإصدارات، وحُولت السكربتات إلى قراءة متغير بيئة مع اختبار حي ناجح عبر المسار الجديد. بقي فعل التوليد والإبطال بيد المستخدم (خمس دقائق، بخطوات مفصلة في وثيقة القرارات): توليد سر جديد من إعدادات التكامل، تحديث سطر واحد في ملف البيئة، ثم إبطال القديم — مع توصية إضافية بتقييد نطاق وصول التكامل لصفحات المشروع فقط بدل مشاركة مساحة العمل الكاملة.</w:t>
      </w:r>
    </w:p>
    <w:p>
      <w:pPr>
        <w:pStyle w:val="Heading2"/>
        <w:bidi/>
        <w:spacing w:after="120" w:before="240" w:line="312"/>
        <w:jc w:val="start"/>
      </w:pPr>
      <w:bookmarkStart w:id="100005" w:name="_Toc100005"/>
      <w:r>
        <w:rPr>
          <w:rFonts w:ascii="Arial" w:cs="Arial" w:hAnsi="Arial"/>
          <w:b/>
          <w:bCs/>
          <w:color w:val="1B6B7A"/>
          <w:sz w:val="28"/>
          <w:szCs w:val="28"/>
          <w:rtl/>
        </w:rPr>
        <w:t xml:space="preserve">لوحة القرارات المحدثة</w:t>
      </w:r>
      <w:bookmarkEnd w:id="100005"/>
    </w:p>
    <w:p>
      <w:pPr>
        <w:keepNext/>
        <w:bidi/>
        <w:spacing w:after="80" w:before="160" w:line="312"/>
        <w:jc w:val="start"/>
      </w:pPr>
      <w:r>
        <w:rPr>
          <w:rFonts w:ascii="Arial" w:cs="Arial" w:hAnsi="Arial"/>
          <w:b/>
          <w:bCs/>
          <w:color w:val="162235"/>
          <w:sz w:val="21"/>
          <w:szCs w:val="21"/>
          <w:rtl/>
        </w:rPr>
        <w:t xml:space="preserve">حالة قرارات D1–D7 بعد حزمة التفويض (2026-09-27)</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القرار</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الموضوع</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المُحسِّم</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بوابة الاعتماد الأولي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محسوم — اعتُمدت قاعدة الاستثناء التأسيسي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 بتفويض صريح</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D2</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معيار المخرجات</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محسوم — المعيار الثلاثي بإيقاع توليد محدد</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محرك z.ai بتفويض صريح</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D3</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إعادة توطين فئة Free Fire</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مُدمج في تشغيل الدفعة 2</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تنفيذ تشغيلي</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D4</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مجموعتا الحجر (SheerID والحسابات المشتركة)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مفتوح — أُضيفت أدلة MEC-2.0</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بيد المستخدم</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D5</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تدوير التوكن</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محسوم قرارًا — الفعل بيد المستخدم (5 دقائق)</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قرار بالتفويض، فعل بالمستخدم</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D6</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مهمة المراقبة الأسبوعية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مفتوح</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بيد المستخدم</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D7</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تخويل الدفعة 2</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منفذ بالكامل (MEC-2.1)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المستخدم</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ترقية v4.2 إلى معتمدة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جاهزة للتوقيع — تنتظر كلمة المستخدم</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بيد المستخدم حصرًا</w:t>
            </w:r>
          </w:p>
        </w:tc>
      </w:tr>
    </w:tbl>
    <w:p>
      <w:pPr>
        <w:spacing w:after="120"/>
      </w:pP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حق النقض محفوظ بالكامل: كل حسم في هذه الحزمة قابل للنقض بكلمة من المستخدم، ويُسجل النقض في سجل القرارات ويُعاد فتح البند بلا كلفة حوكمة إضافية.</w:t>
      </w:r>
    </w:p>
    <w:p>
      <w:pPr>
        <w:pStyle w:val="Heading1"/>
        <w:bidi/>
        <w:spacing w:after="160" w:before="360" w:line="312"/>
        <w:jc w:val="start"/>
      </w:pPr>
      <w:bookmarkStart w:id="100006" w:name="_Toc100006"/>
      <w:r>
        <w:rPr>
          <w:rFonts w:ascii="Arial" w:cs="Arial" w:hAnsi="Arial"/>
          <w:b/>
          <w:bCs/>
          <w:color w:val="162235"/>
          <w:sz w:val="32"/>
          <w:szCs w:val="32"/>
          <w:rtl/>
        </w:rPr>
        <w:t xml:space="preserve">3. الكتالوج الموحد ودفتر التغطية الصادق</w:t>
      </w:r>
      <w:bookmarkEnd w:id="100006"/>
    </w:p>
    <w:p>
      <w:pPr>
        <w:bidi/>
        <w:spacing w:after="120" w:line="312"/>
        <w:jc w:val="start"/>
      </w:pPr>
      <w:r>
        <w:rPr>
          <w:rFonts w:ascii="Arial" w:cs="Arial" w:hAnsi="Arial"/>
          <w:color w:val="000000"/>
          <w:sz w:val="24"/>
          <w:szCs w:val="24"/>
          <w:rtl/>
        </w:rPr>
        <w:t xml:space="preserve">بُني الكتالوج البرامجي CP-1 من 437 وحدة SKU موزعة على عشر عائلات منتجات، بتفكيك موثق من هياكل الخطط الرسمية فقط ودون اختراع سمات: بطاقات الهدايا (أكبر عائلة)، والاشتراكات الرقمية، ومفاتيح الألعاب، وشحن الألعاب، والذكاء الاصطناعي وخدماته، والبرمجيات والتراخيص، والأرقام الافتراضية، وخدمات التواصل الاجتماعي، وشرائح eSIM، وخدمات الواجهات البرمجية. صُنفت الوحدات بثلاث أولويات تنفيذية: P1 بواقع 46 وحدة (نُفذت في الدفعة الأولى)، وP2 بواقع 173 وحدة (نُفذت في الدفعة الثانية)، وP3 بواقع 218 وحدة (مجدولة بجلسة منفصلة بسبب حصة الاستعلامات).</w:t>
      </w:r>
    </w:p>
    <w:p>
      <w:pPr>
        <w:bidi/>
        <w:spacing w:after="120" w:line="312"/>
        <w:jc w:val="start"/>
      </w:pPr>
      <w:r>
        <w:rPr>
          <w:rFonts w:ascii="Arial" w:cs="Arial" w:hAnsi="Arial"/>
          <w:color w:val="000000"/>
          <w:sz w:val="24"/>
          <w:szCs w:val="24"/>
          <w:rtl/>
        </w:rPr>
        <w:t xml:space="preserve">يظل دفتر التغطية الصادق هو الأداة الحاكمة لقراءة أي رقم في هذا التقرير: كل وحدة SKU تحمل حالة دورة حياة صريحة (بحثت بعروض صالحة / خط أساس رسمي فقط / بحثت دون عرض صالح / محدودة الاسترجاع / لم تُبحث بعد)، ولا يجوز تجميع الأرقام عبر الدفعات دون موازاة حالات الأدلة. بعد أربع تشغيلات، الحالة الكلية للكتالوج: 219 وحدة لها سجلات ذكاء (منها 47 بعروض معلنة من قنوات محددة و26 بخطوط أساس رسمية و108 بُحثت دون عرض صالح مستبعد بمراجعة يدوية موثقة و18 محدودة الاسترجاع باستئناف مجدول)، و218 وحدة من الفئة P3 لم تُبحث بعد إطلاقًا — وهي أكبر فجوة تغطية معلنة في البرنامج.</w:t>
      </w:r>
    </w:p>
    <w:p>
      <w:pPr>
        <w:keepNext/>
        <w:bidi/>
        <w:spacing w:after="80" w:before="160" w:line="312"/>
        <w:jc w:val="start"/>
      </w:pPr>
      <w:r>
        <w:rPr>
          <w:rFonts w:ascii="Arial" w:cs="Arial" w:hAnsi="Arial"/>
          <w:b/>
          <w:bCs/>
          <w:color w:val="162235"/>
          <w:sz w:val="21"/>
          <w:szCs w:val="21"/>
          <w:rtl/>
        </w:rPr>
        <w:t xml:space="preserve">خريطة التغطية الحالية (437 وحدة SKU)</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النطاق</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العدد</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الدلالة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الدفعة 1 (P1)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منفذة بالكامل — 142 إجراء بحثيًا</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46</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15 مشاهدة مباشرة + 21 معلن/رسمي + حالات صادقة</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الدفعة 2 (P2)</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منفذة على مستوى المقتطفات — 115/130 استعلامًا</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173</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47 عرضًا معلنًا + 26 رسميًا + 108 ضجيجًا مستبعدًا + 18 مؤجلة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الدفعة 3 (P3)</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لم تُبحث — Unsearched</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218</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مطلوبة جلسة منفصلة (حصة الاستعلامات)</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الاستئناف المؤجل</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15 استعلامًا معاد جدولتها</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18 وحدة SKU</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سكربت الاستئناف جاهز ومُختبَر، ينتظر تصفير الحصة</w:t>
            </w:r>
          </w:p>
        </w:tc>
      </w:tr>
    </w:tbl>
    <w:p>
      <w:pPr>
        <w:spacing w:after="120"/>
      </w:pPr>
    </w:p>
    <w:p>
      <w:pPr>
        <w:pStyle w:val="Heading1"/>
        <w:bidi/>
        <w:spacing w:after="160" w:before="360" w:line="312"/>
        <w:jc w:val="start"/>
      </w:pPr>
      <w:bookmarkStart w:id="100007" w:name="_Toc100007"/>
      <w:r>
        <w:rPr>
          <w:rFonts w:ascii="Arial" w:cs="Arial" w:hAnsi="Arial"/>
          <w:b/>
          <w:bCs/>
          <w:color w:val="162235"/>
          <w:sz w:val="32"/>
          <w:szCs w:val="32"/>
          <w:rtl/>
        </w:rPr>
        <w:t xml:space="preserve">4. ذكاء الأسعار — الدفعة الأولى (46 وحدة P1)</w:t>
      </w:r>
      <w:bookmarkEnd w:id="100007"/>
    </w:p>
    <w:p>
      <w:pPr>
        <w:bidi/>
        <w:spacing w:after="120" w:line="312"/>
        <w:jc w:val="start"/>
      </w:pPr>
      <w:r>
        <w:rPr>
          <w:rFonts w:ascii="Arial" w:cs="Arial" w:hAnsi="Arial"/>
          <w:color w:val="000000"/>
          <w:sz w:val="24"/>
          <w:szCs w:val="24"/>
          <w:rtl/>
        </w:rPr>
        <w:t xml:space="preserve">أنجزت الدفعة الأولى 142 إجراء بحثيًا ضمن ميزانية تعاقدية موثقة (96 إجراء أساسيًا + احتياطي + تعديل تحقق موثق + استردادات حسب بروتوكول حد المعدل)، وأنتجت أول 15 وحدة SKU بأسعار مشاهدة مباشرة في تاريخ الفحص. أبرز المراسي السعرية الحية الموثقة: اشتراك Xbox Game Pass Ultimate عند 22.99 دولارًا من مايكروسوفت مباشرة، وNetflix Standard عند 19.99 دولارًا (مع خطة الإعلانات عند 8.99)، وSpotify الفردية عند 12.99، وYouTube Premium عند 15.99 مع توثيق الخطة الجديدة Lite عند 8.99، وDiscord Nitro الكامل عند 9.99 (وBasic عند 2.99).</w:t>
      </w:r>
    </w:p>
    <w:p>
      <w:pPr>
        <w:bidi/>
        <w:spacing w:after="120" w:line="312"/>
        <w:jc w:val="start"/>
      </w:pPr>
      <w:r>
        <w:rPr>
          <w:rFonts w:ascii="Arial" w:cs="Arial" w:hAnsi="Arial"/>
          <w:color w:val="000000"/>
          <w:sz w:val="24"/>
          <w:szCs w:val="24"/>
          <w:rtl/>
        </w:rPr>
        <w:t xml:space="preserve">في طبقة البرمجيات العميقة الخصم، وثّقت قراءة مباشرة حية لموقع Keyforsteam الألماني: مفتاح Windows 11 Pro عند 1.03 يورو (من بائع Keywrld)، وOffice 2024 Pro Plus عند 0.56 يورو (من بائع Keys4us)، وOffice 2021 عند 2.44 يورو — وهي أرضية سوق رمادية للمفاتيح الحجمية تجاهلتها قنوات التجزئة الكبرى. وفي الاشتراكات المشتركة، وثّق السوق الروسي GGSel ترقية ChatGPT Plus من 749 روبل (≈9.44 دولارًا) بحالة «مستقرة»، مقابل أدنى معلن 4.72 دولارًا عبر Z2U لحساب مشترك — الفارق بين الحالتين هو علاوة الاستقرار لا خصم المنتج.</w:t>
      </w:r>
    </w:p>
    <w:p>
      <w:pPr>
        <w:keepNext/>
        <w:bidi/>
        <w:spacing w:after="80" w:before="160" w:line="312"/>
        <w:jc w:val="start"/>
      </w:pPr>
      <w:r>
        <w:rPr>
          <w:rFonts w:ascii="Arial" w:cs="Arial" w:hAnsi="Arial"/>
          <w:b/>
          <w:bCs/>
          <w:color w:val="162235"/>
          <w:sz w:val="21"/>
          <w:szCs w:val="21"/>
          <w:rtl/>
        </w:rPr>
        <w:t xml:space="preserve">أهم المراسي السعرية الموثقة مباشرة (الدفعة 1 + MEC-2.0)</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السعر الموثق</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البائع</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نوع الدليل</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Xbox Game Pass Ultimate — شهر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$22.99</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Microsoft Xbox</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Netflix Standard — شهر (US)</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$19.99</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Netflix</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Spotify Premium فردية — شهر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$12.99</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Spotify</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YouTube Premium فردية — شهر</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$15.99 (Lite: $8.99)</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Google/YouTube</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Discord Nitro — شهر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$9.99 (Basic: $2.99)</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Discord</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Windows 11 Pro — مفتاح</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€1.03 ≈ $1.17</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Keywrld عبر Keyforsteam</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Office 2024 Pro Plus — مفتاح</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€0.56 ≈ $0.64</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Keys4us عبر Keyforsteam</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 ترقية شهر</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749₽ ≈ $9.44</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GGSel</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eSIM أمريكا 1GB/7 أيام</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 $4.00</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Airalo</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مباشر حي 27/09</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PSN 10 دولارًا — لبنان</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$9.07</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Turgame</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موروث 25/09 (خطر قدم)</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Steam Wallet 20 دولارًا — أمريكا</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$20.93</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Eneba</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موروث 25/09 (خطر قدم)</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AI Pro — 18 شهرًا (رابط عرض)</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$0.39–0.59</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 API/التجزئة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معلن مرصود 27/09 (MEC-2.0)</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 شهر (ضمان ساعتين)</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$4.50 USDT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Evo Era</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معلن مرصود 27/09 (MEC-2.0)</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Netflix Premium — شهر (حساب خاص)</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$3.99</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معلن مرصود 27/09 (MEC-2.0)</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Duolingo Super — 12 شهرًا</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$0.50–0.59 API</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معلن مرصود 27/09 (MEC-2.0)</w:t>
            </w:r>
          </w:p>
        </w:tc>
      </w:tr>
    </w:tbl>
    <w:p>
      <w:pPr>
        <w:spacing w:after="120"/>
      </w:pP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«مباشر حي» تعني قراءة الصفحة الفعلية بتاريخ الفحص. «موروث» يعني مشاهدة من تشغيل 25/09 موسومة بخطر قِدَم محتمل (يومان). «معلن مرصود» يعني مشاهدة مباشرة للإعلان نفسه في قناة البائع دون تنفيذ معاملة — التحقق المعاملي غير منفذ بحكم التصميم.</w:t>
      </w:r>
    </w:p>
    <w:p>
      <w:pPr>
        <w:pStyle w:val="Heading1"/>
        <w:bidi/>
        <w:spacing w:after="160" w:before="360" w:line="312"/>
        <w:jc w:val="start"/>
      </w:pPr>
      <w:bookmarkStart w:id="100008" w:name="_Toc100008"/>
      <w:r>
        <w:rPr>
          <w:rFonts w:ascii="Arial" w:cs="Arial" w:hAnsi="Arial"/>
          <w:b/>
          <w:bCs/>
          <w:color w:val="162235"/>
          <w:sz w:val="32"/>
          <w:szCs w:val="32"/>
          <w:rtl/>
        </w:rPr>
        <w:t xml:space="preserve">5. الدفعة الثانية (173 وحدة P2) — النتائج والاكتشافات الهيكلية</w:t>
      </w:r>
      <w:bookmarkEnd w:id="100008"/>
    </w:p>
    <w:p>
      <w:pPr>
        <w:bidi/>
        <w:spacing w:after="120" w:line="312"/>
        <w:jc w:val="start"/>
      </w:pPr>
      <w:r>
        <w:rPr>
          <w:rFonts w:ascii="Arial" w:cs="Arial" w:hAnsi="Arial"/>
          <w:color w:val="000000"/>
          <w:sz w:val="24"/>
          <w:szCs w:val="24"/>
          <w:rtl/>
        </w:rPr>
        <w:t xml:space="preserve">خُطط للدفعة الثانية 130 استعلامًا تغطي الوحدات الـ173 كاملة (بعد ضبط أربعة استعلامات ناقصة رُصدت قبل التشغيل)، ونُفذ 115 منها بنجاح وصفر إخفاق قبل اصطدام طويل بنافذة حصة الاستعلامات (خطأ 477 استمر أكثر من 45 دقيقة رغم بروتوكول التبريد)، فأُجلت 15 استعلامًا أخيرة وفق بروتوكول التعافي الموثق مع سكربت استئناف جاهز. كل أسعار هذه الدفعة بمستوى «معلن عبر مقتطف بحث» — القراءة المباشرة للصفحات مؤجلة، وهذا قيد صادق مصنف على كل رقم أدناه.</w:t>
      </w:r>
    </w:p>
    <w:p>
      <w:pPr>
        <w:bidi/>
        <w:spacing w:after="120" w:line="312"/>
        <w:jc w:val="start"/>
      </w:pPr>
      <w:r>
        <w:rPr>
          <w:rFonts w:ascii="Arial" w:cs="Arial" w:hAnsi="Arial"/>
          <w:color w:val="000000"/>
          <w:sz w:val="24"/>
          <w:szCs w:val="24"/>
          <w:rtl/>
        </w:rPr>
        <w:t xml:space="preserve">أنتجت الدفعة 47 وحدة بعروض معلنة من قنوات محددة، و26 وحدة بخطوط أساس رسمية موثقة (منها ما وثّق عدم وجود خطة رسمية أصلًا — انظر الاكتشاف الهيكلي الثالث)، و108 وحدات بُحثت دون عرض صالح. رفضت المراجعة اليدوية الـ90 مرشحًا أوليًا واحدًا واحدًا واستبعدت الضجيج المنهجي الموثق: بطاقات هدايا المتاجر نفسها التي لوّثت استعلامات Steam وXbox وGoogle Play، والفئات الخاطئة، وعروض DLC المتقاطعة — كل استبعاد موثق بسببته، وهذا درس تشغيلي مفيد: الاستخراج الآلي وحده لا يكفي في هذا السوق دون طبقة تنقيح بشري.</w:t>
      </w:r>
    </w:p>
    <w:p>
      <w:pPr>
        <w:pStyle w:val="Heading2"/>
        <w:bidi/>
        <w:spacing w:after="120" w:before="240" w:line="312"/>
        <w:jc w:val="start"/>
      </w:pPr>
      <w:bookmarkStart w:id="100009" w:name="_Toc100009"/>
      <w:r>
        <w:rPr>
          <w:rFonts w:ascii="Arial" w:cs="Arial" w:hAnsi="Arial"/>
          <w:b/>
          <w:bCs/>
          <w:color w:val="1B6B7A"/>
          <w:sz w:val="28"/>
          <w:szCs w:val="28"/>
          <w:rtl/>
        </w:rPr>
        <w:t xml:space="preserve">أهم الاكتشافات السعرية المعلنة</w:t>
      </w:r>
      <w:bookmarkEnd w:id="100009"/>
    </w:p>
    <w:p>
      <w:pPr>
        <w:keepNext/>
        <w:bidi/>
        <w:spacing w:after="80" w:before="160" w:line="312"/>
        <w:jc w:val="start"/>
      </w:pPr>
      <w:r>
        <w:rPr>
          <w:rFonts w:ascii="Arial" w:cs="Arial" w:hAnsi="Arial"/>
          <w:b/>
          <w:bCs/>
          <w:color w:val="162235"/>
          <w:sz w:val="21"/>
          <w:szCs w:val="21"/>
          <w:rtl/>
        </w:rPr>
        <w:t xml:space="preserve">أفضل الأسعار المعلنة في الدفعة 2 (قنوات محددة، 27/09)</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أفضل معلن</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البائع</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ملاحظة الهوية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PSN Card 20 دولارًا — أمريكا</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$19.04 (خصم 5%)</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Eneba</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مطابقة</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PSN Card 25 دولارًا — أمريكا</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$23.67 (خصم 5%)</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Eneba</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مطابقة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PSN Card 50 دولارًا — الأرجنتين</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$34.81 (نفد) / $67.91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Eneba / cardkudo</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فوق الاسمي — سوق علاوة أرجنتيني</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Google Play 100 دولارًا</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خصم 4% ≈ $96</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Kinguin</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خصم نسبي مطلق</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Razer Gold 50 دولارًا</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$47.00–48.54</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sodagift / Eneba</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مطابقة</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GTA V Enhanced</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$6.79–9.71</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loaded.com / GameBoost</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الرسمي انخفض إلى $29.99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Elden Ring</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$46.44–46.58</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Eneba / Gocdkeys</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خصم 31%</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Assassin's Creed Shadows</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$21.48</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Kinguin</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مطابقة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Windows 10 Pro</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£0.75 ≈ $1.02</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Wincdkey</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أرضية المفاتيح الرمادية</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Office 2024 Pro Plus</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$0.60</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Keys4us</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يعزز رصد €0.56 السابق — مصدران مستقلان</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Fortnite 2800 V-Bucks</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$6.99</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sythe.org (منتدى رمادي)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تحت الرسمي بـ65% — عالي الخطورة بلا ضمان منصة</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Valorant 2050 VP</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$19.49</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loaded.com</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خصم 2.6%</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مقعد Spotify Family — الهند</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₹119 ≈ $1.37/شهر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بائع Telegram (telemetr.io)</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يعزز نموذج استخراج المقاعد</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رقم Telegram — مصر</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 $1.61</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PvaPins</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مطابقة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متابعو Instagram /1000</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 $0.01–0.09</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لوحات SMM</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أرضية اللوحات — لا مرساة رسمية بالتصميم</w:t>
            </w:r>
          </w:p>
        </w:tc>
      </w:tr>
    </w:tbl>
    <w:p>
      <w:pPr>
        <w:spacing w:after="120"/>
      </w:pPr>
    </w:p>
    <w:p>
      <w:pPr>
        <w:pStyle w:val="Heading2"/>
        <w:bidi/>
        <w:spacing w:after="120" w:before="240" w:line="312"/>
        <w:jc w:val="start"/>
      </w:pPr>
      <w:bookmarkStart w:id="100010" w:name="_Toc100010"/>
      <w:r>
        <w:rPr>
          <w:rFonts w:ascii="Arial" w:cs="Arial" w:hAnsi="Arial"/>
          <w:b/>
          <w:bCs/>
          <w:color w:val="1B6B7A"/>
          <w:sz w:val="28"/>
          <w:szCs w:val="28"/>
          <w:rtl/>
        </w:rPr>
        <w:t xml:space="preserve">الاكتشافات الهيكلية الخمسة للدفعة الثانية</w:t>
      </w:r>
      <w:bookmarkEnd w:id="100010"/>
    </w:p>
    <w:p>
      <w:pPr>
        <w:bidi/>
        <w:spacing w:after="120" w:line="312"/>
        <w:jc w:val="start"/>
      </w:pPr>
      <w:r>
        <w:rPr>
          <w:rFonts w:ascii="Arial" w:cs="Arial" w:hAnsi="Arial"/>
          <w:color w:val="000000"/>
          <w:sz w:val="24"/>
          <w:szCs w:val="24"/>
          <w:rtl/>
        </w:rPr>
        <w:t xml:space="preserve">أولًا، سوق العلاوة الأرجنتيني: بطاقات PSN الأرجنتينية تُباع فوق قيمتها الاسمية (67.91 دولارًا لبطاقة اسميتها 50، بمعدل 1.36 دولار لكل دولار اسمي) — عكس منطق الخصم تمامًا. التفسير البنيوي أن أسعار متجر الأرجنتين المحلية أرخص بكثير من الأمريكية، فامتلاك بطاقة أرجنتينية يمنح وصولًا مراجَحًا إلى أسعار المتجر الأرخص، والطلب على هذه المراجحة يرفع سعر البطاقة فوق اسميتها. العرض الوحيد المرصود تحت الاسمي (34.81) كان «منتهيًا من المخزون» لحظة الرصد — ندرة العروض تحت الاسمي هي القاعدة لا الاستثناء.</w:t>
      </w:r>
    </w:p>
    <w:p>
      <w:pPr>
        <w:bidi/>
        <w:spacing w:after="120" w:line="312"/>
        <w:jc w:val="start"/>
      </w:pPr>
      <w:r>
        <w:rPr>
          <w:rFonts w:ascii="Arial" w:cs="Arial" w:hAnsi="Arial"/>
          <w:color w:val="000000"/>
          <w:sz w:val="24"/>
          <w:szCs w:val="24"/>
          <w:rtl/>
        </w:rPr>
        <w:t xml:space="preserve">ثانيًا، القناة الرمادية ليست تلقائيًا الأرخص: يبيع G2A شحنة 660 عملة PUBG بـ26.61 دولارًا أي فوق الرسمي (9.99) بنسبة 166% — تسعير القنوات الرمادية يحسب راحة الدفع البديل لا الخصم، ومن يقارن بالسعر الرسمي فقط قد يدفع أكثر عبر قناة «خصم». بالمقابل، تبيع المنتديات الرمادية المتخصصة (مثل sythe.org) نفس فئة الشحنات تحت أي متجر مفاتيح بفارق كبير (V-Bucks عند 6.99 دولارًا مقابل أكثر من ضعفها في المتاجر) لكن بلا أي ضمان منصة — الخصم الحقيقي في هذه الطبقة يدفع ثمنه من جهة المخاطرة.</w:t>
      </w:r>
    </w:p>
    <w:p>
      <w:pPr>
        <w:bidi/>
        <w:spacing w:after="120" w:line="312"/>
        <w:jc w:val="start"/>
      </w:pPr>
      <w:r>
        <w:rPr>
          <w:rFonts w:ascii="Arial" w:cs="Arial" w:hAnsi="Arial"/>
          <w:color w:val="000000"/>
          <w:sz w:val="24"/>
          <w:szCs w:val="24"/>
          <w:rtl/>
        </w:rPr>
        <w:t xml:space="preserve">ثالثًا، لا توجد خطة فوترة سنوية رسمية لـChatGPT Plus إطلاقًا (نص help.openai المقروء): كل عرض «Plus 12 شهرًا» في السوق هو بناء غير رسمي بطبيعته، يُسعّر بمنطق المقاعد والمصانع لا بمنطق الخصم عن خطة رسمية. هذه نتيجة حاسمة لقراءة أي عرض سنوي مسبق الدفع لاحقًا: مرجعه المقارن ليس «الخصم عن الرسمي السنوي» بل كلفة تصنيع الوحدة الرمادية. رابعًا، التقارب عبر مصدرين مستقلين على أرضية Office 2024 (0.56 يورو قراءة مباشرة + 0.60 دولار مقتطفًا) يرفع درجة الثقة في الأرضية دون بلوغ مستوى «موثق مباشرة» عبر المصدرين معًا. خامسًا، وثّقت الدفعة خطوط أساس رسمية جديدة توسع قدرة المقارنة المستقبلية: ChatGPT Go عند 8 دولارات، وClaude Max عند 100/200، وMidjourney عند 10/30، وCopilot Pro عند 10، وDisney+ بالإعلانات عند 9.99، وGoogle One 100GB عند 1.99، وطبقات PS+، وجدول PUBG UC الرسمي الكامل.</w:t>
      </w:r>
    </w:p>
    <w:p>
      <w:pPr>
        <w:pStyle w:val="Heading1"/>
        <w:bidi/>
        <w:spacing w:after="160" w:before="360" w:line="312"/>
        <w:jc w:val="start"/>
      </w:pPr>
      <w:bookmarkStart w:id="100011" w:name="_Toc100011"/>
      <w:r>
        <w:rPr>
          <w:rFonts w:ascii="Arial" w:cs="Arial" w:hAnsi="Arial"/>
          <w:b/>
          <w:bCs/>
          <w:color w:val="162235"/>
          <w:sz w:val="32"/>
          <w:szCs w:val="32"/>
          <w:rtl/>
        </w:rPr>
        <w:t xml:space="preserve">6. سجل القنوات §19 — التحقق الحي وتقييم 31 كيانًا</w:t>
      </w:r>
      <w:bookmarkEnd w:id="100011"/>
    </w:p>
    <w:p>
      <w:pPr>
        <w:bidi/>
        <w:spacing w:after="120" w:line="312"/>
        <w:jc w:val="start"/>
      </w:pPr>
      <w:r>
        <w:rPr>
          <w:rFonts w:ascii="Arial" w:cs="Arial" w:hAnsi="Arial"/>
          <w:color w:val="000000"/>
          <w:sz w:val="24"/>
          <w:szCs w:val="24"/>
          <w:rtl/>
        </w:rPr>
        <w:t xml:space="preserve">شكّل تحقق سجل القنوات (المادة 19 من المرجع الحاكم) أول اختبار مباشر ناجح لقناة Telegram في تاريخ المشروع، بعدما كانت الجلسات السابقة تعجز عن الوصول وتصنف الكيانات ضمن «غير قابل للرصد». عبر 31 عملية رصد مباشرة (استجابة HTTP سليمة لكل كيان)، وُثقت العناوين وعدايات المشتركين والأوصاف ومعاينات الرسائل العامة الثمانية الأخيرة وأسطر الأسعار — بمن فيها استخراج كتالوج StackVault الكامل بواقع 248 منتجًا. حُلّت هويات موحدة كانت مبهمة: دعوة +AWZ هي متجر Acczone Store، وبوتا PremiKey يعودان لمتجر HitMeow Shop، وبوت VeirfyerSupportbot هو دعم Fin Ai، وNevaKeyStore يقود إلى Neva AI.</w:t>
      </w:r>
    </w:p>
    <w:p>
      <w:pPr>
        <w:bidi/>
        <w:spacing w:after="120" w:line="312"/>
        <w:jc w:val="start"/>
      </w:pPr>
      <w:r>
        <w:rPr>
          <w:rFonts w:ascii="Arial" w:cs="Arial" w:hAnsi="Arial"/>
          <w:color w:val="000000"/>
          <w:sz w:val="24"/>
          <w:szCs w:val="24"/>
          <w:rtl/>
        </w:rPr>
        <w:t xml:space="preserve">جمع التقييم الكيانات في عشر عناقيد وظيفية، وأبرزها عنقود التوريد العلني (ProdSeller بواجهة API جماعية لخمسمئة مستخدم وأسعار جملة معلنة)، وعنقود المتاجر المنظمة (StackVault بنظام رصيد مسبق وتسليم آلي وتقييمات داخلية غير قابلة للتحقق الخارجي)، وعنقود الثقة العرضية (Verifier بضمان ثلاثي الأشهر داخل بوت وسيط وأعضاء يقاربون 26 ألفًا)، وعنقود المصانع (قنوات تعليمية تشرح طرق التصنيع خطوة بخطوة، منها منشور SheerID التعليمي الكامل). ورُصد محتوى احتيالي صريح في قناة مدرجة (أرقام بطاقات مولدة عشوائية مع CVV) فحُجرت فورًا بتصنيف D4 بأدلة مرصودة مباشرة — توثيق يحسم أن هذه الطبقة من السوق موجودة داخل السجل نفسه لا خارجه.</w:t>
      </w:r>
    </w:p>
    <w:p>
      <w:pPr>
        <w:bidi/>
        <w:spacing w:after="120" w:line="312"/>
        <w:jc w:val="start"/>
      </w:pPr>
      <w:r>
        <w:rPr>
          <w:rFonts w:ascii="Arial" w:cs="Arial" w:hAnsi="Arial"/>
          <w:color w:val="000000"/>
          <w:sz w:val="24"/>
          <w:szCs w:val="24"/>
          <w:rtl/>
        </w:rPr>
        <w:t xml:space="preserve">الخلاصة التقييمية على سؤال المستخدم «هل توجد قناة أفضل من ذولاا؟»: على المستوى الشرعي لوحدة واحدة، الجواب موثق بأن المسار الأمثل هو الاشتراكات الرسمية السنوية والمنصات المحمية — لا القنوات الرمادية. وعلى مستوى الحجم، الجواب بنعم: توجد طبقة عليا موثقة (واجهات API ولوحات الجملة: ProdSeller وGGSel وTurgame وFazerCards وReloadly) أرخص تقديريًا بخمس إلى خمس عشرة نقطة مئوية من أسعار التجزئة الرمادية مع ثبات أعلى — وهي الطبقة التي يُتوقع أن يتزود منها المنافس نفسه. أما للوحدة المفردة عبر القنوات الرمادية، فالسجل المُدقَق هو الأرضية المرصودة نفسها، ولا يوجد «أرخص موثوق» تحتها إلا منتديات عالية الخطورة بلا أي ضمان.</w:t>
      </w:r>
    </w:p>
    <w:p>
      <w:pPr>
        <w:pStyle w:val="Heading1"/>
        <w:bidi/>
        <w:spacing w:after="160" w:before="360" w:line="312"/>
        <w:jc w:val="start"/>
      </w:pPr>
      <w:bookmarkStart w:id="100012" w:name="_Toc100012"/>
      <w:r>
        <w:rPr>
          <w:rFonts w:ascii="Arial" w:cs="Arial" w:hAnsi="Arial"/>
          <w:b/>
          <w:bCs/>
          <w:color w:val="162235"/>
          <w:sz w:val="32"/>
          <w:szCs w:val="32"/>
          <w:rtl/>
        </w:rPr>
        <w:t xml:space="preserve">7. اقتصاديات سلسلة التوريد — كيف يشترون رخيصًا وكم هوامشهم</w:t>
      </w:r>
      <w:bookmarkEnd w:id="100012"/>
    </w:p>
    <w:p>
      <w:pPr>
        <w:bidi/>
        <w:spacing w:after="120" w:line="312"/>
        <w:jc w:val="start"/>
      </w:pPr>
      <w:r>
        <w:rPr>
          <w:rFonts w:ascii="Arial" w:cs="Arial" w:hAnsi="Arial"/>
          <w:color w:val="000000"/>
          <w:sz w:val="24"/>
          <w:szCs w:val="24"/>
          <w:rtl/>
        </w:rPr>
        <w:t xml:space="preserve">الإجابة الموثقة على الشرط الصارم للمستخدم تقوم على خمس طبقات مرصودة: طبقة المواد الخام شبه المجانية (بريد Gmail قديم بـ0.60–0.80 دولار، وتحقق طلابي يُشترى من الأسواق الصينية، وروابط عروض ترويجية تُستخرج جماعيًا)، فطبقة المصانع التي تصنع الحسابات (بإقرار البائع نفسه: نسبة نجاح 1–2% لطريقة الدفع الهندي، أي كل اشتراك ناجح يحمل كلفة خمسين إلى مئة محاولة فاشلة)، فطبقة الجملة وواجهات API (أول قياس مباشر: شراء بـ0.39 وبناءة API عند 0.40 وبيع تجزئة بـ0.43–0.59 — هامش طبقة يتراوح بين 10% و51%)، فطبقة التجزئة عبر بوتات Telegram والتسليم الآلي والمقاصة بعملة USDT، وأخيرًا طبقة ثقة عرضية من بوتات الضمان الوسيط بتدرج ضمان مسعّر (4.50 دولارًا لضمان ساعتين مقابل 8–10 لضمان ثلاثة أشهر — الضمان مكوّن تسعيري لا ثابت خيري).</w:t>
      </w:r>
    </w:p>
    <w:p>
      <w:pPr>
        <w:bidi/>
        <w:spacing w:after="120" w:line="312"/>
        <w:jc w:val="start"/>
      </w:pPr>
      <w:r>
        <w:rPr>
          <w:rFonts w:ascii="Arial" w:cs="Arial" w:hAnsi="Arial"/>
          <w:color w:val="000000"/>
          <w:sz w:val="24"/>
          <w:szCs w:val="24"/>
          <w:rtl/>
        </w:rPr>
        <w:t xml:space="preserve">صُنفت سبعة نماذج تزويد موثقة بالأدلة: استخراج العروض الترويجية، ومصانع الحسابات بثغرات الدفع، والتحقق الطلابي المزيف، وتقسيم الخطط العائلية، والتحكيم الإقليمي، والجملة المؤسسية المشروعة، والاحتيال الصريح (المحجور بتصنيف D4 للتوثيق فقط). القاعدة الحاكمة للقارئ المستمدة من البيانات: أي سعر أدنى من الكلفة المادية الاقتنائية للمنتج ليس «صفقة» بل مؤشر على أحد النموذجين المصنعيين أو الاحتياليين. ولهذا تُباع البنود الرمادية بنسب تتراوح من 0.1% إلى 13% من قيمتها الرسمية — التسعير لا يقوم على الكلفة بل على سقف السوق الرمادي وتوازن ندرة الطرق المرقّعة، والإشارات المرصودة (ترقيع طريقة الدفع الهندي، تقليص جوجل عروضها من 12 إلى 6 أشهر) تشير إلى ضغط عرض صاعد أي أسعار صاعدة لا هابطة.</w:t>
      </w:r>
    </w:p>
    <w:p>
      <w:pPr>
        <w:keepNext/>
        <w:bidi/>
        <w:spacing w:after="80" w:before="160" w:line="312"/>
        <w:jc w:val="start"/>
      </w:pPr>
      <w:r>
        <w:rPr>
          <w:rFonts w:ascii="Arial" w:cs="Arial" w:hAnsi="Arial"/>
          <w:b/>
          <w:bCs/>
          <w:color w:val="162235"/>
          <w:sz w:val="21"/>
          <w:szCs w:val="21"/>
          <w:rtl/>
        </w:rPr>
        <w:t xml:space="preserve">هوامش نموذجية مرصودة/مستنتجة حسب العائلة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gridCol w:w="100"/>
      </w:tblGrid>
      <w:tr>
        <w:trPr>
          <w:cantSplit/>
          <w:tblHeader/>
        </w:trPr>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الرسمي</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الأدنى المرصود (رمادي)</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الفجوة</w:t>
            </w:r>
          </w:p>
        </w:tc>
        <w:tc>
          <w:tcPr>
            <w:tcW w:type="pct" w:w="20%"/>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الهامش</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AI Pro — 18 شهرًا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$359.82</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$0.39–0.59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99.8%</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جملة→تجزئة 10–51%</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 شهر</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$20.00</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$4.50 (ضمان ساعتين) / $9.44 مستقرة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55–78%</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30–100%+ بعد كلفة الفشل</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Netflix Premium — شهر (خاص)</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$26.99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$3.99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85%</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100%+ إن كان حساب تجربة</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Spotify Premium — شهر (خاص)</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$12.99</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$4.49 (الكلفة الهندية ≈$0.79)</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65%</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≈470% على الأساس الهندي</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Duolingo Super — 12 شهرًا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$83.88</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$0.50–0.59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99.3%</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مضاعفات</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Canva Pro — لوحة 500 مستخدم</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$119.99/سنة</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$2.50</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98%</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&gt;1000% للمقعد</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Microsoft 365 — سنة/5 أجهزة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$129.99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$9.99</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92%</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100%+ حتى بافتراض تقسيم مشروع</w:t>
            </w:r>
          </w:p>
        </w:tc>
      </w:tr>
      <w:tr>
        <w:trPr>
          <w:cantSplit/>
        </w:trPr>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Office 2024 Pro Plus — مفتاح</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$249.99</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€0.56–0.60</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99.8%</w:t>
            </w:r>
          </w:p>
        </w:tc>
        <w:tc>
          <w:tcPr>
            <w:tcW w:type="pct" w:w="20%"/>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كلفة الموزع الحدية غير معروفة</w:t>
            </w:r>
          </w:p>
        </w:tc>
      </w:tr>
    </w:tbl>
    <w:p>
      <w:pPr>
        <w:spacing w:after="120"/>
      </w:pP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كل رقم في جدول الهوامش موسوم بمصدره في الوثيقة الأم (supply_chain_economics.md): مرصود مباشرة، أو مستند مصدر، أو استنتاج حسابي معلن. التحقق المعاملي غير منفذ — الأسعار إعلانية/معروضة، وهذه حدود صادقة تحكم كل الاستنتاجات.</w:t>
      </w:r>
    </w:p>
    <w:p>
      <w:pPr>
        <w:pStyle w:val="Heading1"/>
        <w:bidi/>
        <w:spacing w:after="160" w:before="360" w:line="312"/>
        <w:jc w:val="start"/>
      </w:pPr>
      <w:bookmarkStart w:id="100013" w:name="_Toc100013"/>
      <w:r>
        <w:rPr>
          <w:rFonts w:ascii="Arial" w:cs="Arial" w:hAnsi="Arial"/>
          <w:b/>
          <w:bCs/>
          <w:color w:val="162235"/>
          <w:sz w:val="32"/>
          <w:szCs w:val="32"/>
          <w:rtl/>
        </w:rPr>
        <w:t xml:space="preserve">8. الحدود الصادقة والمجهولات المعلنة</w:t>
      </w:r>
      <w:bookmarkEnd w:id="100013"/>
    </w:p>
    <w:p>
      <w:pPr>
        <w:bidi/>
        <w:spacing w:after="120" w:line="312"/>
        <w:jc w:val="start"/>
      </w:pPr>
      <w:r>
        <w:rPr>
          <w:rFonts w:ascii="Arial" w:cs="Arial" w:hAnsi="Arial"/>
          <w:color w:val="000000"/>
          <w:sz w:val="24"/>
          <w:szCs w:val="24"/>
          <w:rtl/>
        </w:rPr>
        <w:t xml:space="preserve">يلتزم هذا التقرير بتوثيق حدود المعرفة كما هي لا كما تُفضَّل: أولًا، جميع أسعار الدفعة الثانية والقنوات بمستوى «معلن» (مقتطفات وإعلانات مرصودة) ولم تُنفذ أي معاملة تحقق — الادعاءات مثل «حساب رسمي بضمان» تبقى بحاجة إلى تحقق. ثانيًا، أسعار الجملة الفعلية لبوابات B2B الثلاث الموثقة (Turgame Wholesale وFazerCards وReloadly) خلف بوابات تسجيل، وهي أكبر مجهول معلن في البرنامج برمته — ينتظر فتح الحسابات. ثالثًا، 218 وحدة من الفئة P3 لم تُبحث، و15 استعلامًا مؤجلًا بانتظار تصفير الحصة. رابعًا، التفاعل داخل بوتات التسليم (دورة الشراء الفعلية) غير منفذ بحكم التصميم، ولا بصمة سمعة مستقلة خارجية لأي عنقود من عناقيد القنوات.</w:t>
      </w:r>
    </w:p>
    <w:p>
      <w:pPr>
        <w:bidi/>
        <w:spacing w:after="120" w:line="312"/>
        <w:jc w:val="start"/>
      </w:pPr>
      <w:r>
        <w:rPr>
          <w:rFonts w:ascii="Arial" w:cs="Arial" w:hAnsi="Arial"/>
          <w:color w:val="000000"/>
          <w:sz w:val="24"/>
          <w:szCs w:val="24"/>
          <w:rtl/>
        </w:rPr>
        <w:t xml:space="preserve">خامسًا، حدود بنيوية لا يمكن رصدها خارجيًا بحكم الطبيعة: الكلفة الحدية الحقيقية لمصانع الحسابات (كلفة المحاولة الواحدة الفاشلة)، وهوامش الموزعين الفعلية في طبقة الجملة المؤسسية، وحجم السيولة المتداولة في هذا السوق. هذه الثلاثة تبقى «غير معروف بنيويًا» ما لم تُفتح حسابات وتُنفذ معاملات مرجعية — وهو بالضبط ما يقدمه ملف حسابات B2B المرفق بهذه الحزمة كأعلى رافعة معلوماتية متاحة.</w:t>
      </w:r>
    </w:p>
    <w:p>
      <w:pPr>
        <w:pStyle w:val="Heading1"/>
        <w:bidi/>
        <w:spacing w:after="160" w:before="360" w:line="312"/>
        <w:jc w:val="start"/>
      </w:pPr>
      <w:bookmarkStart w:id="100014" w:name="_Toc100014"/>
      <w:r>
        <w:rPr>
          <w:rFonts w:ascii="Arial" w:cs="Arial" w:hAnsi="Arial"/>
          <w:b/>
          <w:bCs/>
          <w:color w:val="162235"/>
          <w:sz w:val="32"/>
          <w:szCs w:val="32"/>
          <w:rtl/>
        </w:rPr>
        <w:t xml:space="preserve">9. خارطة الطريق — الخطوات التالية بترتيب الأولوية</w:t>
      </w:r>
      <w:bookmarkEnd w:id="100014"/>
    </w:p>
    <w:p>
      <w:pPr>
        <w:bidi/>
        <w:spacing w:after="120" w:line="312"/>
        <w:jc w:val="start"/>
      </w:pPr>
      <w:r>
        <w:rPr>
          <w:rFonts w:ascii="Arial" w:cs="Arial" w:hAnsi="Arial"/>
          <w:color w:val="000000"/>
          <w:sz w:val="24"/>
          <w:szCs w:val="24"/>
          <w:rtl/>
        </w:rPr>
        <w:t xml:space="preserve">أولًا وأعلى أثرًا: فتح حسابات B2B بالترتيب الأولوي المعتمد (ProdSeller API أولًا لأنه الأخف دخولًا وأسرع عائدًا معلوماتيًا، ثم Turgame Wholesale، فFazerCards، وأخيرًا Reloadly للأثقل دخولًا) مع بروتوكول الاستخراج الجاهز: أول 12 وحدة تُسعَّر في أي بوابة هي مراسي P1 المؤكدة، وكل سعر يُرى داخل بوابة جملة يُصنف «مشاهدًا مباشرة» بتاريخ ولقطة — أول أسعار بهذا المستوى من طبقة الجملة في تاريخ المشروع، وتُحسب فوارق التجزئة-الجملة تلقائيًا وتُدمج في جداول الهوامش.</w:t>
      </w:r>
    </w:p>
    <w:p>
      <w:pPr>
        <w:bidi/>
        <w:spacing w:after="120" w:line="312"/>
        <w:jc w:val="start"/>
      </w:pPr>
      <w:r>
        <w:rPr>
          <w:rFonts w:ascii="Arial" w:cs="Arial" w:hAnsi="Arial"/>
          <w:color w:val="000000"/>
          <w:sz w:val="24"/>
          <w:szCs w:val="24"/>
          <w:rtl/>
        </w:rPr>
        <w:t xml:space="preserve">ثانيًا: تنفيذ سكربت الاستئناف الـ15 المؤجل عند تصفير الحصة (جاهز ومختبَر وذاتي الاستئناف)، ثم الدفعة الثالثة (218 وحدة P3) بجلسة منفصلة مع تخطيط الحصة المستفاد من حادثتي حد المعدل الموثقتين. ثالثًا: كلمة المستخدم في ترقية v4.2 إلى أول نسخة معتمدة في تاريخ المشروع (الشروط موثقة ومستوفاة ثلاثة من أربعة، والبوابة مفتوحة). رابعًا: تدوير توكن Notion (خمس دقائق بخطوات جاهزة) وتقييد نطاق التكامل. خامسًا: إعادة النظر في القرارين المفتوحين D4 (مصير مجموعتي الحجر بعد الأدلة الجديدة) وD6 (مهمة المراقبة الأسبوعية) — كلاهما جاهز للعرض على المستخدم بأدلة مكتملة.</w:t>
      </w:r>
    </w:p>
    <w:p>
      <w:pPr>
        <w:pBdr>
          <w:top w:val="single" w:color="C8DDE2" w:sz="2" w:space="4"/>
          <w:bottom w:val="single" w:color="C8DDE2" w:sz="2" w:space="4"/>
          <w:left w:val="single" w:color="C8DDE2" w:sz="2" w:space="4"/>
          <w:right w:val="single" w:color="1B6B7A" w:sz="12" w:space="8"/>
        </w:pBdr>
        <w:shd w:fill="EDF3F5" w:val="clear"/>
        <w:bidi/>
        <w:spacing w:after="160" w:before="120" w:line="312"/>
        <w:jc w:val="start"/>
      </w:pPr>
      <w:r>
        <w:rPr>
          <w:rFonts w:ascii="Arial" w:cs="Arial" w:hAnsi="Arial"/>
          <w:b/>
          <w:bCs/>
          <w:color w:val="1B6B7A"/>
          <w:sz w:val="22"/>
          <w:szCs w:val="22"/>
          <w:rtl/>
        </w:rPr>
        <w:t xml:space="preserve">ملاحظة حاكمة: </w:t>
      </w:r>
      <w:r>
        <w:rPr>
          <w:rFonts w:ascii="Arial" w:cs="Arial" w:hAnsi="Arial"/>
          <w:color w:val="000000"/>
          <w:sz w:val="22"/>
          <w:szCs w:val="22"/>
          <w:rtl/>
        </w:rPr>
        <w:t xml:space="preserve">التزم هذا التقرير بحدوده: لا ادعاء «أرخص عالميًا»، ولا ترقية بلا تصريح، ولا رقم بلا مصدر مصنف. كل الفجوات أعلاه موثقة بحالاتها الصادقة، وسجل التدقيق الكامل متاح في الوثائق المرجعية المرافقة (sku_database.md وchannel_evaluation.json وsupply_chain_economics.md وdecisions_d1_d2_d5_b2b.md).</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bidi/>
      <w:jc w:val="start"/>
    </w:pPr>
    <w:r>
      <w:rPr>
        <w:rFonts w:ascii="Arial" w:cs="Arial" w:hAnsi="Arial"/>
        <w:color w:val="808080"/>
        <w:sz w:val="18"/>
        <w:szCs w:val="18"/>
        <w:rtl/>
      </w:rPr>
      <w:t xml:space="preserve">التقرير البرامجي الشامل — محرك استخبارات الموردين التكيّفي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235"/>
      <w:sz w:val="32"/>
      <w:szCs w:val="32"/>
    </w:rPr>
  </w:style>
  <w:style w:type="paragraph" w:styleId="Heading2">
    <w:name w:val="Heading 2"/>
    <w:basedOn w:val="Normal"/>
    <w:next w:val="Normal"/>
    <w:qFormat/>
    <w:pPr>
      <w:spacing w:after="120" w:before="240" w:line="312"/>
      <w:outlineLvl w:val="1"/>
    </w:pPr>
    <w:rPr>
      <w:rFonts w:ascii="Arial" w:cs="Arial" w:hAnsi="Arial"/>
      <w:b/>
      <w:bCs/>
      <w:color w:val="1B6B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2026-09-27T03:55:52.419Z</dcterms:created>
  <dcterms:modified xsi:type="dcterms:W3CDTF">2026-09-27T03:55:52.419Z</dcterms:modified>
</cp:coreProperties>
</file>

<file path=docProps/custom.xml><?xml version="1.0" encoding="utf-8"?>
<Properties xmlns="http://schemas.openxmlformats.org/officeDocument/2006/custom-properties" xmlns:vt="http://schemas.openxmlformats.org/officeDocument/2006/docPropsVTypes"/>
</file>