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B54A1"/>
          <w:sz w:val="18"/>
          <w:szCs w:val="18"/>
        </w:rPr>
        <w:t xml:space="preserve">FINAL REPORT  ·  DATA ANALYSIS CAMP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B54A1"/>
          <w:sz w:val="48"/>
          <w:szCs w:val="48"/>
        </w:rPr>
        <w:t xml:space="preserve">MeridianHealth Retail &amp; Supply Chain</w:t>
      </w:r>
    </w:p>
    <w:p>
      <w:pPr>
        <w:pBdr>
          <w:bottom w:val="single" w:color="F2C94C" w:sz="12" w:space="4"/>
        </w:pBdr>
        <w:spacing w:after="80"/>
      </w:pPr>
      <w:r>
        <w:rPr>
          <w:rFonts w:ascii="Calibri" w:cs="Calibri" w:eastAsia="Calibri" w:hAnsi="Calibri"/>
          <w:color w:val="374151"/>
          <w:sz w:val="32"/>
          <w:szCs w:val="32"/>
        </w:rPr>
        <w:t xml:space="preserve">Insights &amp; Strategic Recommendations</w:t>
      </w:r>
    </w:p>
    <w:p>
      <w:pPr>
        <w:spacing w:after="110" w:line="276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Question answered: how can operational data from 12 pharmacy stores drive decisions that grow revenue, cut inventory waste, optimise staffing and deepen customer loyalty?</w:t>
      </w:r>
    </w:p>
    <w:p>
      <w:pPr>
        <w:pStyle w:val="Heading1"/>
        <w:pBdr>
          <w:bottom w:val="single" w:color="F2C94C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2B54A1"/>
          <w:sz w:val="30"/>
          <w:szCs w:val="30"/>
        </w:rPr>
        <w:t xml:space="preserve">1. Executive summary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640"/>
      </w:tblGrid>
      <w:tr>
        <w:trPr>
          <w:tblHeader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4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$3.16M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Total profit</w:t>
            </w:r>
          </w:p>
        </w:tc>
        <w:tc>
          <w:tcPr>
            <w:tcW w:type="dxa" w:w="4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$1.11M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Weighted margin</w:t>
            </w:r>
          </w:p>
        </w:tc>
        <w:tc>
          <w:tcPr>
            <w:tcW w:type="dxa" w:w="4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35.1%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Average discount</w:t>
            </w:r>
          </w:p>
        </w:tc>
        <w:tc>
          <w:tcPr>
            <w:tcW w:type="dxa" w:w="4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12.6%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Transactions / average basket</w:t>
            </w:r>
          </w:p>
        </w:tc>
        <w:tc>
          <w:tcPr>
            <w:tcW w:type="dxa" w:w="4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9,900  /  $319.09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Active customers</w:t>
            </w:r>
          </w:p>
        </w:tc>
        <w:tc>
          <w:tcPr>
            <w:tcW w:type="dxa" w:w="4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1,456 of 1,500 registered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Stock value at cost</w:t>
            </w:r>
          </w:p>
        </w:tc>
        <w:tc>
          <w:tcPr>
            <w:tcW w:type="dxa" w:w="4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$50.46M</w:t>
            </w:r>
          </w:p>
        </w:tc>
      </w:tr>
    </w:tbl>
    <w:p>
      <w:pPr>
        <w:spacing w:after="80"/>
      </w:pPr>
    </w:p>
    <w:p>
      <w:p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Five findings matter most. Each is computed directly from the data model; where they differ from the project brief’s working hypotheses, section 6 shows how.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Margin loss is concentrated in three stores. </w:t>
      </w:r>
      <w:r>
        <w:rPr>
          <w:rFonts w:ascii="Calibri" w:cs="Calibri" w:eastAsia="Calibri" w:hAnsi="Calibri"/>
          <w:sz w:val="21"/>
          <w:szCs w:val="21"/>
        </w:rPr>
        <w:t xml:space="preserve">Wellness Corner, CuraMax Superstore and MediHealth Downtown earn 21% of revenue but only 12.7% of profit. Their margin is about 21% against 38.8% elsewhere, because they discount at 27.9% on average versus 7.5%.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Vitamins &amp; Supplements is the weakest category. </w:t>
      </w:r>
      <w:r>
        <w:rPr>
          <w:rFonts w:ascii="Calibri" w:cs="Calibri" w:eastAsia="Calibri" w:hAnsi="Calibri"/>
          <w:sz w:val="21"/>
          <w:szCs w:val="21"/>
        </w:rPr>
        <w:t xml:space="preserve">Margin is 24.1% against 36.5% for the other eight categories. Discount depth is the same as everywhere else, so the cause is cost: products cost 67% of list price versus 55% in other categories.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$10.64M of stock (21% of inventory value) is flagged expiry risk. </w:t>
      </w:r>
      <w:r>
        <w:rPr>
          <w:rFonts w:ascii="Calibri" w:cs="Calibri" w:eastAsia="Calibri" w:hAnsi="Calibri"/>
          <w:sz w:val="21"/>
          <w:szCs w:val="21"/>
        </w:rPr>
        <w:t xml:space="preserve">1,931 stock lines worth $9.60M are already past their expiry date and still hold units.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Staffing data cannot yet support headcount decisions. </w:t>
      </w:r>
      <w:r>
        <w:rPr>
          <w:rFonts w:ascii="Calibri" w:cs="Calibri" w:eastAsia="Calibri" w:hAnsi="Calibri"/>
          <w:sz w:val="21"/>
          <w:szCs w:val="21"/>
        </w:rPr>
        <w:t xml:space="preserve">35 of 120 employees (29%) have a position/is_pharmacist mismatch, and two stores handle 45% of all prescriptions.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Loyalty tiers show no spend uplift yet. </w:t>
      </w:r>
      <w:r>
        <w:rPr>
          <w:rFonts w:ascii="Calibri" w:cs="Calibri" w:eastAsia="Calibri" w:hAnsi="Calibri"/>
          <w:sz w:val="21"/>
          <w:szCs w:val="21"/>
        </w:rPr>
        <w:t xml:space="preserve">Gold customers are 9.3% of active customers and 9.3% of revenue, with the lowest average basket of any tier.</w:t>
      </w:r>
    </w:p>
    <w:p>
      <w:pPr>
        <w:pStyle w:val="Heading1"/>
        <w:pBdr>
          <w:bottom w:val="single" w:color="F2C94C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2B54A1"/>
          <w:sz w:val="30"/>
          <w:szCs w:val="30"/>
        </w:rPr>
        <w:t xml:space="preserve">2. Data and method</w:t>
      </w:r>
    </w:p>
    <w:p>
      <w:p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Source: the nine tables in the Power BI model (fact_sales 9,900 rows, fact_prescriptions 10,000, fact_stock 10,000, dim_customer 1,500, dim_product 5,000, dim_employee 120, dim_store 12, dim_category 9, dim_supplier 5). Sales and prescriptions cover 1 October 2024 to 9 December 2025; December 2025 is a partial month.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Margin </w:t>
      </w:r>
      <w:r>
        <w:rPr>
          <w:rFonts w:ascii="Calibri" w:cs="Calibri" w:eastAsia="Calibri" w:hAnsi="Calibri"/>
          <w:sz w:val="21"/>
          <w:szCs w:val="21"/>
        </w:rPr>
        <w:t xml:space="preserve">is weighted: SUM(profit) / SUM(total_amount).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Average discount </w:t>
      </w:r>
      <w:r>
        <w:rPr>
          <w:rFonts w:ascii="Calibri" w:cs="Calibri" w:eastAsia="Calibri" w:hAnsi="Calibri"/>
          <w:sz w:val="21"/>
          <w:szCs w:val="21"/>
        </w:rPr>
        <w:t xml:space="preserve">is the mean of discount_pct across sale lines.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Expiry risk value </w:t>
      </w:r>
      <w:r>
        <w:rPr>
          <w:rFonts w:ascii="Calibri" w:cs="Calibri" w:eastAsia="Calibri" w:hAnsi="Calibri"/>
          <w:sz w:val="21"/>
          <w:szCs w:val="21"/>
        </w:rPr>
        <w:t xml:space="preserve">is quantity × cost_price for stock lines with expiry_risk_flag = 1. “Already expired” means expiry_date before 1 October 2026 with quantity above zero.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Staffing </w:t>
      </w:r>
      <w:r>
        <w:rPr>
          <w:rFonts w:ascii="Calibri" w:cs="Calibri" w:eastAsia="Calibri" w:hAnsi="Calibri"/>
          <w:sz w:val="21"/>
          <w:szCs w:val="21"/>
        </w:rPr>
        <w:t xml:space="preserve">uses employee position to count pharmacists, with the is_pharmacist flag shown alongside because the two disagree.</w:t>
      </w:r>
    </w:p>
    <w:p>
      <w:pPr>
        <w:pStyle w:val="Heading1"/>
        <w:pBdr>
          <w:bottom w:val="single" w:color="F2C94C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2B54A1"/>
          <w:sz w:val="30"/>
          <w:szCs w:val="30"/>
        </w:rPr>
        <w:t xml:space="preserve">3. The five business questions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B54A1"/>
          <w:sz w:val="24"/>
          <w:szCs w:val="24"/>
        </w:rPr>
        <w:t xml:space="preserve">Q1. Which stores are genuinely profitable after cost and discount?</w:t>
      </w:r>
    </w:p>
    <w:p>
      <w:p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Nine stores perform consistently: margins of 38.0–40.4% on average discounts of about 7.5%. Three stores sit far below them. Every one of the 2,461 sales discounted above 20% occurred in these three stores (their minimum discount is 22%; no other store exceeds 12%).</w:t>
      </w:r>
    </w:p>
    <w:p>
      <w:pPr>
        <w:spacing w:after="100" w:before="8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chart_store.png" descr="chart_store.png" title="chart_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600"/>
        <w:gridCol w:w="164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discount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Precision Meds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Moncton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$314K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38.0%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7.4%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Lifeline Pharmacy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Halifax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$286K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38.9%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7.6%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HealthMax Center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Calgary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$285K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39.1%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7.4%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HealthPlus Market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Edmonton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$279K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38.0%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7.6%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MedStore Square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Quebec City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$271K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39.4%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7.5%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CuraLife Plaza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Vancouver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$271K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38.3%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7.4%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CareMart Main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Ottawa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$270K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38.9%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7.6%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BioZen Hub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Montreal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$267K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38.4%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7.4%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PharmaChoice Elite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Winnipeg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$254K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40.4%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7.6%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Wellness Corner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Waterloo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$229K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21.2%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27.9%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CuraMax Superstore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Regina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$218K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22.4%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27.9%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MediHealth Downtown</w:t>
            </w:r>
          </w:p>
        </w:tc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Toronto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$215K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20.2%</w:t>
            </w:r>
          </w:p>
        </w:tc>
        <w:tc>
          <w:tcPr>
            <w:tcW w:type="dxa" w:w="1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28.0%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 xml:space="preserve">Highlighted rows: the three high-discount stores. Together they hold 20.9% of revenue and 12.7% of profit.</w:t>
      </w:r>
    </w:p>
    <w:p>
      <w:p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If these three stores earned the peer-average 38.8% margin, profit would be about $116K higher, roughly 10% of total profit. This is an upper bound, since cutting discounts will cost some volume.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B54A1"/>
          <w:sz w:val="24"/>
          <w:szCs w:val="24"/>
        </w:rPr>
        <w:t xml:space="preserve">Q2. Which categories drive revenue, and which are over-discounted?</w:t>
      </w:r>
    </w:p>
    <w:p>
      <w:p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Revenue is evenly spread: every category holds 9.9–11.7% of revenue, so no single category dominates. Average discount is also flat across categories (12.3–13.0%), so discounting is a store problem, not a category problem. The real outlier is Vitamins &amp; Supplements on margin.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100"/>
        <w:gridCol w:w="2000"/>
        <w:gridCol w:w="2140"/>
      </w:tblGrid>
      <w:tr>
        <w:trPr>
          <w:tblHeader/>
        </w:trPr>
        <w:tc>
          <w:tcPr>
            <w:tcW w:type="dxa" w:w="4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share</w:t>
            </w:r>
          </w:p>
        </w:tc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21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discount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Vitamins &amp; Supplements</w:t>
            </w:r>
          </w:p>
        </w:tc>
        <w:tc>
          <w:tcPr>
            <w:tcW w:type="dxa" w:w="2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11.3%</w:t>
            </w:r>
          </w:p>
        </w:tc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24.1%</w:t>
            </w:r>
          </w:p>
        </w:tc>
        <w:tc>
          <w:tcPr>
            <w:tcW w:type="dxa" w:w="21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DE8E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12.5%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Diagnostics</w:t>
            </w:r>
          </w:p>
        </w:tc>
        <w:tc>
          <w:tcPr>
            <w:tcW w:type="dxa" w:w="2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11.6%</w:t>
            </w:r>
          </w:p>
        </w:tc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34.2%</w:t>
            </w:r>
          </w:p>
        </w:tc>
        <w:tc>
          <w:tcPr>
            <w:tcW w:type="dxa" w:w="21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12.3%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Personal Care</w:t>
            </w:r>
          </w:p>
        </w:tc>
        <w:tc>
          <w:tcPr>
            <w:tcW w:type="dxa" w:w="2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11.7%</w:t>
            </w:r>
          </w:p>
        </w:tc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35.4%</w:t>
            </w:r>
          </w:p>
        </w:tc>
        <w:tc>
          <w:tcPr>
            <w:tcW w:type="dxa" w:w="21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12.7%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Prescription Drugs</w:t>
            </w:r>
          </w:p>
        </w:tc>
        <w:tc>
          <w:tcPr>
            <w:tcW w:type="dxa" w:w="2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11.6%</w:t>
            </w:r>
          </w:p>
        </w:tc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35.9%</w:t>
            </w:r>
          </w:p>
        </w:tc>
        <w:tc>
          <w:tcPr>
            <w:tcW w:type="dxa" w:w="21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12.9%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First Aid</w:t>
            </w:r>
          </w:p>
        </w:tc>
        <w:tc>
          <w:tcPr>
            <w:tcW w:type="dxa" w:w="2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9.9%</w:t>
            </w:r>
          </w:p>
        </w:tc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36.4%</w:t>
            </w:r>
          </w:p>
        </w:tc>
        <w:tc>
          <w:tcPr>
            <w:tcW w:type="dxa" w:w="21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12.4%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OTC Pain Relief</w:t>
            </w:r>
          </w:p>
        </w:tc>
        <w:tc>
          <w:tcPr>
            <w:tcW w:type="dxa" w:w="2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10.8%</w:t>
            </w:r>
          </w:p>
        </w:tc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36.7%</w:t>
            </w:r>
          </w:p>
        </w:tc>
        <w:tc>
          <w:tcPr>
            <w:tcW w:type="dxa" w:w="21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12.4%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Baby &amp; Child Care</w:t>
            </w:r>
          </w:p>
        </w:tc>
        <w:tc>
          <w:tcPr>
            <w:tcW w:type="dxa" w:w="2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11.3%</w:t>
            </w:r>
          </w:p>
        </w:tc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37.5%</w:t>
            </w:r>
          </w:p>
        </w:tc>
        <w:tc>
          <w:tcPr>
            <w:tcW w:type="dxa" w:w="21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12.5%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Medical Devices</w:t>
            </w:r>
          </w:p>
        </w:tc>
        <w:tc>
          <w:tcPr>
            <w:tcW w:type="dxa" w:w="2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10.9%</w:t>
            </w:r>
          </w:p>
        </w:tc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37.6%</w:t>
            </w:r>
          </w:p>
        </w:tc>
        <w:tc>
          <w:tcPr>
            <w:tcW w:type="dxa" w:w="21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13.0%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Skin &amp; Derma Care</w:t>
            </w:r>
          </w:p>
        </w:tc>
        <w:tc>
          <w:tcPr>
            <w:tcW w:type="dxa" w:w="2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11.0%</w:t>
            </w:r>
          </w:p>
        </w:tc>
        <w:tc>
          <w:tcPr>
            <w:tcW w:type="dxa" w:w="2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38.7%</w:t>
            </w:r>
          </w:p>
        </w:tc>
        <w:tc>
          <w:tcPr>
            <w:tcW w:type="dxa" w:w="21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12.4%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Vitamins cost structure. </w:t>
      </w:r>
      <w:r>
        <w:rPr>
          <w:rFonts w:ascii="Calibri" w:cs="Calibri" w:eastAsia="Calibri" w:hAnsi="Calibri"/>
          <w:sz w:val="21"/>
          <w:szCs w:val="21"/>
        </w:rPr>
        <w:t xml:space="preserve">Cost is 67% of list price versus 55% for other categories, across all five suppliers. In the nine normal stores Vitamins earns 29.0% margin; in the three high-discount stores it earns 4.1%.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Discounting destroys margin. </w:t>
      </w:r>
      <w:r>
        <w:rPr>
          <w:rFonts w:ascii="Calibri" w:cs="Calibri" w:eastAsia="Calibri" w:hAnsi="Calibri"/>
          <w:sz w:val="21"/>
          <w:szCs w:val="21"/>
        </w:rPr>
        <w:t xml:space="preserve">609 sales (6.2%) were sold below cost, a combined loss of $57K. The share of loss-making sales rises from 4.8% at discounts up to 5% to 17.5% at discounts of 30–35%.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B54A1"/>
          <w:sz w:val="24"/>
          <w:szCs w:val="24"/>
        </w:rPr>
        <w:t xml:space="preserve">Q3. How much inventory value is at expiry risk?</w:t>
      </w:r>
    </w:p>
    <w:p>
      <w:p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2,093 stock lines (20.9%) are flagged as expiry risk, valued at $10.64M at cost, 21% of the $50.46M inventory. Value is spread across all categories, led by Baby &amp; Child Care and Vitamins &amp; Supplements; Prescription Drugs ranks fourth.</w:t>
      </w:r>
    </w:p>
    <w:p>
      <w:pPr>
        <w:spacing w:after="100" w:before="8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chart_expiry.png" descr="chart_expiry.png" title="chart_expi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900"/>
        <w:gridCol w:w="2740"/>
      </w:tblGrid>
      <w:tr>
        <w:trPr>
          <w:tblHeader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27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at cost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Flagged expiry risk (expiry_risk_flag = 1)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2,093</w:t>
            </w:r>
          </w:p>
        </w:tc>
        <w:tc>
          <w:tcPr>
            <w:tcW w:type="dxa" w:w="27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$10.64M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Already past expiry date, still holding stock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1,931</w:t>
            </w:r>
          </w:p>
        </w:tc>
        <w:tc>
          <w:tcPr>
            <w:tcW w:type="dxa" w:w="27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$9.60M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Expiring within the next 30 days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420</w:t>
            </w:r>
          </w:p>
        </w:tc>
        <w:tc>
          <w:tcPr>
            <w:tcW w:type="dxa" w:w="27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$2.84M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Below reorder level (quantity ≤ reorder_level)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3,173</w:t>
            </w:r>
          </w:p>
        </w:tc>
        <w:tc>
          <w:tcPr>
            <w:tcW w:type="dxa" w:w="27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  of which flagged below_reorder_flag = 1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2,128</w:t>
            </w:r>
          </w:p>
        </w:tc>
        <w:tc>
          <w:tcPr>
            <w:tcW w:type="dxa" w:w="27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 xml:space="preserve">As-of date 1 October 2026. Confirm the stock snapshot date with the business before acting on the expired figures.</w:t>
      </w:r>
    </w:p>
    <w:p>
      <w:p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Two points deserve attention. First, most flagged stock is not “near” expiry but already expired, which is a patient-safety and compliance question as well as a financial one. Second, the below_reorder_flag understates need: 1,045 lines (33%) are at or under reorder level but unflagged. CareMart Main holds the highest risk value of any store ($1.04M).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B54A1"/>
          <w:sz w:val="24"/>
          <w:szCs w:val="24"/>
        </w:rPr>
        <w:t xml:space="preserve">Q4. Is pharmacist staffing aligned with prescription workload?</w:t>
      </w:r>
    </w:p>
    <w:p>
      <w:p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It cannot be answered reliably yet. Prescription volume is very uneven: CuraLife Plaza (2,244) and Lifeline Pharmacy (2,226) each handle about four times the volume of any other store (525–584), together 44.7% of all prescriptions. At the same time the pharmacist data is unreliable: 35 employees have conflicting position and flag values (14 pharmacists flagged 0; 21 non-pharmacists flagged 1), including employee 97.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1400"/>
        <w:gridCol w:w="1250"/>
        <w:gridCol w:w="1250"/>
        <w:gridCol w:w="1500"/>
        <w:gridCol w:w="1540"/>
      </w:tblGrid>
      <w:tr>
        <w:trPr>
          <w:tblHeader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Staff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Pharm. (position)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Pharm. (flag)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Mismatches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Rx per pharmacist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CuraLife Plaza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18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2,244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748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Lifeline Pharmacy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2,226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1,113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BioZen Hub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584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MediHealth Downtown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583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292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MedStore Square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569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CareMart Main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561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187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HealthMax Center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551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184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Precision Meds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551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551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HealthPlus Market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543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543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PharmaChoice Elite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538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269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CuraMax Superstore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525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262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Wellness Corner</w:t>
            </w:r>
          </w:p>
        </w:tc>
        <w:tc>
          <w:tcPr>
            <w:tcW w:type="dxa" w:w="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dxa" w:w="12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525</w:t>
            </w:r>
          </w:p>
        </w:tc>
        <w:tc>
          <w:tcPr>
            <w:tcW w:type="dxa" w:w="15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525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B6472"/>
          <w:sz w:val="17"/>
          <w:szCs w:val="17"/>
        </w:rPr>
        <w:t xml:space="preserve">Rx per pharmacist uses position. BioZen Hub and MedStore Square have no employee with position Pharmacist but still dispense 584 and 569 prescriptions. Among stores with a pharmacist, the ratio ranges from 184 to 1,113 (about 6×).</w:t>
      </w:r>
    </w:p>
    <w:p>
      <w:p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Provisionally, Lifeline Pharmacy (1,113 per pharmacist) and CuraLife Plaza (748) look most stretched, but this should be confirmed after the employee records are corrected.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B54A1"/>
          <w:sz w:val="24"/>
          <w:szCs w:val="24"/>
        </w:rPr>
        <w:t xml:space="preserve">Q5. Which customer segments and payment channels generate the most value?</w:t>
      </w:r>
    </w:p>
    <w:p>
      <w:p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Payment channels are broadly equal in value. Cards generate 61.8% of revenue; cash 21.8% and online 16.5%. Average basket ranges only from $312 (cash) to $327 (debit), a spread under 5%.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1700"/>
        <w:gridCol w:w="1900"/>
        <w:gridCol w:w="1740"/>
      </w:tblGrid>
      <w:tr>
        <w:trPr>
          <w:tblHeader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7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basket</w:t>
            </w:r>
          </w:p>
        </w:tc>
        <w:tc>
          <w:tcPr>
            <w:tcW w:type="dxa" w:w="17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Credit Card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$1,050K</w:t>
            </w:r>
          </w:p>
        </w:tc>
        <w:tc>
          <w:tcPr>
            <w:tcW w:type="dxa" w:w="17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33.3%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$319.55</w:t>
            </w:r>
          </w:p>
        </w:tc>
        <w:tc>
          <w:tcPr>
            <w:tcW w:type="dxa" w:w="17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35.3%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Debit Card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$902K</w:t>
            </w:r>
          </w:p>
        </w:tc>
        <w:tc>
          <w:tcPr>
            <w:tcW w:type="dxa" w:w="17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28.5%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$326.93</w:t>
            </w:r>
          </w:p>
        </w:tc>
        <w:tc>
          <w:tcPr>
            <w:tcW w:type="dxa" w:w="17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34.4%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Cash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$687K</w:t>
            </w:r>
          </w:p>
        </w:tc>
        <w:tc>
          <w:tcPr>
            <w:tcW w:type="dxa" w:w="17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21.8%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$312.34</w:t>
            </w:r>
          </w:p>
        </w:tc>
        <w:tc>
          <w:tcPr>
            <w:tcW w:type="dxa" w:w="17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35.6%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Online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$520K</w:t>
            </w:r>
          </w:p>
        </w:tc>
        <w:tc>
          <w:tcPr>
            <w:tcW w:type="dxa" w:w="17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16.5%</w:t>
            </w:r>
          </w:p>
        </w:tc>
        <w:tc>
          <w:tcPr>
            <w:tcW w:type="dxa" w:w="1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$314.06</w:t>
            </w:r>
          </w:p>
        </w:tc>
        <w:tc>
          <w:tcPr>
            <w:tcW w:type="dxa" w:w="17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35.3%</w:t>
            </w:r>
          </w:p>
        </w:tc>
      </w:tr>
    </w:tbl>
    <w:p>
      <w:pPr>
        <w:spacing w:after="80"/>
      </w:pPr>
    </w:p>
    <w:p>
      <w:pPr>
        <w:spacing w:after="110" w:line="276"/>
      </w:pPr>
      <w:r>
        <w:rPr>
          <w:rFonts w:ascii="Calibri" w:cs="Calibri" w:eastAsia="Calibri" w:hAnsi="Calibri"/>
          <w:sz w:val="21"/>
          <w:szCs w:val="21"/>
        </w:rPr>
        <w:t xml:space="preserve">Loyalty tiers do not separate customers by value. Revenue per active customer is within about 8% across tiers ($2,112–$2,278), and Gold has the lowest average basket ($303). 70.6% of registered customers (1,059) have no tier. Repeat purchasing is near-universal (1,313 of 1,456 active customers bought more than once, 98.7% of revenue), so “repeat customer” does not discriminate and should not be used as a loyalty KPI.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1600"/>
        <w:gridCol w:w="2240"/>
        <w:gridCol w:w="1700"/>
      </w:tblGrid>
      <w:tr>
        <w:trPr>
          <w:tblHeader/>
        </w:trPr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Registered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share</w:t>
            </w:r>
          </w:p>
        </w:tc>
        <w:tc>
          <w:tcPr>
            <w:tcW w:type="dxa" w:w="22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/ active customer</w:t>
            </w:r>
          </w:p>
        </w:tc>
        <w:tc>
          <w:tcPr>
            <w:tcW w:type="dxa" w:w="17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basket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Normal (no tier)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1,059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1,025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70.2%</w:t>
            </w:r>
          </w:p>
        </w:tc>
        <w:tc>
          <w:tcPr>
            <w:tcW w:type="dxa" w:w="22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$2,162</w:t>
            </w:r>
          </w:p>
        </w:tc>
        <w:tc>
          <w:tcPr>
            <w:tcW w:type="dxa" w:w="17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$317.93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Silver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155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150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10.8%</w:t>
            </w:r>
          </w:p>
        </w:tc>
        <w:tc>
          <w:tcPr>
            <w:tcW w:type="dxa" w:w="22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$2,278</w:t>
            </w:r>
          </w:p>
        </w:tc>
        <w:tc>
          <w:tcPr>
            <w:tcW w:type="dxa" w:w="17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$337.99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Gold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139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136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9.3%</w:t>
            </w:r>
          </w:p>
        </w:tc>
        <w:tc>
          <w:tcPr>
            <w:tcW w:type="dxa" w:w="22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$2,167</w:t>
            </w:r>
          </w:p>
        </w:tc>
        <w:tc>
          <w:tcPr>
            <w:tcW w:type="dxa" w:w="17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$302.63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Platinum</w:t>
            </w:r>
          </w:p>
        </w:tc>
        <w:tc>
          <w:tcPr>
            <w:tcW w:type="dxa" w:w="1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147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145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9.7%</w:t>
            </w:r>
          </w:p>
        </w:tc>
        <w:tc>
          <w:tcPr>
            <w:tcW w:type="dxa" w:w="22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$2,112</w:t>
            </w:r>
          </w:p>
        </w:tc>
        <w:tc>
          <w:tcPr>
            <w:tcW w:type="dxa" w:w="17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$324.36</w:t>
            </w:r>
          </w:p>
        </w:tc>
      </w:tr>
    </w:tbl>
    <w:p>
      <w:pPr>
        <w:pStyle w:val="Heading1"/>
        <w:pBdr>
          <w:bottom w:val="single" w:color="F2C94C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2B54A1"/>
          <w:sz w:val="30"/>
          <w:szCs w:val="30"/>
        </w:rPr>
        <w:t xml:space="preserve">4. Data quality and validation summary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800"/>
        <w:gridCol w:w="1640"/>
      </w:tblGrid>
      <w:tr>
        <w:trPr>
          <w:tblHeader/>
        </w:trPr>
        <w:tc>
          <w:tcPr>
            <w:tcW w:type="dxa" w:w="5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Foreign keys: sales → product / store / employee / customer; prescriptions → customer / product; stock → product</w:t>
            </w:r>
          </w:p>
        </w:tc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100% match, 0 orphans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Discount above 50% policy ceiling</w:t>
            </w:r>
          </w:p>
        </w:tc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 rows (maximum 34%)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Margin above 80%; negative quantities; exact duplicate sales rows</w:t>
            </w:r>
          </w:p>
        </w:tc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0 rows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Margin below 0 (sold below cost)</w:t>
            </w:r>
          </w:p>
        </w:tc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609 sales, $57K loss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WARN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Pharmacist flag mismatch (position vs is_pharmacist)</w:t>
            </w:r>
          </w:p>
        </w:tc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35 employees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Expired stock still held (expiry_date &lt; 1 Oct 2026, quantity &gt; 0)</w:t>
            </w:r>
          </w:p>
        </w:tc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1,931 lines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Stock flag inconsistency (quantity ≤ reorder_level, below_reorder_flag = 0)</w:t>
            </w:r>
          </w:p>
        </w:tc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1,045 lines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WARN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Duplicated title in doctor_name (“Dr. Dr.”)</w:t>
            </w:r>
          </w:p>
        </w:tc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2,006 prescriptions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WARN</w:t>
            </w:r>
          </w:p>
        </w:tc>
      </w:tr>
      <w:tr>
        <w:trPr>
          <w:cantSplit/>
        </w:trPr>
        <w:tc>
          <w:tcPr>
            <w:tcW w:type="dxa" w:w="5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Loyalty tier blank</w:t>
            </w:r>
          </w:p>
        </w:tc>
        <w:tc>
          <w:tcPr>
            <w:tcW w:type="dxa" w:w="2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1,059 customers (treated as Normal)</w:t>
            </w:r>
          </w:p>
        </w:tc>
        <w:tc>
          <w:tcPr>
            <w:tcW w:type="dxa" w:w="16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INFO</w:t>
            </w:r>
          </w:p>
        </w:tc>
      </w:tr>
    </w:tbl>
    <w:p>
      <w:pPr>
        <w:pStyle w:val="Heading1"/>
        <w:pBdr>
          <w:bottom w:val="single" w:color="F2C94C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2B54A1"/>
          <w:sz w:val="30"/>
          <w:szCs w:val="30"/>
        </w:rPr>
        <w:t xml:space="preserve">5. Strategic recommendations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R1. Reset discount authority in the three high-discount stores. </w:t>
      </w:r>
      <w:r>
        <w:rPr>
          <w:rFonts w:ascii="Calibri" w:cs="Calibri" w:eastAsia="Calibri" w:hAnsi="Calibri"/>
          <w:sz w:val="21"/>
          <w:szCs w:val="21"/>
        </w:rPr>
        <w:t xml:space="preserve">No other store discounts above 12%. Cap discounts at a chain-wide ceiling of about 15% (the current 50% ceiling never binds) and review promotion approvals at Wellness Corner, CuraMax Superstore and MediHealth Downtown. Indicative upside: up to about $116K profit (10% of total).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R2. Fix Vitamins &amp; Supplements economics. </w:t>
      </w:r>
      <w:r>
        <w:rPr>
          <w:rFonts w:ascii="Calibri" w:cs="Calibri" w:eastAsia="Calibri" w:hAnsi="Calibri"/>
          <w:sz w:val="21"/>
          <w:szCs w:val="21"/>
        </w:rPr>
        <w:t xml:space="preserve">Renegotiate supplier cost or reprice, since cost is 67% of list versus 55% elsewhere, and stop discounting Vitamins in the three stores where margin is 4.1%. Indicative upside: about $44K if margin reached the 36.5% of other categories (partly overlaps R1).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R3. Act on expiry in two tiers. </w:t>
      </w:r>
      <w:r>
        <w:rPr>
          <w:rFonts w:ascii="Calibri" w:cs="Calibri" w:eastAsia="Calibri" w:hAnsi="Calibri"/>
          <w:sz w:val="21"/>
          <w:szCs w:val="21"/>
        </w:rPr>
        <w:t xml:space="preserve">For the 420 lines ($2.84M) expiring within 30 days: inter-store transfer, supplier return and targeted markdown. For the 1,931 lines ($9.60M) already expired: remove from sale immediately, claim supplier credit or dispose in line with regulation, and reconcile stock records. Also fix the reorder flag logic (1,045 unflagged lines).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R4. Run a data-quality sprint on dim_employee before any staffing decision. </w:t>
      </w:r>
      <w:r>
        <w:rPr>
          <w:rFonts w:ascii="Calibri" w:cs="Calibri" w:eastAsia="Calibri" w:hAnsi="Calibri"/>
          <w:sz w:val="21"/>
          <w:szCs w:val="21"/>
        </w:rPr>
        <w:t xml:space="preserve">Correct the 35 mismatches, then re-run prescriptions per pharmacist. Validate the prescription volume at CuraLife Plaza and Lifeline Pharmacy, and check why BioZen Hub and MedStore Square show no pharmacist.</w:t>
      </w:r>
    </w:p>
    <w:p>
      <w:pPr>
        <w:spacing w:after="11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R5. Hold further loyalty investment until it shows uplift. </w:t>
      </w:r>
      <w:r>
        <w:rPr>
          <w:rFonts w:ascii="Calibri" w:cs="Calibri" w:eastAsia="Calibri" w:hAnsi="Calibri"/>
          <w:sz w:val="21"/>
          <w:szCs w:val="21"/>
        </w:rPr>
        <w:t xml:space="preserve">Redesign tier benefits, target the 70.6% of customers without a tier, and measure revenue per customer by tier against the current baseline of about $2,160.</w:t>
      </w:r>
    </w:p>
    <w:p>
      <w:pPr>
        <w:pStyle w:val="Heading1"/>
        <w:pBdr>
          <w:bottom w:val="single" w:color="F2C94C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2B54A1"/>
          <w:sz w:val="30"/>
          <w:szCs w:val="30"/>
        </w:rPr>
        <w:t xml:space="preserve">6. Project-brief hypotheses versus the evidence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440"/>
      </w:tblGrid>
      <w:tr>
        <w:trPr>
          <w:tblHeader/>
        </w:trP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Brief’s working hypothesis</w:t>
            </w:r>
          </w:p>
        </w:tc>
        <w:tc>
          <w:tcPr>
            <w:tcW w:type="dxa" w:w="64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2B54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data shows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At least two stores run below 5% margin</w:t>
            </w:r>
          </w:p>
        </w:tc>
        <w:tc>
          <w:tcPr>
            <w:tcW w:type="dxa" w:w="64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Not supported. The lowest store margin is 20.2%; three stores sit at 20–22% because of heavy discounting.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Vitamins &amp; Baby Care carry the highest discounts and weak returns</w:t>
            </w:r>
          </w:p>
        </w:tc>
        <w:tc>
          <w:tcPr>
            <w:tcW w:type="dxa" w:w="64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Partly. Discounts are flat (12.3–13.0%). Vitamins has weak margin due to cost; Baby &amp; Child Care margin (37.5%) is above average.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Expiry risk concentrated in Pharmaceuticals and Vitamins</w:t>
            </w:r>
          </w:p>
        </w:tc>
        <w:tc>
          <w:tcPr>
            <w:tcW w:type="dxa" w:w="64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Partly. Vitamins ranks second; Baby &amp; Child Care is first; Prescription Drugs is fourth.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Prescription volume varies about 3×; flag mismatches exist</w:t>
            </w:r>
          </w:p>
        </w:tc>
        <w:tc>
          <w:tcPr>
            <w:tcW w:type="dxa" w:w="64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6F8F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Supported and larger: about 4.3× in volume, 6× per pharmacist, 35 mismatched employees.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Gold customers punch above their weight; card customers have higher baskets</w:t>
            </w:r>
          </w:p>
        </w:tc>
        <w:tc>
          <w:tcPr>
            <w:tcW w:type="dxa" w:w="644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Not supported. Gold share of customers equals its share of revenue. Debit and credit baskets are 2–5% above cash; online is similar to cash.</w:t>
            </w:r>
          </w:p>
        </w:tc>
      </w:tr>
    </w:tbl>
    <w:p>
      <w:pPr>
        <w:pStyle w:val="Heading1"/>
        <w:pBdr>
          <w:bottom w:val="single" w:color="F2C94C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2B54A1"/>
          <w:sz w:val="30"/>
          <w:szCs w:val="30"/>
        </w:rPr>
        <w:t xml:space="preserve">7. Limitations and next steps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The data window is 14 months and December 2025 is partial, so year-over-year comparisons are valid only for October–December. A monthly trend should use a Year-Month axis; grouping by month name alone double-counts October–December and creates an artificial spike.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Profit-uplift figures are indicative and ignore volume response to price or discount changes.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Expiry figures depend on the assumed as-of date and stock snapshot date.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1"/>
          <w:szCs w:val="21"/>
        </w:rPr>
        <w:t xml:space="preserve">The dataset is designed for relative comparison; do not quote the numbers as real-world benchmarks.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2"/>
        <w:sz w:val="16"/>
        <w:szCs w:val="16"/>
      </w:rPr>
      <w:t xml:space="preserve">MeridianHealth Retail &amp; Supply Chain  ·  Insights &amp; Recommendations  ·  Page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676f41ffa3e2dde6badffcd153c9dc45979aee4.png"/><Relationship Id="rId9" Type="http://schemas.openxmlformats.org/officeDocument/2006/relationships/image" Target="media/2d336e51321438610ae3f7b4310879e891f101f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2026-10-01T18:34:28.615Z</dcterms:created>
  <dcterms:modified xsi:type="dcterms:W3CDTF">2026-10-01T18:34:28.620Z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