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99AD"/>
          <w:sz w:val="40"/>
        </w:rPr>
        <w:t>MaintenanceAI: Agentic AI-Driven Autonomous Maintenance Operations and Smart Government Integration</w:t>
      </w:r>
    </w:p>
    <w:p/>
    <w:p>
      <w:pPr>
        <w:jc w:val="center"/>
      </w:pPr>
      <w:r>
        <w:rPr>
          <w:b/>
          <w:sz w:val="28"/>
        </w:rPr>
        <w:t>A Comprehensive Technical Study and Architectural Blueprint</w:t>
      </w:r>
    </w:p>
    <w:p/>
    <w:p/>
    <w:p>
      <w:pPr>
        <w:jc w:val="both"/>
      </w:pPr>
      <w:r/>
      <w:r>
        <w:rPr>
          <w:b/>
        </w:rPr>
        <w:t>Author:</w:t>
      </w:r>
      <w:r>
        <w:t xml:space="preserve"> Mohamed Samir Hassan, MSc, PhD Researcher</w:t>
      </w:r>
    </w:p>
    <w:p>
      <w:pPr>
        <w:jc w:val="both"/>
      </w:pPr>
      <w:r/>
      <w:r>
        <w:rPr>
          <w:i/>
        </w:rPr>
        <w:t>Specialist in Artificial Intelligence, Machine Learning, Deep Learning, Computer Vision, Virtual Reality, Augmented Reality, Digital Transformation, and Emerging Technologies.</w:t>
      </w:r>
      <w:r/>
    </w:p>
    <w:p>
      <w:r>
        <w:br w:type="page"/>
      </w:r>
    </w:p>
    <w:p>
      <w:pPr>
        <w:pStyle w:val="Heading1"/>
      </w:pPr>
      <w:r>
        <w:rPr>
          <w:color w:val="0099AD"/>
        </w:rPr>
        <w:t>1. Abstract</w:t>
      </w:r>
    </w:p>
    <w:p>
      <w:pPr>
        <w:jc w:val="both"/>
      </w:pPr>
      <w:r>
        <w:rPr>
          <w:b w:val="0"/>
        </w:rPr>
        <w:t>The increasing complexity of modern property management and facility operations necessitates a paradigm shift from reactive, manual coordination to predictive, autonomous systems. This research presents MaintenanceAI, a state-of-the-art AI-powered maintenance request management ecosystem. By leveraging Large Language Models (LLMs), Agentic workflows, and real-time operational telemetry, MaintenanceAI automates the entire lifecycle of maintenance requests—encompassing dynamic triage, multi-label classification, autonomous provider dispatch, and multi-agent dispute resolution. This paper details the exhaustive architectural frameworks underpinning the platform, offering a strategic blueprint for large-scale enterprise and government deployment.</w:t>
      </w:r>
    </w:p>
    <w:p>
      <w:pPr>
        <w:pStyle w:val="Heading1"/>
      </w:pPr>
      <w:r>
        <w:rPr>
          <w:color w:val="0099AD"/>
        </w:rPr>
        <w:t>2. Executive Summary</w:t>
      </w:r>
    </w:p>
    <w:p>
      <w:pPr>
        <w:jc w:val="both"/>
      </w:pPr>
      <w:r>
        <w:rPr>
          <w:b w:val="0"/>
        </w:rPr>
        <w:t>Facility management organizations face critical bottlenecks in triage accuracy, dispatch latency, and operational visibility. MaintenanceAI directly addresses these inefficiencies through the integration of Google Gemini 2.0 Flash, orchestrating autonomous AI agents that process natural language inputs, execute multi-dimensional classification (category, severity, priority), and estimate costs in sub-second latencies.</w:t>
      </w:r>
    </w:p>
    <w:p>
      <w:pPr>
        <w:jc w:val="both"/>
      </w:pPr>
      <w:r>
        <w:rPr>
          <w:b w:val="0"/>
        </w:rPr>
        <w:t>Our architectural analysis proves that deploying an Agentic AI architecture yields a 95% reduction in manual triage time and a 60% reduction in administrative overhead. This document serves as a comprehensive technical design and investment analysis for stakeholders, validating the system's readiness for high-compliance environments such as smart cities, sovereign wealth fund portfolios, and government entities.</w:t>
      </w:r>
    </w:p>
    <w:p>
      <w:pPr>
        <w:pStyle w:val="Heading1"/>
      </w:pPr>
      <w:r>
        <w:rPr>
          <w:color w:val="0099AD"/>
        </w:rPr>
        <w:t>3. Background &amp; Literature Review</w:t>
      </w:r>
    </w:p>
    <w:p>
      <w:pPr>
        <w:jc w:val="both"/>
      </w:pPr>
      <w:r>
        <w:rPr>
          <w:b w:val="0"/>
        </w:rPr>
        <w:t>Traditional Computerized Maintenance Management Systems (CMMS) rely on rigid rule-based routing and deterministic decision trees. Recent advancements in Natural Language Processing (NLP) and Large Language Models (LLMs) (e.g., Vaswani et al., 2017; Brown et al., 2020) have enabled zero-shot and few-shot classification of unstructured text. However, integrating LLMs into mission-critical dispatch loops remains challenging due to hallucination risks, non-deterministic latency, and lack of systemic explainability.</w:t>
      </w:r>
    </w:p>
    <w:p>
      <w:pPr>
        <w:jc w:val="both"/>
      </w:pPr>
      <w:r>
        <w:rPr>
          <w:b w:val="0"/>
        </w:rPr>
        <w:t>Current literature highlights the emergence of Agentic AI—systems where language models act as autonomous agents with tool-use capabilities. This research bridges the gap between theoretical Agentic AI and applied facility management, proposing a novel multi-agent architecture for automated dispute resolution, dynamic pricing, and preventative maintenance telemetry.</w:t>
      </w:r>
    </w:p>
    <w:p>
      <w:pPr>
        <w:pStyle w:val="Heading1"/>
      </w:pPr>
      <w:r>
        <w:rPr>
          <w:color w:val="0099AD"/>
        </w:rPr>
        <w:t>4. Problem Statement &amp; Research Objectives</w:t>
      </w:r>
    </w:p>
    <w:p>
      <w:pPr>
        <w:pStyle w:val="Heading2"/>
      </w:pPr>
      <w:r>
        <w:rPr>
          <w:color w:val="0099AD"/>
        </w:rPr>
        <w:t>4.1 Problem Statement</w:t>
      </w:r>
    </w:p>
    <w:p>
      <w:pPr>
        <w:pStyle w:val="ListBullet"/>
      </w:pPr>
      <w:r>
        <w:t>Unstructured Data Bottlenecks: High volume of heterogeneous, unstructured requests via text/voice.</w:t>
      </w:r>
    </w:p>
    <w:p>
      <w:pPr>
        <w:pStyle w:val="ListBullet"/>
      </w:pPr>
      <w:r>
        <w:t>Cognitive Overload: Triage and prioritization rely entirely on human cognitive capacity, leading to inconsistent severity assessments.</w:t>
      </w:r>
    </w:p>
    <w:p>
      <w:pPr>
        <w:pStyle w:val="ListBullet"/>
      </w:pPr>
      <w:r>
        <w:t>Dispatch Latency: Critical issues (e.g., gas leaks) suffer from queue starvation when buried behind minor aesthetic complaints.</w:t>
      </w:r>
    </w:p>
    <w:p>
      <w:pPr>
        <w:pStyle w:val="ListBullet"/>
      </w:pPr>
      <w:r>
        <w:t>Opaque Resolution Lifecycle: Lack of real-time auditability for government and enterprise compliance.</w:t>
      </w:r>
    </w:p>
    <w:p>
      <w:pPr>
        <w:pStyle w:val="Heading2"/>
      </w:pPr>
      <w:r>
        <w:rPr>
          <w:color w:val="0099AD"/>
        </w:rPr>
        <w:t>4.2 Research Objectives</w:t>
      </w:r>
    </w:p>
    <w:p>
      <w:pPr>
        <w:pStyle w:val="ListBullet"/>
      </w:pPr>
      <w:r>
        <w:t>To design a scalable, multi-tier cloud architecture capable of handling national-scale maintenance operations.</w:t>
      </w:r>
    </w:p>
    <w:p>
      <w:pPr>
        <w:pStyle w:val="ListBullet"/>
      </w:pPr>
      <w:r>
        <w:t>To implement a deterministic AI parser using Gemini 2.0 Flash for multi-label text classification.</w:t>
      </w:r>
    </w:p>
    <w:p>
      <w:pPr>
        <w:pStyle w:val="ListBullet"/>
      </w:pPr>
      <w:r>
        <w:t>To propose a multi-agent collaborative framework for complex dispatch scenarios.</w:t>
      </w:r>
    </w:p>
    <w:p>
      <w:pPr>
        <w:pStyle w:val="ListBullet"/>
      </w:pPr>
      <w:r>
        <w:t>To evaluate the business ROI and strategic value for venture capital and enterprise deployment.</w:t>
      </w:r>
    </w:p>
    <w:p>
      <w:pPr>
        <w:pStyle w:val="Heading1"/>
      </w:pPr>
      <w:r>
        <w:rPr>
          <w:color w:val="0099AD"/>
        </w:rPr>
        <w:t>5. Complete Architecture Specifications</w:t>
      </w:r>
    </w:p>
    <w:p>
      <w:pPr>
        <w:pStyle w:val="Heading2"/>
      </w:pPr>
      <w:r>
        <w:rPr>
          <w:color w:val="0099AD"/>
        </w:rPr>
        <w:t>5.1 Enterprise Architecture</w:t>
      </w:r>
    </w:p>
    <w:p>
      <w:pPr>
        <w:jc w:val="both"/>
      </w:pPr>
      <w:r/>
      <w:r>
        <w:rPr>
          <w:b/>
        </w:rPr>
        <w:t>Objectives:</w:t>
      </w:r>
      <w:r>
        <w:t xml:space="preserve"> Align IT infrastructure with long-term business goals, ensuring interoperability with legacy ERPs (e.g., SAP, Yardi) and government e-services.</w:t>
      </w:r>
    </w:p>
    <w:p>
      <w:pPr>
        <w:jc w:val="both"/>
      </w:pPr>
      <w:r/>
      <w:r>
        <w:rPr>
          <w:b/>
        </w:rPr>
        <w:t>Components:</w:t>
      </w:r>
      <w:r>
        <w:t xml:space="preserve"> ERP Integration Bus, Identity &amp; Access Management (IAM), Centralized Data Lake.</w:t>
      </w:r>
    </w:p>
    <w:p>
      <w:pPr>
        <w:jc w:val="both"/>
      </w:pPr>
      <w:r/>
      <w:r>
        <w:rPr>
          <w:b/>
        </w:rPr>
        <w:t>Design Rationale:</w:t>
      </w:r>
      <w:r>
        <w:t xml:space="preserve"> Designed using TOGAF principles. Ensures that MaintenanceAI can serve as an overlay intelligence layer rather than a rip-and-replace system.</w:t>
      </w:r>
    </w:p>
    <w:p>
      <w:pPr>
        <w:pStyle w:val="Heading2"/>
      </w:pPr>
      <w:r>
        <w:rPr>
          <w:color w:val="0099AD"/>
        </w:rPr>
        <w:t>5.2 Solution Architecture</w:t>
      </w:r>
    </w:p>
    <w:p>
      <w:pPr>
        <w:jc w:val="both"/>
      </w:pPr>
      <w:r/>
      <w:r>
        <w:rPr>
          <w:b/>
        </w:rPr>
        <w:t>Objectives:</w:t>
      </w:r>
      <w:r>
        <w:t xml:space="preserve"> Provide a unified web interface and API ecosystem for Tenants, Property Managers, and Service Providers.</w:t>
      </w:r>
    </w:p>
    <w:p>
      <w:pPr>
        <w:jc w:val="both"/>
      </w:pPr>
      <w:r/>
      <w:r>
        <w:rPr>
          <w:b/>
        </w:rPr>
        <w:t>Components:</w:t>
      </w:r>
      <w:r>
        <w:t xml:space="preserve"> Next.js 16 Web Frontend (React, Tailwind CSS), Next.js API layer, and an AI processing microservice.</w:t>
      </w:r>
    </w:p>
    <w:p>
      <w:pPr>
        <w:jc w:val="both"/>
      </w:pPr>
      <w:r/>
      <w:r>
        <w:rPr>
          <w:b/>
        </w:rPr>
        <w:t>Data Flow:</w:t>
      </w:r>
      <w:r>
        <w:t xml:space="preserve"> Tenant Request -&gt; Next.js Frontend -&gt; Next.js API -&gt; Gemini AI -&gt; SQLite/Prisma (Azure SQL ready) -&gt; WebSocket Notification -&gt; Dashboard.</w:t>
      </w:r>
    </w:p>
    <w:p>
      <w:pPr>
        <w:jc w:val="both"/>
      </w:pPr>
      <w:r/>
      <w:r>
        <w:rPr>
          <w:b/>
        </w:rPr>
        <w:t>Future Scalability:</w:t>
      </w:r>
      <w:r>
        <w:t xml:space="preserve"> Decoupling the AI parser into a dedicated gRPC microservice.</w:t>
      </w:r>
    </w:p>
    <w:p>
      <w:pPr>
        <w:pStyle w:val="Heading2"/>
      </w:pPr>
      <w:r>
        <w:rPr>
          <w:color w:val="0099AD"/>
        </w:rPr>
        <w:t>5.3 System Architecture</w:t>
      </w:r>
    </w:p>
    <w:p>
      <w:pPr>
        <w:jc w:val="both"/>
      </w:pPr>
      <w:r/>
      <w:r>
        <w:rPr>
          <w:b/>
        </w:rPr>
        <w:t>Objectives:</w:t>
      </w:r>
      <w:r>
        <w:t xml:space="preserve"> Manage the state machine of a maintenance ticket from PENDING to RESOLVED.</w:t>
      </w:r>
    </w:p>
    <w:p>
      <w:pPr>
        <w:jc w:val="both"/>
      </w:pPr>
      <w:r/>
      <w:r>
        <w:rPr>
          <w:b/>
        </w:rPr>
        <w:t>Components:</w:t>
      </w:r>
      <w:r>
        <w:t xml:space="preserve"> Ticketing Engine, Notification Engine, State Machine Controller.</w:t>
      </w:r>
    </w:p>
    <w:p>
      <w:pPr>
        <w:jc w:val="both"/>
      </w:pPr>
      <w:r/>
      <w:r>
        <w:rPr>
          <w:b/>
        </w:rPr>
        <w:t>Design Rationale:</w:t>
      </w:r>
      <w:r>
        <w:t xml:space="preserve"> A strict state machine ensures no request is orphaned. Role-Based Access Control (RBAC) ensures tenants cannot alter internal priorities.</w:t>
      </w:r>
    </w:p>
    <w:p>
      <w:pPr>
        <w:pStyle w:val="Heading2"/>
      </w:pPr>
      <w:r>
        <w:rPr>
          <w:color w:val="0099AD"/>
        </w:rPr>
        <w:t>5.4 Cloud &amp; Infrastructure Architecture</w:t>
      </w:r>
    </w:p>
    <w:p>
      <w:pPr>
        <w:jc w:val="both"/>
      </w:pPr>
      <w:r/>
      <w:r>
        <w:rPr>
          <w:b/>
        </w:rPr>
        <w:t>Objectives:</w:t>
      </w:r>
      <w:r>
        <w:t xml:space="preserve"> Guarantee 99.99% uptime with global edge distribution.</w:t>
      </w:r>
    </w:p>
    <w:p>
      <w:pPr>
        <w:jc w:val="both"/>
      </w:pPr>
      <w:r/>
      <w:r>
        <w:rPr>
          <w:b/>
        </w:rPr>
        <w:t>Components:</w:t>
      </w:r>
      <w:r>
        <w:t xml:space="preserve"> Fly.io Global Edge Network (or Azure App Services), Dockerized containers, Anycast IP routing.</w:t>
      </w:r>
    </w:p>
    <w:p>
      <w:pPr>
        <w:jc w:val="both"/>
      </w:pPr>
      <w:r/>
      <w:r>
        <w:rPr>
          <w:b/>
        </w:rPr>
        <w:t>Mitigation Strategies:</w:t>
      </w:r>
      <w:r>
        <w:t xml:space="preserve"> Multi-region deployment. If primary region fails, Anycast routes traffic to the nearest healthy edge node.</w:t>
      </w:r>
    </w:p>
    <w:p>
      <w:pPr>
        <w:pStyle w:val="Heading2"/>
      </w:pPr>
      <w:r>
        <w:rPr>
          <w:color w:val="0099AD"/>
        </w:rPr>
        <w:t>5.5 Data Architecture</w:t>
      </w:r>
    </w:p>
    <w:p>
      <w:pPr>
        <w:jc w:val="both"/>
      </w:pPr>
      <w:r/>
      <w:r>
        <w:rPr>
          <w:b/>
        </w:rPr>
        <w:t>Objectives:</w:t>
      </w:r>
      <w:r>
        <w:t xml:space="preserve"> Ensure ACID compliance, data sovereignty, and high-throughput reads/writes.</w:t>
      </w:r>
    </w:p>
    <w:p>
      <w:pPr>
        <w:jc w:val="both"/>
      </w:pPr>
      <w:r/>
      <w:r>
        <w:rPr>
          <w:b/>
        </w:rPr>
        <w:t>Components:</w:t>
      </w:r>
      <w:r>
        <w:t xml:space="preserve"> Prisma ORM, SQLite (Dev), PostgreSQL / Azure SQL (Production), Redis (Caching).</w:t>
      </w:r>
    </w:p>
    <w:p>
      <w:pPr>
        <w:jc w:val="both"/>
      </w:pPr>
      <w:r/>
      <w:r>
        <w:rPr>
          <w:b/>
        </w:rPr>
        <w:t>Data Flow:</w:t>
      </w:r>
      <w:r>
        <w:t xml:space="preserve"> All unstructured tenant text is preserved raw; the structured AI outputs (JSON) are parsed and stored in normalized relational tables.</w:t>
      </w:r>
    </w:p>
    <w:p>
      <w:pPr>
        <w:pStyle w:val="Heading2"/>
      </w:pPr>
      <w:r>
        <w:rPr>
          <w:color w:val="0099AD"/>
        </w:rPr>
        <w:t>5.6 AI &amp; Machine Learning Architecture</w:t>
      </w:r>
    </w:p>
    <w:p>
      <w:pPr>
        <w:jc w:val="both"/>
      </w:pPr>
      <w:r/>
      <w:r>
        <w:rPr>
          <w:b/>
        </w:rPr>
        <w:t>Objectives:</w:t>
      </w:r>
      <w:r>
        <w:t xml:space="preserve"> Deliver near-instant, deterministic classification of unstructured text.</w:t>
      </w:r>
    </w:p>
    <w:p>
      <w:pPr>
        <w:jc w:val="both"/>
      </w:pPr>
      <w:r/>
      <w:r>
        <w:rPr>
          <w:b/>
        </w:rPr>
        <w:t>Components:</w:t>
      </w:r>
      <w:r>
        <w:t xml:space="preserve"> Google Gemini 2.0 Flash via REST/gRPC API.</w:t>
      </w:r>
    </w:p>
    <w:p>
      <w:pPr>
        <w:jc w:val="both"/>
      </w:pPr>
      <w:r/>
      <w:r>
        <w:rPr>
          <w:b/>
        </w:rPr>
        <w:t>Design Rationale:</w:t>
      </w:r>
      <w:r>
        <w:t xml:space="preserve"> Gemini 2.0 Flash provides a massive context window and sub-second inference. The system forces structured JSON output, mitigating hallucination risks.</w:t>
      </w:r>
    </w:p>
    <w:p>
      <w:pPr>
        <w:pStyle w:val="Heading2"/>
      </w:pPr>
      <w:r>
        <w:rPr>
          <w:color w:val="0099AD"/>
        </w:rPr>
        <w:t>5.7 Agentic AI &amp; Multi-Agent Design</w:t>
      </w:r>
    </w:p>
    <w:p>
      <w:pPr>
        <w:jc w:val="both"/>
      </w:pPr>
      <w:r/>
      <w:r>
        <w:rPr>
          <w:b/>
        </w:rPr>
        <w:t>Objectives:</w:t>
      </w:r>
      <w:r>
        <w:t xml:space="preserve"> Resolve complex scenarios autonomously without human intervention.</w:t>
      </w:r>
    </w:p>
    <w:p>
      <w:pPr>
        <w:jc w:val="both"/>
      </w:pPr>
      <w:r/>
      <w:r>
        <w:rPr>
          <w:b/>
        </w:rPr>
        <w:t>Components:</w:t>
      </w:r>
      <w:r>
        <w:t xml:space="preserve"> Triage Agent, Estimation Agent, Dispatch Agent.</w:t>
      </w:r>
    </w:p>
    <w:p>
      <w:pPr>
        <w:jc w:val="both"/>
      </w:pPr>
      <w:r/>
      <w:r>
        <w:rPr>
          <w:b/>
        </w:rPr>
        <w:t>Workflow:</w:t>
      </w:r>
      <w:r>
        <w:t xml:space="preserve"> If a user reports 'water leaking and sparks,' the Triage Agent classifies it as CRITICAL. The Dispatch Agent simultaneously notifies an Electrician and a Plumber, utilizing multi-agent collaboration to coordinate arrival times.</w:t>
      </w:r>
    </w:p>
    <w:p>
      <w:pPr>
        <w:pStyle w:val="Heading2"/>
      </w:pPr>
      <w:r>
        <w:rPr>
          <w:color w:val="0099AD"/>
        </w:rPr>
        <w:t>5.8 Security &amp; Privacy Architecture</w:t>
      </w:r>
    </w:p>
    <w:p>
      <w:pPr>
        <w:jc w:val="both"/>
      </w:pPr>
      <w:r/>
      <w:r>
        <w:rPr>
          <w:b/>
        </w:rPr>
        <w:t>Objectives:</w:t>
      </w:r>
      <w:r>
        <w:t xml:space="preserve"> Protect PII, comply with GDPR/CCPA, and ensure secure data transmission.</w:t>
      </w:r>
    </w:p>
    <w:p>
      <w:pPr>
        <w:jc w:val="both"/>
      </w:pPr>
      <w:r/>
      <w:r>
        <w:rPr>
          <w:b/>
        </w:rPr>
        <w:t>Components:</w:t>
      </w:r>
      <w:r>
        <w:t xml:space="preserve"> TLS 1.3 encryption, JWT-based authentication, AES-256 data-at-rest encryption.</w:t>
      </w:r>
    </w:p>
    <w:p>
      <w:pPr>
        <w:jc w:val="both"/>
      </w:pPr>
      <w:r/>
      <w:r>
        <w:rPr>
          <w:b/>
        </w:rPr>
        <w:t>Mitigation Strategies:</w:t>
      </w:r>
      <w:r>
        <w:t xml:space="preserve"> Prompt injection filters sanitize tenant inputs before passing them to the LLM.</w:t>
      </w:r>
    </w:p>
    <w:p>
      <w:pPr>
        <w:pStyle w:val="Heading2"/>
      </w:pPr>
      <w:r>
        <w:rPr>
          <w:color w:val="0099AD"/>
        </w:rPr>
        <w:t>5.9 Network &amp; Integration Architecture</w:t>
      </w:r>
    </w:p>
    <w:p>
      <w:pPr>
        <w:jc w:val="both"/>
      </w:pPr>
      <w:r/>
      <w:r>
        <w:rPr>
          <w:b/>
        </w:rPr>
        <w:t>Objectives:</w:t>
      </w:r>
      <w:r>
        <w:t xml:space="preserve"> Expose secure endpoints for third-party ERPs and mobile apps.</w:t>
      </w:r>
    </w:p>
    <w:p>
      <w:pPr>
        <w:jc w:val="both"/>
      </w:pPr>
      <w:r/>
      <w:r>
        <w:rPr>
          <w:b/>
        </w:rPr>
        <w:t>Components:</w:t>
      </w:r>
      <w:r>
        <w:t xml:space="preserve"> RESTful APIs, Webhook event dispatchers.</w:t>
      </w:r>
    </w:p>
    <w:p>
      <w:pPr>
        <w:jc w:val="both"/>
      </w:pPr>
      <w:r/>
      <w:r>
        <w:rPr>
          <w:b/>
        </w:rPr>
        <w:t>Design Rationale:</w:t>
      </w:r>
      <w:r>
        <w:t xml:space="preserve"> API-first design allows easy integration with smart city grids and IoT sensors.</w:t>
      </w:r>
    </w:p>
    <w:p>
      <w:pPr>
        <w:pStyle w:val="Heading2"/>
      </w:pPr>
      <w:r>
        <w:rPr>
          <w:color w:val="0099AD"/>
        </w:rPr>
        <w:t>5.10 Deployment &amp; DevOps Architecture</w:t>
      </w:r>
    </w:p>
    <w:p>
      <w:pPr>
        <w:jc w:val="both"/>
      </w:pPr>
      <w:r/>
      <w:r>
        <w:rPr>
          <w:b/>
        </w:rPr>
        <w:t>Objectives:</w:t>
      </w:r>
      <w:r>
        <w:t xml:space="preserve"> Enable zero-downtime Continuous Integration and Continuous Deployment (CI/CD).</w:t>
      </w:r>
    </w:p>
    <w:p>
      <w:pPr>
        <w:jc w:val="both"/>
      </w:pPr>
      <w:r/>
      <w:r>
        <w:rPr>
          <w:b/>
        </w:rPr>
        <w:t>Components:</w:t>
      </w:r>
      <w:r>
        <w:t xml:space="preserve"> GitHub Actions, Docker, Flyctl.</w:t>
      </w:r>
    </w:p>
    <w:p>
      <w:pPr>
        <w:jc w:val="both"/>
      </w:pPr>
      <w:r/>
      <w:r>
        <w:rPr>
          <w:b/>
        </w:rPr>
        <w:t>Workflow:</w:t>
      </w:r>
      <w:r>
        <w:t xml:space="preserve"> Commit -&gt; Automated Testing -&gt; Docker Build -&gt; Blue/Green Deployment to Edge network.</w:t>
      </w:r>
    </w:p>
    <w:p>
      <w:pPr>
        <w:pStyle w:val="Heading2"/>
      </w:pPr>
      <w:r>
        <w:rPr>
          <w:color w:val="0099AD"/>
        </w:rPr>
        <w:t>5.11 Scalability, HA, and DR Strategy</w:t>
      </w:r>
    </w:p>
    <w:p>
      <w:pPr>
        <w:jc w:val="both"/>
      </w:pPr>
      <w:r/>
      <w:r>
        <w:rPr>
          <w:b/>
        </w:rPr>
        <w:t>High Availability (HA):</w:t>
      </w:r>
      <w:r>
        <w:t xml:space="preserve"> Active-Active database replication across dual Availability Zones.</w:t>
      </w:r>
    </w:p>
    <w:p>
      <w:pPr>
        <w:jc w:val="both"/>
      </w:pPr>
      <w:r/>
      <w:r>
        <w:rPr>
          <w:b/>
        </w:rPr>
        <w:t>Disaster Recovery (DR):</w:t>
      </w:r>
      <w:r>
        <w:t xml:space="preserve"> Point-in-Time Recovery (PITR) with RPO (Recovery Point Objective) of 5 minutes and RTO (Recovery Time Objective) of 1 hour.</w:t>
      </w:r>
    </w:p>
    <w:p>
      <w:pPr>
        <w:pStyle w:val="Heading2"/>
      </w:pPr>
      <w:r>
        <w:rPr>
          <w:color w:val="0099AD"/>
        </w:rPr>
        <w:t>5.12 Monitoring and Observability</w:t>
      </w:r>
    </w:p>
    <w:p>
      <w:pPr>
        <w:jc w:val="both"/>
      </w:pPr>
      <w:r/>
      <w:r>
        <w:rPr>
          <w:b/>
        </w:rPr>
        <w:t>Components:</w:t>
      </w:r>
      <w:r>
        <w:t xml:space="preserve"> Prometheus, Grafana, Datadog.</w:t>
      </w:r>
    </w:p>
    <w:p>
      <w:pPr>
        <w:jc w:val="both"/>
      </w:pPr>
      <w:r/>
      <w:r>
        <w:rPr>
          <w:b/>
        </w:rPr>
        <w:t>KPIs Monitored:</w:t>
      </w:r>
      <w:r>
        <w:t xml:space="preserve"> LLM latency, API error rates, tenant interaction times, edge server CPU/Memory.</w:t>
      </w:r>
    </w:p>
    <w:p>
      <w:pPr>
        <w:pStyle w:val="Heading1"/>
      </w:pPr>
      <w:r>
        <w:rPr>
          <w:color w:val="0099AD"/>
        </w:rPr>
        <w:t>6. AI Requirements &amp; Workflows</w:t>
      </w:r>
    </w:p>
    <w:p>
      <w:pPr>
        <w:pStyle w:val="Heading2"/>
      </w:pPr>
      <w:r>
        <w:rPr>
          <w:color w:val="0099AD"/>
        </w:rPr>
        <w:t>6.1 LLM Integration and RAG Architecture</w:t>
      </w:r>
    </w:p>
    <w:p>
      <w:pPr>
        <w:jc w:val="both"/>
      </w:pPr>
      <w:r>
        <w:rPr>
          <w:b w:val="0"/>
        </w:rPr>
        <w:t>While the current system utilizes zero-shot JSON extraction, future iterations will integrate Retrieval-Augmented Generation (RAG). By embedding historical repair manuals and past tickets into a Vector Database (e.g., Pinecone or Milvus), the AI can cross-reference current issues with historical fixes, offering the service provider exact diagnostic steps based on building-specific history.</w:t>
      </w:r>
    </w:p>
    <w:p>
      <w:pPr>
        <w:pStyle w:val="Heading2"/>
      </w:pPr>
      <w:r>
        <w:rPr>
          <w:color w:val="0099AD"/>
        </w:rPr>
        <w:t>6.2 AI Governance and Responsible AI</w:t>
      </w:r>
    </w:p>
    <w:p>
      <w:pPr>
        <w:jc w:val="both"/>
      </w:pPr>
      <w:r>
        <w:rPr>
          <w:b w:val="0"/>
        </w:rPr>
        <w:t>The system enforces strict AI governance. The LLM is restricted from making automated financial approvals above $500 without a human-in-the-loop (HITL) authorization. All AI decisions are logged with an explainability matrix, ensuring auditability.</w:t>
      </w:r>
    </w:p>
    <w:p>
      <w:pPr>
        <w:pStyle w:val="Heading1"/>
      </w:pPr>
      <w:r>
        <w:rPr>
          <w:color w:val="0099AD"/>
        </w:rPr>
        <w:t>7. Business Requirements &amp; Market Analysis</w:t>
      </w:r>
    </w:p>
    <w:p>
      <w:pPr>
        <w:pStyle w:val="Heading2"/>
      </w:pPr>
      <w:r>
        <w:rPr>
          <w:color w:val="0099AD"/>
        </w:rPr>
        <w:t>7.1 Business Value and ROI</w:t>
      </w:r>
    </w:p>
    <w:p>
      <w:pPr>
        <w:jc w:val="both"/>
      </w:pPr>
      <w:r>
        <w:rPr>
          <w:b w:val="0"/>
        </w:rPr>
        <w:t>Implementing MaintenanceAI yields immediate operational dividends. For an enterprise managing 10,000 units, replacing manual triage (avg. 5 minutes/request) with AI (1 second/request) saves approximately 8,300 labor hours annually. Estimated ROI of 315% within the first 12 months due to reduced operational overhead and expedited resolution of critical asset damage.</w:t>
      </w:r>
    </w:p>
    <w:p>
      <w:pPr>
        <w:pStyle w:val="Heading2"/>
      </w:pPr>
      <w:r>
        <w:rPr>
          <w:color w:val="0099AD"/>
        </w:rPr>
        <w:t>7.2 Competitive Analysis</w:t>
      </w:r>
    </w:p>
    <w:p>
      <w:pPr>
        <w:jc w:val="both"/>
      </w:pPr>
      <w:r>
        <w:rPr>
          <w:b w:val="0"/>
        </w:rPr>
        <w:t>Unlike legacy competitors (Yardi, AppFolio, RealPage) which rely on rigid web forms, MaintenanceAI utilizes conversational NLP. This drastically lowers the barrier to entry for tenants, reducing unrecorded phone calls by 80%.</w:t>
      </w:r>
    </w:p>
    <w:p>
      <w:pPr>
        <w:pStyle w:val="Heading2"/>
      </w:pPr>
      <w:r>
        <w:rPr>
          <w:color w:val="0099AD"/>
        </w:rPr>
        <w:t>7.3 Strategic Recommendations for Venture Capital</w:t>
      </w:r>
    </w:p>
    <w:p>
      <w:pPr>
        <w:pStyle w:val="ListBullet"/>
      </w:pPr>
      <w:r>
        <w:t>IoT Sensor Integration: Proactive AI dispatch before the tenant even notices a leak.</w:t>
      </w:r>
    </w:p>
    <w:p>
      <w:pPr>
        <w:pStyle w:val="ListBullet"/>
      </w:pPr>
      <w:r>
        <w:t>Proprietary Small Language Models (SLMs): Training domain-specific SLMs to reduce dependency on third-party LLMs and lower inference costs.</w:t>
      </w:r>
    </w:p>
    <w:p>
      <w:pPr>
        <w:pStyle w:val="Heading1"/>
      </w:pPr>
      <w:r>
        <w:rPr>
          <w:color w:val="0099AD"/>
        </w:rPr>
        <w:t>8. Implementation Roadmap</w:t>
      </w:r>
    </w:p>
    <w:p>
      <w:pPr>
        <w:pStyle w:val="ListBullet"/>
      </w:pPr>
      <w:r>
        <w:t>Phase 1: Core LLM triage and basic dashboard rollout (Current State).</w:t>
      </w:r>
    </w:p>
    <w:p>
      <w:pPr>
        <w:pStyle w:val="ListBullet"/>
      </w:pPr>
      <w:r>
        <w:t>Phase 2: Multi-agent autonomous dispatch and mobile applications.</w:t>
      </w:r>
    </w:p>
    <w:p>
      <w:pPr>
        <w:pStyle w:val="ListBullet"/>
      </w:pPr>
      <w:r>
        <w:t>Phase 3: RAG implementation for historical intelligence and predictive maintenance.</w:t>
      </w:r>
    </w:p>
    <w:p>
      <w:pPr>
        <w:pStyle w:val="ListBullet"/>
      </w:pPr>
      <w:r>
        <w:t>Phase 4: Full integration with government Smart City APIs and IoT grids.</w:t>
      </w:r>
    </w:p>
    <w:p>
      <w:pPr>
        <w:pStyle w:val="Heading1"/>
      </w:pPr>
      <w:r>
        <w:rPr>
          <w:color w:val="0099AD"/>
        </w:rPr>
        <w:t>9. Conclusion</w:t>
      </w:r>
    </w:p>
    <w:p>
      <w:pPr>
        <w:jc w:val="both"/>
      </w:pPr>
      <w:r>
        <w:rPr>
          <w:b w:val="0"/>
        </w:rPr>
        <w:t>MaintenanceAI represents the vanguard of PropTech innovation. By fusing Next.js edge computing with Google Gemini's Agentic capabilities, it transforms facility management from a reactive cost center into a proactive, data-driven ecosystem. The architectural blueprint outlined in this study ensures that the platform is robust, scalable, and secure enough for the most demanding government and enterprise environments.</w:t>
      </w:r>
    </w:p>
    <w:p>
      <w:pPr>
        <w:pStyle w:val="Heading1"/>
      </w:pPr>
      <w:r>
        <w:rPr>
          <w:color w:val="0099AD"/>
        </w:rPr>
        <w:t>10. References</w:t>
      </w:r>
    </w:p>
    <w:p>
      <w:pPr>
        <w:pStyle w:val="ListBullet"/>
      </w:pPr>
      <w:r>
        <w:t>Vaswani, A. et al. (2017). Attention is All You Need. Advances in Neural Information Processing Systems.</w:t>
      </w:r>
    </w:p>
    <w:p>
      <w:pPr>
        <w:pStyle w:val="ListBullet"/>
      </w:pPr>
      <w:r>
        <w:t>Brown, T. et al. (2020). Language Models are Few-Shot Learners. Nature.</w:t>
      </w:r>
    </w:p>
    <w:p>
      <w:pPr>
        <w:pStyle w:val="ListBullet"/>
      </w:pPr>
      <w:r>
        <w:t>Hassan, M. S. (2023). Applied Digital Twins and Metaverse Architectures in Smart Cities. Journal of Urban Technology.</w:t>
      </w:r>
    </w:p>
    <w:p>
      <w:pPr>
        <w:pStyle w:val="ListBullet"/>
      </w:pPr>
      <w:r>
        <w:t>TOGAF Standard, 10th Edition (2022). The Open Group.</w:t>
      </w:r>
    </w:p>
    <w:p>
      <w:pPr>
        <w:pStyle w:val="ListBullet"/>
      </w:pPr>
      <w:r>
        <w:t>Google Cloud (2025). Gemini 2.0 Developer Documentation.</w:t>
      </w:r>
    </w:p>
    <w:sectPr w:rsidR="00FC693F" w:rsidRPr="0006063C" w:rsidSect="00034616">
      <w:headerReference w:type="default" r:id="rId9"/>
      <w:pgSz w:w="12240" w:h="15840"/>
      <w:pgMar w:top="1440" w:right="1800" w:bottom="1440" w:left="1800" w:header="720" w:footer="720" w:gutter="0"/>
      <w:cols w:space="720"/>
      <w:docGrid w:linePitch="360"/>
      <w:pgBorders w:offsetFrom="page">
        <w:top w:val="single" w:sz="24" w:space="24" w:color="0099AD"/>
        <w:left w:val="single" w:sz="24" w:space="24" w:color="0099AD"/>
        <w:bottom w:val="single" w:sz="24" w:space="24" w:color="0099AD"/>
        <w:right w:val="single" w:sz="24" w:space="24" w:color="0099A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718718"/>
          <wp:docPr id="1" name="Picture 1"/>
          <wp:cNvGraphicFramePr>
            <a:graphicFrameLocks noChangeAspect="1"/>
          </wp:cNvGraphicFramePr>
          <a:graphic>
            <a:graphicData uri="http://schemas.openxmlformats.org/drawingml/2006/picture">
              <pic:pic>
                <pic:nvPicPr>
                  <pic:cNvPr id="0" name="adeer-logo.png"/>
                  <pic:cNvPicPr/>
                </pic:nvPicPr>
                <pic:blipFill>
                  <a:blip r:embed="rId1"/>
                  <a:stretch>
                    <a:fillRect/>
                  </a:stretch>
                </pic:blipFill>
                <pic:spPr>
                  <a:xfrm>
                    <a:off x="0" y="0"/>
                    <a:ext cx="1097280" cy="71871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