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embeddings/Microsoft_Excel_Worksheet1.xlsx" ContentType="application/vnd.openxmlformats-officedocument.spreadsheetml.sheet"/>
  <Override PartName="/word/embeddings/Microsoft_Excel_Worksheet2.xlsx" ContentType="application/vnd.openxmlformats-officedocument.spreadsheetml.sheet"/>
  <Override PartName="/word/embeddings/Microsoft_Excel_Worksheet3.xlsx" ContentType="application/vnd.openxmlformats-officedocument.spreadsheetml.sheet"/>
  <Override PartName="/word/embeddings/Microsoft_Excel_Worksheet4.xlsx" ContentType="application/vnd.openxmlformats-officedocument.spreadsheetml.sheet"/>
  <Override PartName="/word/embeddings/Microsoft_Excel_Worksheet5.xlsx" ContentType="application/vnd.openxmlformats-officedocument.spreadsheetml.sheet"/>
  <Override PartName="/word/embeddings/Microsoft_Excel_Worksheet6.xlsx" ContentType="application/vnd.openxmlformats-officedocument.spreadsheetml.sheet"/>
  <Override PartName="/word/embeddings/Microsoft_Excel_Worksheet7.xlsx" ContentType="application/vnd.openxmlformats-officedocument.spreadsheetml.sheet"/>
  <Override PartName="/word/embeddings/Microsoft_Excel_Worksheet8.xlsx" ContentType="application/vnd.openxmlformats-officedocument.spreadsheetml.sheet"/>
  <Override PartName="/word/embeddings/Microsoft_Excel_Worksheet9.xlsx" ContentType="application/vnd.openxmlformats-officedocument.spreadsheetml.sheet"/>
  <Override PartName="/word/embeddings/Microsoft_Excel_Worksheet10.xlsx" ContentType="application/vnd.openxmlformats-officedocument.spreadsheetml.sheet"/>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mc="http://schemas.openxmlformats.org/markup-compatibility/2006" xmlns:w14="http://schemas.microsoft.com/office/word/2010/wordml" xmlns:w15="http://schemas.microsoft.com/office/word/2012/wordml" xmlns:c="http://schemas.openxmlformats.org/drawingml/2006/chart" mc:Ignorable="w14 w15">
  <w:body>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النوع</w:t>
      </w:r>
    </w:p>
    <w:p>
      <w:pPr>
        <w:spacing w:before="60" w:after="60"/>
        <w:jc w:val="center"/>
      </w:pPr>
      <w:r>
        <w:rPr>
          <w:rFonts w:ascii="Simplified Arabic" w:hAnsi="Simplified Arabic" w:cs="Simplified Arabic"/>
          <w:b/>
          <w:bCs/>
          <w:sz w:val="30"/>
          <w:szCs w:val="30"/>
          <w:rtl/>
        </w:rPr>
        <w:t>جدول (١)</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2768"/>
        <w:gridCol w:w="2767"/>
        <w:gridCol w:w="2767"/>
      </w:tblGrid>
      <w:tr>
        <w:tblPrEx>
          <w:tblCellMar>
            <w:top w:w="0" w:type="dxa"/>
            <w:bottom w:w="0" w:type="dxa"/>
          </w:tblCellMar>
        </w:tblPrEx>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النسبة %</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أنثى</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ذكر</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100%</w:t>
            </w:r>
          </w:p>
        </w:tc>
      </w:tr>
    </w:tbl>
    <w:p>
      <w:pPr>
        <w:spacing w:before="60" w:after="60"/>
        <w:jc w:val="center"/>
      </w:pPr>
      <w:r>
        <w:rPr>
          <w:noProof/>
        </w:rPr>
        <w:drawing>
          <wp:inline distT="0" distB="0" distL="0" distR="0">
            <wp:extent cx="5278120" cy="3079115"/>
            <wp:effectExtent l="0" t="0" r="17780" b="6985"/>
            <wp:docPr id="1" name="النوع"/>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pPr>
        <w:spacing w:before="60" w:after="60"/>
        <w:jc w:val="both"/>
      </w:pPr>
      <w:r>
        <w:rPr>
          <w:rFonts w:ascii="Simplified Arabic" w:hAnsi="Simplified Arabic" w:cs="Simplified Arabic"/>
          <w:sz w:val="28"/>
          <w:szCs w:val="28"/>
          <w:rtl/>
        </w:rPr>
        <w:t>يتضح من الجدول (١) والشكل البياني (١) : أن كافة أفراد عينة البحث انحصروا في فئة (أنثى) بنسبة (١٠٠%).</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الكلية</w:t>
      </w:r>
    </w:p>
    <w:p>
      <w:pPr>
        <w:spacing w:before="60" w:after="60"/>
        <w:jc w:val="center"/>
      </w:pPr>
      <w:r>
        <w:rPr>
          <w:rFonts w:ascii="Simplified Arabic" w:hAnsi="Simplified Arabic" w:cs="Simplified Arabic"/>
          <w:b/>
          <w:bCs/>
          <w:sz w:val="30"/>
          <w:szCs w:val="30"/>
          <w:rtl/>
        </w:rPr>
        <w:t>جدول (٢)</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2768"/>
        <w:gridCol w:w="2767"/>
        <w:gridCol w:w="2767"/>
      </w:tblGrid>
      <w:tr>
        <w:tblPrEx>
          <w:tblCellMar>
            <w:top w:w="0" w:type="dxa"/>
            <w:bottom w:w="0" w:type="dxa"/>
          </w:tblCellMar>
        </w:tblPrEx>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النسبة %</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عملية</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نظرية</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100%</w:t>
            </w:r>
          </w:p>
        </w:tc>
      </w:tr>
    </w:tbl>
    <w:p>
      <w:pPr>
        <w:spacing w:before="60" w:after="60"/>
        <w:jc w:val="center"/>
      </w:pPr>
      <w:r>
        <w:rPr>
          <w:noProof/>
        </w:rPr>
        <w:drawing>
          <wp:inline distT="0" distB="0" distL="0" distR="0">
            <wp:extent cx="5278120" cy="3079115"/>
            <wp:effectExtent l="0" t="0" r="17780" b="6985"/>
            <wp:docPr id="1" name="الكلية"/>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pPr>
        <w:spacing w:before="60" w:after="60"/>
        <w:jc w:val="both"/>
      </w:pPr>
      <w:r>
        <w:rPr>
          <w:rFonts w:ascii="Simplified Arabic" w:hAnsi="Simplified Arabic" w:cs="Simplified Arabic"/>
          <w:sz w:val="28"/>
          <w:szCs w:val="28"/>
          <w:rtl/>
        </w:rPr>
        <w:t>يتضح من الجدول (٢) والشكل البياني (٢) : أن أعلى نسبة كانت لفئة (عملية) بنسبة (٨٠%)، يليها فئة (نظرية) بنسبة (٢٠%).</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الحالة الاجتماعية</w:t>
      </w:r>
    </w:p>
    <w:p>
      <w:pPr>
        <w:spacing w:before="60" w:after="60"/>
        <w:jc w:val="center"/>
      </w:pPr>
      <w:r>
        <w:rPr>
          <w:rFonts w:ascii="Simplified Arabic" w:hAnsi="Simplified Arabic" w:cs="Simplified Arabic"/>
          <w:b/>
          <w:bCs/>
          <w:sz w:val="30"/>
          <w:szCs w:val="30"/>
          <w:rtl/>
        </w:rPr>
        <w:t>جدول (٣)</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2768"/>
        <w:gridCol w:w="2767"/>
        <w:gridCol w:w="2767"/>
      </w:tblGrid>
      <w:tr>
        <w:tblPrEx>
          <w:tblCellMar>
            <w:top w:w="0" w:type="dxa"/>
            <w:bottom w:w="0" w:type="dxa"/>
          </w:tblCellMar>
        </w:tblPrEx>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النسبة %</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أعزب</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مخطوب</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متزوج</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100%</w:t>
            </w:r>
          </w:p>
        </w:tc>
      </w:tr>
    </w:tbl>
    <w:p>
      <w:pPr>
        <w:spacing w:before="60" w:after="60"/>
        <w:jc w:val="center"/>
      </w:pPr>
      <w:r>
        <w:rPr>
          <w:noProof/>
        </w:rPr>
        <w:drawing>
          <wp:inline distT="0" distB="0" distL="0" distR="0">
            <wp:extent cx="5278120" cy="3079115"/>
            <wp:effectExtent l="0" t="0" r="17780" b="6985"/>
            <wp:docPr id="1" name="الحالة الاجتماعية"/>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pPr>
        <w:spacing w:before="60" w:after="60"/>
        <w:jc w:val="both"/>
      </w:pPr>
      <w:r>
        <w:rPr>
          <w:rFonts w:ascii="Simplified Arabic" w:hAnsi="Simplified Arabic" w:cs="Simplified Arabic"/>
          <w:sz w:val="28"/>
          <w:szCs w:val="28"/>
          <w:rtl/>
        </w:rPr>
        <w:t>يتضح من الجدول (٣) والشكل البياني (٣) : أن أعلى نسبة كانت لفئة (أعزب) بنسبة (٧٠%)، يليها فئة (مخطوب) بنسبة (٢٠%)، وأخيراً فئة (متزوج) بنسبة (١٠%).</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متوسط الدخل الشهري للأسرة:</w:t>
      </w:r>
    </w:p>
    <w:p>
      <w:pPr>
        <w:spacing w:before="60" w:after="60"/>
        <w:jc w:val="center"/>
      </w:pPr>
      <w:r>
        <w:rPr>
          <w:rFonts w:ascii="Simplified Arabic" w:hAnsi="Simplified Arabic" w:cs="Simplified Arabic"/>
          <w:b/>
          <w:bCs/>
          <w:sz w:val="30"/>
          <w:szCs w:val="30"/>
          <w:rtl/>
        </w:rPr>
        <w:t>جدول (٤)</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2768"/>
        <w:gridCol w:w="2767"/>
        <w:gridCol w:w="2767"/>
      </w:tblGrid>
      <w:tr>
        <w:tblPrEx>
          <w:tblCellMar>
            <w:top w:w="0" w:type="dxa"/>
            <w:bottom w:w="0" w:type="dxa"/>
          </w:tblCellMar>
        </w:tblPrEx>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النسبة %</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7000- لاقل من 9000جنية</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5000- لأقل من 7000جنية</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اقل من 5000 جنية</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9000-لاقل من 11000جنية</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17000 جنية فاكثر</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13000 -لاقل من 15000 جنية</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15000- لاقل من 17000 جنية</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لا إجابة</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11000-لاقل من 13000 جنية</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100%</w:t>
            </w:r>
          </w:p>
        </w:tc>
      </w:tr>
    </w:tbl>
    <w:p>
      <w:pPr>
        <w:spacing w:before="60" w:after="60"/>
        <w:jc w:val="center"/>
      </w:pPr>
      <w:r>
        <w:rPr>
          <w:noProof/>
        </w:rPr>
        <w:drawing>
          <wp:inline distT="0" distB="0" distL="0" distR="0">
            <wp:extent cx="5278120" cy="3079115"/>
            <wp:effectExtent l="0" t="0" r="17780" b="6985"/>
            <wp:docPr id="1" name="متوسط الدخل الشهري للأسرة:"/>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pPr>
        <w:spacing w:before="60" w:after="60"/>
        <w:jc w:val="both"/>
      </w:pPr>
      <w:r>
        <w:rPr>
          <w:rFonts w:ascii="Simplified Arabic" w:hAnsi="Simplified Arabic" w:cs="Simplified Arabic"/>
          <w:sz w:val="28"/>
          <w:szCs w:val="28"/>
          <w:rtl/>
        </w:rPr>
        <w:t>يتضح من الجدول (٤) والشكل البياني (٤) : أن تساوت كلٌّ من (7000- لاقل من 9000جنية) و(9000-لاقل من 11000جنية) و(لا إجابة) في الصدارة بنسبة (٢٠%) لكل منهما، يليها تساوت كلٌّ من (5000- لأقل من 7000جنية) و(اقل من 5000 جنية) و(17000 جنية فاكثر) و(15000- لاقل من 17000 جنية) بنسبة (١٠%) لكل منهما.</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حجم الاسرة</w:t>
      </w:r>
    </w:p>
    <w:p>
      <w:pPr>
        <w:spacing w:before="60" w:after="60"/>
        <w:jc w:val="center"/>
      </w:pPr>
      <w:r>
        <w:rPr>
          <w:rFonts w:ascii="Simplified Arabic" w:hAnsi="Simplified Arabic" w:cs="Simplified Arabic"/>
          <w:b/>
          <w:bCs/>
          <w:sz w:val="30"/>
          <w:szCs w:val="30"/>
          <w:rtl/>
        </w:rPr>
        <w:t>جدول (٥)</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2768"/>
        <w:gridCol w:w="2767"/>
        <w:gridCol w:w="2767"/>
      </w:tblGrid>
      <w:tr>
        <w:tblPrEx>
          <w:tblCellMar>
            <w:top w:w="0" w:type="dxa"/>
            <w:bottom w:w="0" w:type="dxa"/>
          </w:tblCellMar>
        </w:tblPrEx>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النسبة %</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متوسطة (4-5 افراد)</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كبيرة 6 أفراد فاكثر</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صغيرة (3 افراد فاقل)</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100%</w:t>
            </w:r>
          </w:p>
        </w:tc>
      </w:tr>
    </w:tbl>
    <w:p>
      <w:pPr>
        <w:spacing w:before="60" w:after="60"/>
        <w:jc w:val="center"/>
      </w:pPr>
      <w:r>
        <w:rPr>
          <w:noProof/>
        </w:rPr>
        <w:drawing>
          <wp:inline distT="0" distB="0" distL="0" distR="0">
            <wp:extent cx="5278120" cy="3079115"/>
            <wp:effectExtent l="0" t="0" r="17780" b="6985"/>
            <wp:docPr id="1" name="حجم الاسرة"/>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pPr>
        <w:spacing w:before="60" w:after="60"/>
        <w:jc w:val="both"/>
      </w:pPr>
      <w:r>
        <w:rPr>
          <w:rFonts w:ascii="Simplified Arabic" w:hAnsi="Simplified Arabic" w:cs="Simplified Arabic"/>
          <w:sz w:val="28"/>
          <w:szCs w:val="28"/>
          <w:rtl/>
        </w:rPr>
        <w:t>يتضح من الجدول (٥) والشكل البياني (٥) : أن أعلى نسبة كانت لفئة (متوسطة (4-5 افراد)) بنسبة (٥٠%) وهو ما يشكل نصف عينة البحث، يليها فئة (كبيرة 6 أفراد فاكثر) بنسبة (٤٠%)، وأخيراً فئة (صغيرة (3 افراد فاقل)) بنسبة (١٠%).</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الترتيب بين الاخوة</w:t>
      </w:r>
    </w:p>
    <w:p>
      <w:pPr>
        <w:spacing w:before="60" w:after="60"/>
        <w:jc w:val="center"/>
      </w:pPr>
      <w:r>
        <w:rPr>
          <w:rFonts w:ascii="Simplified Arabic" w:hAnsi="Simplified Arabic" w:cs="Simplified Arabic"/>
          <w:b/>
          <w:bCs/>
          <w:sz w:val="30"/>
          <w:szCs w:val="30"/>
          <w:rtl/>
        </w:rPr>
        <w:t>جدول (٦)</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2768"/>
        <w:gridCol w:w="2767"/>
        <w:gridCol w:w="2767"/>
      </w:tblGrid>
      <w:tr>
        <w:tblPrEx>
          <w:tblCellMar>
            <w:top w:w="0" w:type="dxa"/>
            <w:bottom w:w="0" w:type="dxa"/>
          </w:tblCellMar>
        </w:tblPrEx>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النسبة %</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الأوسط</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الأول</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الاخير</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100%</w:t>
            </w:r>
          </w:p>
        </w:tc>
      </w:tr>
    </w:tbl>
    <w:p>
      <w:pPr>
        <w:spacing w:before="60" w:after="60"/>
        <w:jc w:val="center"/>
      </w:pPr>
      <w:r>
        <w:rPr>
          <w:noProof/>
        </w:rPr>
        <w:drawing>
          <wp:inline distT="0" distB="0" distL="0" distR="0">
            <wp:extent cx="5278120" cy="3079115"/>
            <wp:effectExtent l="0" t="0" r="17780" b="6985"/>
            <wp:docPr id="1" name="الترتيب بين الاخوة"/>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pPr>
        <w:spacing w:before="60" w:after="60"/>
        <w:jc w:val="both"/>
      </w:pPr>
      <w:r>
        <w:rPr>
          <w:rFonts w:ascii="Simplified Arabic" w:hAnsi="Simplified Arabic" w:cs="Simplified Arabic"/>
          <w:sz w:val="28"/>
          <w:szCs w:val="28"/>
          <w:rtl/>
        </w:rPr>
        <w:t>يتضح من الجدول (٦) والشكل البياني (٦) : أن أعلى نسبة كانت لفئة (الأوسط) بنسبة (٧٠%)، يليها فئة (الأول) بنسبة (٢٠%)، وأخيراً فئة (الاخير) بنسبة (١٠%).</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متوسط عدد الساعات اليومية التي تقضيها متابعة صناع المحتوى الرقمي</w:t>
      </w:r>
    </w:p>
    <w:p>
      <w:pPr>
        <w:spacing w:before="60" w:after="60"/>
        <w:jc w:val="center"/>
      </w:pPr>
      <w:r>
        <w:rPr>
          <w:rFonts w:ascii="Simplified Arabic" w:hAnsi="Simplified Arabic" w:cs="Simplified Arabic"/>
          <w:b/>
          <w:bCs/>
          <w:sz w:val="30"/>
          <w:szCs w:val="30"/>
          <w:rtl/>
        </w:rPr>
        <w:t>جدول (٧)</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2768"/>
        <w:gridCol w:w="2767"/>
        <w:gridCol w:w="2767"/>
      </w:tblGrid>
      <w:tr>
        <w:tblPrEx>
          <w:tblCellMar>
            <w:top w:w="0" w:type="dxa"/>
            <w:bottom w:w="0" w:type="dxa"/>
          </w:tblCellMar>
        </w:tblPrEx>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النسبة %</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من 2 – أقل من 5 ساعات</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أقل من ساعتين</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من 5 – أقل من 8 ساعات</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8 ساعات فأكثر</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100%</w:t>
            </w:r>
          </w:p>
        </w:tc>
      </w:tr>
    </w:tbl>
    <w:p>
      <w:pPr>
        <w:spacing w:before="60" w:after="60"/>
        <w:jc w:val="center"/>
      </w:pPr>
      <w:r>
        <w:rPr>
          <w:noProof/>
        </w:rPr>
        <w:drawing>
          <wp:inline distT="0" distB="0" distL="0" distR="0">
            <wp:extent cx="5278120" cy="3079115"/>
            <wp:effectExtent l="0" t="0" r="17780" b="6985"/>
            <wp:docPr id="1" name="متوسط عدد الساعات اليومية التي تقضيها متابعة صناع المحتوى الرقمي"/>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pPr>
        <w:spacing w:before="60" w:after="60"/>
        <w:jc w:val="both"/>
      </w:pPr>
      <w:r>
        <w:rPr>
          <w:rFonts w:ascii="Simplified Arabic" w:hAnsi="Simplified Arabic" w:cs="Simplified Arabic"/>
          <w:sz w:val="28"/>
          <w:szCs w:val="28"/>
          <w:rtl/>
        </w:rPr>
        <w:t>يتضح من الجدول (٧) والشكل البياني (٧) : أن أعلى نسبة كانت لفئة (من 2 – أقل من 5 ساعات) بنسبة (٥٠%) وهو ما يشكل نصف عينة البحث، يليها فئة (من 5 – أقل من 8 ساعات) بنسبة (٣٠%)، وأخيراً تساوت كلٌّ من (أقل من ساعتين) و(8 ساعات فأكثر) بنسبة (١٠%) لكل منهما.</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المنصات الأكثر استخدامًا (يمكن اختيار أكثر من إجابة):</w:t>
      </w:r>
    </w:p>
    <w:p>
      <w:pPr>
        <w:spacing w:before="60" w:after="60"/>
        <w:jc w:val="center"/>
      </w:pPr>
      <w:r>
        <w:rPr>
          <w:rFonts w:ascii="Simplified Arabic" w:hAnsi="Simplified Arabic" w:cs="Simplified Arabic"/>
          <w:b/>
          <w:bCs/>
          <w:sz w:val="30"/>
          <w:szCs w:val="30"/>
          <w:rtl/>
        </w:rPr>
        <w:t>جدول (٨)</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2768"/>
        <w:gridCol w:w="2767"/>
        <w:gridCol w:w="2767"/>
      </w:tblGrid>
      <w:tr>
        <w:tblPrEx>
          <w:tblCellMar>
            <w:top w:w="0" w:type="dxa"/>
            <w:bottom w:w="0" w:type="dxa"/>
          </w:tblCellMar>
        </w:tblPrEx>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النسبة %</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فيسبوك</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إنستغرام</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تيك توك</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فيسبوك,تيك توك</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فيسبوك,إنستغرام,تيك توك,يوتيوب</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إنستغرام,تيك توك</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فيسبوك,إنستغرام</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فيسبوك,إنستغرام,تيك توك</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فيسبوك,يوتيوب</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فيسبوك,إنستغرام,يوتيوب</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يوتيوب,غيرها</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إنستغرام,تيك توك,غيرها</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إنستغرام,يوتيوب,سناب شات</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إنستغرام,تيك توك,تويتر (X),غيرها</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إنستغرام,تيك توك,تويتر (X)</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إنستغرام,يوتيوب,تويتر (X)</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فيسبوك,تيك توك,يوتيوب</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100%</w:t>
            </w:r>
          </w:p>
        </w:tc>
      </w:tr>
    </w:tbl>
    <w:p>
      <w:pPr>
        <w:spacing w:before="60" w:after="60"/>
        <w:jc w:val="center"/>
      </w:pPr>
      <w:r>
        <w:rPr>
          <w:noProof/>
        </w:rPr>
        <w:drawing>
          <wp:inline distT="0" distB="0" distL="0" distR="0">
            <wp:extent cx="5278120" cy="3079115"/>
            <wp:effectExtent l="0" t="0" r="17780" b="6985"/>
            <wp:docPr id="1" name="المنصات الأكثر استخدامًا (يمكن اختيار أكثر من إجابة):"/>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pPr>
        <w:spacing w:before="60" w:after="60"/>
        <w:jc w:val="both"/>
      </w:pPr>
      <w:r>
        <w:rPr>
          <w:rFonts w:ascii="Simplified Arabic" w:hAnsi="Simplified Arabic" w:cs="Simplified Arabic"/>
          <w:sz w:val="28"/>
          <w:szCs w:val="28"/>
          <w:rtl/>
        </w:rPr>
        <w:t>يتضح من الجدول (٨) والشكل البياني (٨) : أن تساوت كلٌّ من (إنستغرام) و(فيسبوك,تيك توك) و(فيسبوك,إنستغرام) في الصدارة بنسبة (٢٠%) لكل منهما، يليها تساوت كلٌّ من (فيسبوك) و(فيسبوك,إنستغرام,تيك توك,يوتيوب) و(إنستغرام,تيك توك) و(فيسبوك,إنستغرام,تيك توك) بنسبة (١٠%) لكل منهما.</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أسباب متابعة صانع المحتوى الرقمي</w:t>
      </w:r>
    </w:p>
    <w:p>
      <w:pPr>
        <w:spacing w:before="60" w:after="60"/>
        <w:jc w:val="center"/>
      </w:pPr>
      <w:r>
        <w:rPr>
          <w:rFonts w:ascii="Simplified Arabic" w:hAnsi="Simplified Arabic" w:cs="Simplified Arabic"/>
          <w:b/>
          <w:bCs/>
          <w:sz w:val="30"/>
          <w:szCs w:val="30"/>
          <w:rtl/>
        </w:rPr>
        <w:t>جدول (٩)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2768"/>
        <w:gridCol w:w="2767"/>
        <w:gridCol w:w="2767"/>
      </w:tblGrid>
      <w:tr>
        <w:tblPrEx>
          <w:tblCellMar>
            <w:top w:w="0" w:type="dxa"/>
            <w:bottom w:w="0" w:type="dxa"/>
          </w:tblCellMar>
        </w:tblPrEx>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النسبة %</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الترفيه والتسلية</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تعلم أشياء جديده</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معرفة الاخبار</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متابعة المستجدات</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غيرها</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100%</w:t>
            </w:r>
          </w:p>
        </w:tc>
      </w:tr>
    </w:tbl>
    <w:p>
      <w:pPr>
        <w:spacing w:before="60" w:after="60"/>
        <w:jc w:val="center"/>
      </w:pPr>
      <w:r>
        <w:rPr>
          <w:noProof/>
        </w:rPr>
        <w:drawing>
          <wp:inline distT="0" distB="0" distL="0" distR="0">
            <wp:extent cx="5278120" cy="3079115"/>
            <wp:effectExtent l="0" t="0" r="17780" b="6985"/>
            <wp:docPr id="1" name="أسباب متابعة صانع المحتوى الرقمي"/>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pPr>
        <w:spacing w:before="60" w:after="60"/>
        <w:jc w:val="both"/>
      </w:pPr>
      <w:r>
        <w:rPr>
          <w:rFonts w:ascii="Simplified Arabic" w:hAnsi="Simplified Arabic" w:cs="Simplified Arabic"/>
          <w:sz w:val="28"/>
          <w:szCs w:val="28"/>
          <w:rtl/>
        </w:rPr>
        <w:t>يتضح من الجدول (٩) والشكل البياني (٩) : أن أعلى نسبة كانت لفئة (الترفيه والتسلية) بنسبة (٦٠%)، يليها تساوت كلٌّ من (تعلم أشياء جديده) و(متابعة المستجدات) بنسبة (٢٠%) لكل منهما.</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تفضل مشاهدة الفيديو كامل ام مقاطع الريلز</w:t>
      </w:r>
    </w:p>
    <w:p>
      <w:pPr>
        <w:spacing w:before="60" w:after="60"/>
        <w:jc w:val="center"/>
      </w:pPr>
      <w:r>
        <w:rPr>
          <w:rFonts w:ascii="Simplified Arabic" w:hAnsi="Simplified Arabic" w:cs="Simplified Arabic"/>
          <w:b/>
          <w:bCs/>
          <w:sz w:val="30"/>
          <w:szCs w:val="30"/>
          <w:rtl/>
        </w:rPr>
        <w:t>جدول (١٠)</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2768"/>
        <w:gridCol w:w="2767"/>
        <w:gridCol w:w="2767"/>
      </w:tblGrid>
      <w:tr>
        <w:tblPrEx>
          <w:tblCellMar>
            <w:top w:w="0" w:type="dxa"/>
            <w:bottom w:w="0" w:type="dxa"/>
          </w:tblCellMar>
        </w:tblPrEx>
        <w:trPr>
          <w:trHeight w:val="400"/>
          <w:tblHeader/>
        </w:trPr>
        <w:tc>
          <w:tcPr>
            <w:tcW w:w="2768"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الإجابة</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التكرار</w:t>
            </w:r>
          </w:p>
        </w:tc>
        <w:tc>
          <w:tcPr>
            <w:tcW w:w="2767"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rFonts w:ascii="Simplified Arabic" w:hAnsi="Simplified Arabic" w:cs="Simplified Arabic"/>
                <w:b/>
                <w:bCs/>
                <w:color w:val="FFFFFF"/>
                <w:sz w:val="22"/>
                <w:szCs w:val="22"/>
                <w:rtl/>
              </w:rPr>
              <w:t>النسبة %</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مقاطع الريلز</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فيديو</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2767"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360"/>
        </w:trPr>
        <w:tc>
          <w:tcPr>
            <w:tcW w:w="2768"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الإجمالي</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١٠</w:t>
            </w:r>
          </w:p>
        </w:tc>
        <w:tc>
          <w:tcPr>
            <w:tcW w:w="2767" w:type="dxa"/>
            <w:tcBorders>
              <w:top w:val="single" w:sz="4" w:space="0" w:color="999999"/>
              <w:left w:val="single" w:sz="4" w:space="0" w:color="999999"/>
              <w:bottom w:val="single" w:sz="4" w:space="0" w:color="999999"/>
              <w:right w:val="single" w:sz="4" w:space="0" w:color="999999"/>
            </w:tcBorders>
            <w:shd w:val="solid" w:color="F2F2F2" w:fill="F2F2F2"/>
            <w:vAlign w:val="center"/>
          </w:tcPr>
          <w:p>
            <w:pPr>
              <w:spacing w:before="60" w:after="60"/>
              <w:jc w:val="center"/>
            </w:pPr>
            <w:r>
              <w:rPr>
                <w:rFonts w:ascii="Simplified Arabic" w:hAnsi="Simplified Arabic" w:cs="Simplified Arabic"/>
                <w:b/>
                <w:bCs/>
                <w:sz w:val="22"/>
                <w:szCs w:val="22"/>
                <w:rtl/>
              </w:rPr>
              <w:t>100%</w:t>
            </w:r>
          </w:p>
        </w:tc>
      </w:tr>
    </w:tbl>
    <w:p>
      <w:pPr>
        <w:spacing w:before="60" w:after="60"/>
        <w:jc w:val="center"/>
      </w:pPr>
      <w:r>
        <w:rPr>
          <w:noProof/>
        </w:rPr>
        <w:drawing>
          <wp:inline distT="0" distB="0" distL="0" distR="0">
            <wp:extent cx="5278120" cy="3079115"/>
            <wp:effectExtent l="0" t="0" r="17780" b="6985"/>
            <wp:docPr id="1" name="تفضل مشاهدة الفيديو كامل ام مقاطع الريلز"/>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pPr>
        <w:spacing w:before="60" w:after="60"/>
        <w:jc w:val="both"/>
      </w:pPr>
      <w:r>
        <w:rPr>
          <w:rFonts w:ascii="Simplified Arabic" w:hAnsi="Simplified Arabic" w:cs="Simplified Arabic"/>
          <w:sz w:val="28"/>
          <w:szCs w:val="28"/>
          <w:rtl/>
        </w:rPr>
        <w:t>يتضح من الجدول (١٠) والشكل البياني (١٠) : أن كافة أفراد عينة البحث انحصروا في فئة (مقاطع الريلز) بنسبة (١٠٠%).</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البعد المعرفي والإخباري</w:t>
      </w:r>
    </w:p>
    <w:p>
      <w:pPr>
        <w:spacing w:before="60" w:after="60"/>
        <w:jc w:val="center"/>
      </w:pPr>
      <w:r>
        <w:rPr>
          <w:rFonts w:ascii="Simplified Arabic" w:hAnsi="Simplified Arabic" w:cs="Simplified Arabic"/>
          <w:b/>
          <w:bCs/>
          <w:sz w:val="30"/>
          <w:szCs w:val="30"/>
          <w:rtl/>
        </w:rPr>
        <w:t>جدول (١١)</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500"/>
        <w:gridCol w:w="2500"/>
        <w:gridCol w:w="884"/>
        <w:gridCol w:w="884"/>
        <w:gridCol w:w="884"/>
        <w:gridCol w:w="884"/>
        <w:gridCol w:w="884"/>
        <w:gridCol w:w="884"/>
      </w:tblGrid>
      <w:tr>
        <w:trPr>
          <w:trHeight w:val="420"/>
          <w:tblHeader/>
        </w:trPr>
        <w:tc>
          <w:tcPr>
            <w:tcW w:w="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م</w:t>
            </w:r>
          </w:p>
        </w:tc>
        <w:tc>
          <w:tcPr>
            <w:tcW w:w="2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العبارة</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نعم</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أحيانا</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لا</w:t>
            </w:r>
          </w:p>
        </w:tc>
      </w:tr>
      <w:tr>
        <w:trPr>
          <w:trHeight w:val="420"/>
          <w:tblHeader/>
        </w:trPr>
        <w:tc>
          <w:tcPr>
            <w:tcW w:w="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2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يقدم صانع المحتوى الرقمي معلومات دقيقة وموثوقة حول قضايا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غالبًا ما تكون المعلومات المقدمة من صناع المحتوى غير مدققة أو مبالغ فيها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المحتوى الرقمي في زيادة وعي أفراد الأسرة بالحقوق والواجبات الأسرية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يعتمد صانع المحتوى على مصادر موثوقة عند تقديم المعلومات الأسرية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يحتوي بعض المحتوى على معلومات مغلوطة تؤثر سلبًا على فهم الأسرة لقضاياها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يساعد المحتوى الرقمي الأسرة على فهم المستجدات الاجتماعية والتربوية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يقدم صانع المحتوى معلومات حديثة ومفيدة للأسرة في حياتها اليومية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يركز بعض صناع المحتوى على نشر الشائعات أكثر من الحقائق الأسرية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المحتوى في تصحيح المفاهيم الخاطئة لدى أفراد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يقدم المحتوى معلومات متوازنة من وجهات نظر مختلفة حول القضايا الأسرية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يساعد المحتوى الأسرة على اتخاذ قرارات واعية في حياتها اليومية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يفتقر بعض المحتوى إلى العمق المعرفي في قضايا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يقدم صانع المحتوى معلومات عملية قابلة للتطبيق داخل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المحتوى في رفع مستوى الثقافة الأسرية لدى المتابعين</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يعتمد بعض صناع المحتوى على مصادر غير موثوقة في حديثهم عن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يركز المحتوى على معلومات تخدم استقرار الأسرة وتماسكها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المحتوى في نشر الوعي بأهمية الأمن الأسري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bl>
    <w:p>
      <w:pPr>
        <w:spacing w:before="60" w:after="60"/>
        <w:jc w:val="both"/>
      </w:pPr>
      <w:r>
        <w:rPr>
          <w:rFonts w:ascii="Simplified Arabic" w:hAnsi="Simplified Arabic" w:cs="Simplified Arabic"/>
          <w:sz w:val="28"/>
          <w:szCs w:val="28"/>
          <w:rtl/>
        </w:rPr>
        <w:t>يتضح من الجدول (١١): أن (٩٠%) من أفراد عينة البحث يرون أن يحتوي بعض المحتوى على معلومات مغلوطة تؤثر سلبًا على فهم الأسرة لقضاياها، وأن (٨٠%) منهم يرون أن غالبًا ما تكون المعلومات المقدمة من صناع المحتوى غير مدققة أو مبالغ فيها، ويرون أن المحتوى يساهم في رفع مستوى الثقافة الأسرية لدى المتابعين، وأن (٨٠%) منهم يرون أن أحياناً يعتمد صانع المحتوى على مصادر موثوقة عند تقديم المعلومات الأسرية، وأن (٧٠%) منهم يرون أن المحتوى يساهم في تصحيح المفاهيم الخاطئة لدى أفراد الأسرة.</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البعد القيمي والأخلاقي</w:t>
      </w:r>
    </w:p>
    <w:p>
      <w:pPr>
        <w:spacing w:before="60" w:after="60"/>
        <w:jc w:val="center"/>
      </w:pPr>
      <w:r>
        <w:rPr>
          <w:rFonts w:ascii="Simplified Arabic" w:hAnsi="Simplified Arabic" w:cs="Simplified Arabic"/>
          <w:b/>
          <w:bCs/>
          <w:sz w:val="30"/>
          <w:szCs w:val="30"/>
          <w:rtl/>
        </w:rPr>
        <w:t>جدول (١٢)</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500"/>
        <w:gridCol w:w="2500"/>
        <w:gridCol w:w="884"/>
        <w:gridCol w:w="884"/>
        <w:gridCol w:w="884"/>
        <w:gridCol w:w="884"/>
        <w:gridCol w:w="884"/>
        <w:gridCol w:w="884"/>
      </w:tblGrid>
      <w:tr>
        <w:trPr>
          <w:trHeight w:val="420"/>
          <w:tblHeader/>
        </w:trPr>
        <w:tc>
          <w:tcPr>
            <w:tcW w:w="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م</w:t>
            </w:r>
          </w:p>
        </w:tc>
        <w:tc>
          <w:tcPr>
            <w:tcW w:w="2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العبارة</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نعم</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أحيانا</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لا</w:t>
            </w:r>
          </w:p>
        </w:tc>
      </w:tr>
      <w:tr>
        <w:trPr>
          <w:trHeight w:val="420"/>
          <w:tblHeader/>
        </w:trPr>
        <w:tc>
          <w:tcPr>
            <w:tcW w:w="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2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يعزز المحتوى القيم الأخلاقية الإيجابية داخل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ضعف بعض المحتوى قيم احترام الوالدين لدى الأبناء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يتفق المحتوى مع القيم الدينية والأخلاقية السائدة في المجتمع</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يروج بعض المحتوى لسلوكيات غير أخلاقية داخل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يشجع المحتوى على الصدق والأمانة في العلاقات الأسرية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بعض المحتوى في تدهور الأخلاق الأسرية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يحترم المحتوى خصوصية الأسرة وقدسيتها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يقدم بعض المحتوى نماذج سلبية تؤثر على القيم الأسرية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يعزز المحتوى قيمة احترام الكبير ورعاية الصغير داخل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يسخر بعض المحتوى من القيم الأسرية التقليدية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يدعو المحتوى إلى التسامح والرحمة بين أفراد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يشجع بعض المحتوى على العنف الأسري بشكل غير مباشر</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يعزز المحتوى قيمة التعاون والمودة داخل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يقلل بعض المحتوى من قيمة الزواج والاستقرار الأسري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يحث المحتوى على الالتزام بالواجبات الأخلاقية تجاه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المحتوى في بناء ضمير أخلاقي قوي لدى أفراد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bl>
    <w:p>
      <w:pPr>
        <w:spacing w:before="60" w:after="60"/>
        <w:jc w:val="both"/>
      </w:pPr>
      <w:r>
        <w:rPr>
          <w:rFonts w:ascii="Simplified Arabic" w:hAnsi="Simplified Arabic" w:cs="Simplified Arabic"/>
          <w:sz w:val="28"/>
          <w:szCs w:val="28"/>
          <w:rtl/>
        </w:rPr>
        <w:t>يتضح من الجدول (١٢): أن (٨٠%) من أفراد عينة البحث يرون أن يشجع المحتوى على الصدق والأمانة في العلاقات الأسرية، وأن (٧٠%) منهم يرون أن بعض المحتوى نماذج سلبية تؤثر يقدم على القيم الأسرية، وأن (٦٠%) منهم يرون أن أحياناً يتفق المحتوى مع القيم الدينية والأخلاقية السائدة في المجتمع، ويرون أن أحياناً يروج بعض المحتوى لسلوكيات غير أخلاقية داخل الأسرة، ويرون أن أحياناً المحتوى قيمة احترام الكبير ورعاية الصغير داخل الأسرة يعزز.</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البعد التربوي والإرشادي</w:t>
      </w:r>
    </w:p>
    <w:p>
      <w:pPr>
        <w:spacing w:before="60" w:after="60"/>
        <w:jc w:val="center"/>
      </w:pPr>
      <w:r>
        <w:rPr>
          <w:rFonts w:ascii="Simplified Arabic" w:hAnsi="Simplified Arabic" w:cs="Simplified Arabic"/>
          <w:b/>
          <w:bCs/>
          <w:sz w:val="30"/>
          <w:szCs w:val="30"/>
          <w:rtl/>
        </w:rPr>
        <w:t>جدول (١٣)</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500"/>
        <w:gridCol w:w="2500"/>
        <w:gridCol w:w="884"/>
        <w:gridCol w:w="884"/>
        <w:gridCol w:w="884"/>
        <w:gridCol w:w="884"/>
        <w:gridCol w:w="884"/>
        <w:gridCol w:w="884"/>
      </w:tblGrid>
      <w:tr>
        <w:trPr>
          <w:trHeight w:val="420"/>
          <w:tblHeader/>
        </w:trPr>
        <w:tc>
          <w:tcPr>
            <w:tcW w:w="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م</w:t>
            </w:r>
          </w:p>
        </w:tc>
        <w:tc>
          <w:tcPr>
            <w:tcW w:w="2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العبارة</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نعم</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أحيانا</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لا</w:t>
            </w:r>
          </w:p>
        </w:tc>
      </w:tr>
      <w:tr>
        <w:trPr>
          <w:trHeight w:val="420"/>
          <w:tblHeader/>
        </w:trPr>
        <w:tc>
          <w:tcPr>
            <w:tcW w:w="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2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يوجه المحتوى رسائل تربوية مفيدة للوالدين والأبناء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يقدم بعض المحتوى نصائح تربوية غير صحيحة أو مضرة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يساعد المحتوى الوالدين على فهم احتياجات أبنائهم</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المحتوى في توجيه سلوك الأبناء نحو السلوك الإيجابي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يقدم المحتوى نصائح عملية للتعامل مع المشكلات الأسرية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يفتقر بعض المحتوى إلى الجانب الإرشادي التربوي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يساعد المحتوى في تعزيز العلاقة بين الوالدين والأبناء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يقدم المحتوى أساليب تربية حديثة وإيجابية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يؤثر بعض المحتوى سلبًا على طرق تربية الأبناء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يوفر المحتوى حلولًا للمشكلات التربوية اليومية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المحتوى في نشر ثقافة الحوار داخل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يقدم المحتوى نماذج تربوية إيجابية يمكن الاقتداء بها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شجع بعض المحتوى على أساليب تربوية خاطئة كالعقاب البدني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يقدم المحتوى إرشادات نفسية وتربوية موثوقة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المحتوى في تعليم الأبناء احترام الوالدين</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يروج بعض المحتوى لأساليب تربوية تتعارض مع قيم المجتمع</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يساعد المحتوى في بناء شخصية الأبناء بشكل سليم</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bl>
    <w:p>
      <w:pPr>
        <w:spacing w:before="60" w:after="60"/>
        <w:jc w:val="both"/>
      </w:pPr>
      <w:r>
        <w:rPr>
          <w:rFonts w:ascii="Simplified Arabic" w:hAnsi="Simplified Arabic" w:cs="Simplified Arabic"/>
          <w:sz w:val="28"/>
          <w:szCs w:val="28"/>
          <w:rtl/>
        </w:rPr>
        <w:t>يتضح من الجدول (١٣): أن (٧٠%) من أفراد عينة البحث يرون أن المحتوى يساهم في توجيه سلوك الأبناء نحو السلوك الإيجابي، ويرون أن المحتوى حلولًا للمشكلات التربوية اليومية يوفر، ويرون أن المحتوى يساهم في نشر ثقافة الحوار داخل الأسرة، ويرون أن يروج بعض المحتوى لأساليب تربوية تتعارض مع قيم المجتمع، وأن (٧٠%) منهم يرون أن أحياناً المحتوى يساعد في تعزيز العلاقة بين الوالدين والأبناء.</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البعد الثقافي والفكري</w:t>
      </w:r>
    </w:p>
    <w:p>
      <w:pPr>
        <w:spacing w:before="60" w:after="60"/>
        <w:jc w:val="center"/>
      </w:pPr>
      <w:r>
        <w:rPr>
          <w:rFonts w:ascii="Simplified Arabic" w:hAnsi="Simplified Arabic" w:cs="Simplified Arabic"/>
          <w:b/>
          <w:bCs/>
          <w:sz w:val="30"/>
          <w:szCs w:val="30"/>
          <w:rtl/>
        </w:rPr>
        <w:t>جدول (١٤)</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500"/>
        <w:gridCol w:w="2500"/>
        <w:gridCol w:w="884"/>
        <w:gridCol w:w="884"/>
        <w:gridCol w:w="884"/>
        <w:gridCol w:w="884"/>
        <w:gridCol w:w="884"/>
        <w:gridCol w:w="884"/>
      </w:tblGrid>
      <w:tr>
        <w:trPr>
          <w:trHeight w:val="420"/>
          <w:tblHeader/>
        </w:trPr>
        <w:tc>
          <w:tcPr>
            <w:tcW w:w="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م</w:t>
            </w:r>
          </w:p>
        </w:tc>
        <w:tc>
          <w:tcPr>
            <w:tcW w:w="2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العبارة</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نعم</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أحيانا</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لا</w:t>
            </w:r>
          </w:p>
        </w:tc>
      </w:tr>
      <w:tr>
        <w:trPr>
          <w:trHeight w:val="420"/>
          <w:tblHeader/>
        </w:trPr>
        <w:tc>
          <w:tcPr>
            <w:tcW w:w="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2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يتوافق المحتوى مع الثقافة والهوية الدينية والمجتمعية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يتابع الشباب بعض المحتوى الذي يتعارض مع القيم الثقافية الأسرية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المحتوى في تعزيز الهوية الثقافية للأسرة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يقدم بعض المحتوى أفكارًا تتعارض مع ثقافتنا الأسرية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يعزز المحتوى الفكر الوسطي المعتدل داخل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المحتوى في تشكيل اتجاهات فكرية إيجابية لدى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يروج بعض المحتوى لأفكار متطرفة أو منحرفة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يحترم المحتوى الخصوصية الثقافية للأسر العربية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يساعد المحتوى في الحفاظ على التراث الأسري والمجتمعي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يؤثر بعض المحتوى في تغريب الأسرة عن ثقافتها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يقدم المحتوى مضامين تتماشى مع العادات والتقاليد الأسرية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المحتوى في نشر الوعي الثقافي بين أفراد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يحتوي بعض المحتوى على أفكار تتعارض مع الدين الإسلامي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يعزز المحتوى قيم الانتماء للأسرة والمجتمع</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يقدم المحتوى نماذج ثقافية إيجابية للأسرة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يقدم المحتوى أفكارًا تتماشى مع أهداف التنمية المستدامة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المحتوى في تعزيز الفكر النقدي داخل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bl>
    <w:p>
      <w:pPr>
        <w:spacing w:before="60" w:after="60"/>
        <w:jc w:val="both"/>
      </w:pPr>
      <w:r>
        <w:rPr>
          <w:rFonts w:ascii="Simplified Arabic" w:hAnsi="Simplified Arabic" w:cs="Simplified Arabic"/>
          <w:sz w:val="28"/>
          <w:szCs w:val="28"/>
          <w:rtl/>
        </w:rPr>
        <w:t>يتضح من الجدول (١٤): أن (٧٠%) من أفراد عينة البحث يرون أن بعض المحتوى أفكارًا تتعارض يقدم مع ثقافتنا الأسرية، ويرون أن يؤثر بعض المحتوى في تغريب الأسرة عن ثقافتها، وأن (٦٠%) منهم يرون أن أحياناً المحتوى يتوافق مع الثقافة والهوية الدينية والمجتمعية، ويرون أن أحياناً المحتوى مضامين تتماشى يقدم مع العادات والتقاليد الأسرية، وأن (٦٠%) منهم يرون أن يحتوي بعض المحتوى على أفكار تتعارض مع الدين الإسلامي.</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البعد التفاعلي والاتصالي</w:t>
      </w:r>
    </w:p>
    <w:p>
      <w:pPr>
        <w:spacing w:before="60" w:after="60"/>
        <w:jc w:val="center"/>
      </w:pPr>
      <w:r>
        <w:rPr>
          <w:rFonts w:ascii="Simplified Arabic" w:hAnsi="Simplified Arabic" w:cs="Simplified Arabic"/>
          <w:b/>
          <w:bCs/>
          <w:sz w:val="30"/>
          <w:szCs w:val="30"/>
          <w:rtl/>
        </w:rPr>
        <w:t>جدول (١٥)</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500"/>
        <w:gridCol w:w="2500"/>
        <w:gridCol w:w="884"/>
        <w:gridCol w:w="884"/>
        <w:gridCol w:w="884"/>
        <w:gridCol w:w="884"/>
        <w:gridCol w:w="884"/>
        <w:gridCol w:w="884"/>
      </w:tblGrid>
      <w:tr>
        <w:trPr>
          <w:trHeight w:val="420"/>
          <w:tblHeader/>
        </w:trPr>
        <w:tc>
          <w:tcPr>
            <w:tcW w:w="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م</w:t>
            </w:r>
          </w:p>
        </w:tc>
        <w:tc>
          <w:tcPr>
            <w:tcW w:w="2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العبارة</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نعم</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أحيانا</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لا</w:t>
            </w:r>
          </w:p>
        </w:tc>
      </w:tr>
      <w:tr>
        <w:trPr>
          <w:trHeight w:val="420"/>
          <w:tblHeader/>
        </w:trPr>
        <w:tc>
          <w:tcPr>
            <w:tcW w:w="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2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يتفاعل صانع المحتوى مع تعليقات المتابعين باحترام</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يتجاهل بعض صناع المحتوى تعليقات الأسر المتابعة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التفاعل في بناء علاقة إيجابية بين صانع المحتوى والأسرة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يستخدم صانع المحتوى البث المباشر للتواصل مع الأسر</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يشجع صانع المحتوى أفراد الأسرة على المشاركة والتعليق</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يرد صانع المحتوى على استفسارات الأسر بسرعة ووضوح</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يستخدم بعض صناع المحتوى أسلوبًا هجوميًا في التفاعل</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التفاعل في نشر الأفكار الإيجابية داخل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يؤدي التفاعل أحيانًا إلى نقاشات سلبية تؤثر على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يستخدم صانع المحتوى استطلاعات الرأي لمعرفة احتياجات الأسر</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يؤثر التفاعل في زيادة ثقة الأسرة بصانع المحتوى</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يتفاعل صانع المحتوى مع قضايا الأسرة الواقعية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يحترم صانع المحتوى خصوصية المتابعين من الأسر</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يساعد التفاعل في بناء مجتمع أسري افتراضي إيجابي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bl>
    <w:p>
      <w:pPr>
        <w:spacing w:before="60" w:after="60"/>
        <w:jc w:val="both"/>
      </w:pPr>
      <w:r>
        <w:rPr>
          <w:rFonts w:ascii="Simplified Arabic" w:hAnsi="Simplified Arabic" w:cs="Simplified Arabic"/>
          <w:sz w:val="28"/>
          <w:szCs w:val="28"/>
          <w:rtl/>
        </w:rPr>
        <w:t>يتضح من الجدول (١٥): أن (٨٠%) من أفراد عينة البحث يرون أن صانع المحتوى يتفاعل مع تعليقات المتابعين باحترام، وأن (٧٠%) منهم يرون أن التفاعل يساهم في نشر الأفكار الإيجابية داخل الأسرة، ويرون أن يؤثر التفاعل في زيادة ثقة الأسرة بصانع المحتوى، وأن (٦٠%) منهم يرون أن يتجاهل بعض صناع المحتوى تعليقات الأسر المتابعة، ويرون أن يشجع صانع المحتوى أفراد الأسرة على المشاركة والتعليق.</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بعد الأمن الاقتصادي</w:t>
      </w:r>
    </w:p>
    <w:p>
      <w:pPr>
        <w:spacing w:before="60" w:after="60"/>
        <w:jc w:val="center"/>
      </w:pPr>
      <w:r>
        <w:rPr>
          <w:rFonts w:ascii="Simplified Arabic" w:hAnsi="Simplified Arabic" w:cs="Simplified Arabic"/>
          <w:b/>
          <w:bCs/>
          <w:sz w:val="30"/>
          <w:szCs w:val="30"/>
          <w:rtl/>
        </w:rPr>
        <w:t>جدول (١٦)</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500"/>
        <w:gridCol w:w="2500"/>
        <w:gridCol w:w="884"/>
        <w:gridCol w:w="884"/>
        <w:gridCol w:w="884"/>
        <w:gridCol w:w="884"/>
        <w:gridCol w:w="884"/>
        <w:gridCol w:w="884"/>
      </w:tblGrid>
      <w:tr>
        <w:trPr>
          <w:trHeight w:val="420"/>
          <w:tblHeader/>
        </w:trPr>
        <w:tc>
          <w:tcPr>
            <w:tcW w:w="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م</w:t>
            </w:r>
          </w:p>
        </w:tc>
        <w:tc>
          <w:tcPr>
            <w:tcW w:w="2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العبارة</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نعم</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أحيانا</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لا</w:t>
            </w:r>
          </w:p>
        </w:tc>
      </w:tr>
      <w:tr>
        <w:trPr>
          <w:trHeight w:val="420"/>
          <w:tblHeader/>
        </w:trPr>
        <w:tc>
          <w:tcPr>
            <w:tcW w:w="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2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يوفّر الأمن الاقتصادي دخلاً ثابتًا للفرد</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تؤثر البطالة سلبًا على الأمن الاقتصادي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يساعد الادخار المنتظم في تحقيق الأمن الاقتصادي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يهدد ارتفاع الأسعار الأمن الاقتصادي للأسر</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يزيد توفر فرص العمل من الأمن الاقتصادي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يؤثر التضخم على القدرة الشرائية للأسرة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يُعد التخطيط المالي مهمًا لتحقيق الأمن الاقتصادي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تضعف القروض غير المدروسة الأمن الاقتصادي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يعزز تنويع مصادر الدخل الأمن الاقتصادي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يُعد الفقر عائقًا أمام تحقيق الأمن الاقتصادي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يؤثر الاستقرار الاقتصادي للدولة على الأفراد</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يساهم التعليم الجيد في تحقيق الأمن الاقتصادي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تهدد الأزمات الاقتصادية الأمن الاقتصادي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يُعد التأمين "الصحي أو الاجتماعي" جزءًا من الأمن الاقتصادي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تساعد إدارة المصروفات في الحفاظ على الأمن الاقتصادي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bl>
    <w:p>
      <w:pPr>
        <w:spacing w:before="60" w:after="60"/>
        <w:jc w:val="both"/>
      </w:pPr>
      <w:r>
        <w:rPr>
          <w:rFonts w:ascii="Simplified Arabic" w:hAnsi="Simplified Arabic" w:cs="Simplified Arabic"/>
          <w:sz w:val="28"/>
          <w:szCs w:val="28"/>
          <w:rtl/>
        </w:rPr>
        <w:t>يتضح من الجدول (١٦): أن كافة أفراد عينة البحث يرون أن توفر فرص العمل يزيد من الأمن الاقتصادي، ويرون أن تضعف القروض غير المدروسة الأمن الاقتصادي، ويرون أن يُعد الفقر عائقًا أمام تحقيق الأمن الاقتصادي، ويرون أن يؤثر الاستقرار الاقتصادي للدولة على الأفراد، وأن (٩٠%) منهم يرون أن تؤثر البطالة سلبًا على الأمن الاقتصادي.</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بعد الأمن التربوي والاجتماعي</w:t>
      </w:r>
    </w:p>
    <w:p>
      <w:pPr>
        <w:spacing w:before="60" w:after="60"/>
        <w:jc w:val="center"/>
      </w:pPr>
      <w:r>
        <w:rPr>
          <w:rFonts w:ascii="Simplified Arabic" w:hAnsi="Simplified Arabic" w:cs="Simplified Arabic"/>
          <w:b/>
          <w:bCs/>
          <w:sz w:val="30"/>
          <w:szCs w:val="30"/>
          <w:rtl/>
        </w:rPr>
        <w:t>جدول (١٧)</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500"/>
        <w:gridCol w:w="2500"/>
        <w:gridCol w:w="884"/>
        <w:gridCol w:w="884"/>
        <w:gridCol w:w="884"/>
        <w:gridCol w:w="884"/>
        <w:gridCol w:w="884"/>
        <w:gridCol w:w="884"/>
      </w:tblGrid>
      <w:tr>
        <w:trPr>
          <w:trHeight w:val="420"/>
          <w:tblHeader/>
        </w:trPr>
        <w:tc>
          <w:tcPr>
            <w:tcW w:w="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م</w:t>
            </w:r>
          </w:p>
        </w:tc>
        <w:tc>
          <w:tcPr>
            <w:tcW w:w="2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العبارة</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نعم</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أحيانا</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لا</w:t>
            </w:r>
          </w:p>
        </w:tc>
      </w:tr>
      <w:tr>
        <w:trPr>
          <w:trHeight w:val="420"/>
          <w:tblHeader/>
        </w:trPr>
        <w:tc>
          <w:tcPr>
            <w:tcW w:w="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2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تشعرني أسرتي بالطمأنينة والاستقرار</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داخل أسرتي علاقات قائمة على الخوف والفزع</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الحوار داخل الأسرة يساعد في حل المشكلات</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تحرص أسرتي على غرس القيم الدينية والأخلاقية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الأسرة تساهم في حماية الأبناء من الانحراف</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يتعلم الأبناء داخل الأسرة احترام الأخرين والتعاون معهم</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الحوار الأسري يساعد على بناء شخصية الأبناء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تسود في أسرتي علاقات قائمة على الاحترام المتبادل</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الأسرة هي المصدر الأساسي لغرس القيم الأخلاقية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تتابع الأسرة سلوك الأبناء وتقومه عند الخطأ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القيم الأخلاقية تساعد في ضبط سلوك الفرد</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التربية السليمة داخل الأسرة تحقق الاستقرار للأفراد</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تساعدني أسرتي على حل مشكلاتي بطريقة صحيحة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الحياة الاجتماعية على السوشيال ميديا نموذج يسعي الشباب لتحقيقه</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إهمال الأم للحياة الاجتماعية في أسرتها يخرج أطفال ليس لديهم مبادئ وقيم أخلاقية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متابعة محتوي السوشيال ميديا المتعلقة بالمشكلات الأسرية يؤدي الي خلل في العلاقات الاجتماعية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كثرة الجرائم الاجتماعية في السوشيال ميديا أوجدت خوف ورهاب اجتماعي بين الأسر</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bl>
    <w:p>
      <w:pPr>
        <w:spacing w:before="60" w:after="60"/>
        <w:jc w:val="both"/>
      </w:pPr>
      <w:r>
        <w:rPr>
          <w:rFonts w:ascii="Simplified Arabic" w:hAnsi="Simplified Arabic" w:cs="Simplified Arabic"/>
          <w:sz w:val="28"/>
          <w:szCs w:val="28"/>
          <w:rtl/>
        </w:rPr>
        <w:t>يتضح من الجدول (١٧): أن كافة أفراد عينة البحث يرون أن تحرص أسرتي على غرس القيم الدينية والأخلاقية، ويرون أن الأسرة تساهم في حماية الأبناء من الانحراف، ويرون أن الحوار الأسري يساعد على بناء شخصية الأبناء، ويرون أن القيم الأخلاقية تساعد في ضبط سلوك الفرد، وأن (٩٠%) منهم يرون أن الأبناء داخل الأسرة احترام الأخرين والتعاون معهم يتعلم.</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بعد الأمن الصحي والجسدي</w:t>
      </w:r>
    </w:p>
    <w:p>
      <w:pPr>
        <w:spacing w:before="60" w:after="60"/>
        <w:jc w:val="center"/>
      </w:pPr>
      <w:r>
        <w:rPr>
          <w:rFonts w:ascii="Simplified Arabic" w:hAnsi="Simplified Arabic" w:cs="Simplified Arabic"/>
          <w:b/>
          <w:bCs/>
          <w:sz w:val="30"/>
          <w:szCs w:val="30"/>
          <w:rtl/>
        </w:rPr>
        <w:t>جدول (١٨)</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500"/>
        <w:gridCol w:w="2500"/>
        <w:gridCol w:w="884"/>
        <w:gridCol w:w="884"/>
        <w:gridCol w:w="884"/>
        <w:gridCol w:w="884"/>
        <w:gridCol w:w="884"/>
        <w:gridCol w:w="884"/>
      </w:tblGrid>
      <w:tr>
        <w:trPr>
          <w:trHeight w:val="420"/>
          <w:tblHeader/>
        </w:trPr>
        <w:tc>
          <w:tcPr>
            <w:tcW w:w="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م</w:t>
            </w:r>
          </w:p>
        </w:tc>
        <w:tc>
          <w:tcPr>
            <w:tcW w:w="2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العبارة</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نعم</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أحيانا</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لا</w:t>
            </w:r>
          </w:p>
        </w:tc>
      </w:tr>
      <w:tr>
        <w:trPr>
          <w:trHeight w:val="420"/>
          <w:tblHeader/>
        </w:trPr>
        <w:tc>
          <w:tcPr>
            <w:tcW w:w="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2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يشعرون بالصحة الجسدية الجيدة بشكل عام</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يمارسون النشاط البدني بانتظام</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يحصلون على قدر كافٍ من النوم</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الأسرة تهتم بتناول وجبات غذائية متوازنة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يتجنبون تناول الوجبات السريعة بشكل متكرر</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يشعرون بالتعب الجسدي بسبب استخدام الأجهزة الرقمية لفترات طويلة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يزورون الطبيب عند الشعور بأي أعراض مرضية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لا يهتمون بالنظافة الشخصية اليومية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يتبعون نمط حياة صحي متوازن</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يدخنون أو يتعاطون مواد مضرة بالصحة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يمارسون رياضة جماعية أو نشاط بدني معًا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يهملون وجباتهم أو يتخطونها دون سبب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يشعرون بآلام جسدية متكررة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يلتزمون بعادات نوم منتظمة يوميًا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يشجعون بعضهم البعض على الحفاظ على صحتهم الجسدية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يستخدمون الأجهزة الإلكترونية لفترات طويلة دون فواصل</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يحصلون على فحوصات طبية دورية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١٨</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يهملون تناول الخضروات والفواكه</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١٩</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يلتزمون بتعليمات السلامة الصحية داخل المنزل</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أفراد أسرتي يشعرون بأن نمط حياتهم يؤثر إيجابيًا على صحتهم الجسدية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bl>
    <w:p>
      <w:pPr>
        <w:spacing w:before="60" w:after="60"/>
        <w:jc w:val="both"/>
      </w:pPr>
      <w:r>
        <w:rPr>
          <w:rFonts w:ascii="Simplified Arabic" w:hAnsi="Simplified Arabic" w:cs="Simplified Arabic"/>
          <w:sz w:val="28"/>
          <w:szCs w:val="28"/>
          <w:rtl/>
        </w:rPr>
        <w:t>يتضح من الجدول (١٨): أن (٩٠%) من أفراد عينة البحث يرون أن أفراد أسرتي يشعرون بأن نمط حياتهم يؤثر إيجابيًا على صحتهم الجسدية، وأن (٨٠%) منهم يرون أن أفراد أسرتي يشعرون بالصحة الجسدية الجيدة بشكل عام، ويرون أن أفراد أسرتي يتجنبون تناول الوجبات السريعة بشكل متكرر، ويرون أن أفراد أسرتي يزورون الطبيب عند الشعور بأي أعراض مرضية، وأن (٨٠%) منهم يرون أن لا أفراد أسرتي يدخنون أو يتعاطون مواد مضرة بالصحة.</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بعد الأمن الأسري النفسي</w:t>
      </w:r>
    </w:p>
    <w:p>
      <w:pPr>
        <w:spacing w:before="60" w:after="60"/>
        <w:jc w:val="center"/>
      </w:pPr>
      <w:r>
        <w:rPr>
          <w:rFonts w:ascii="Simplified Arabic" w:hAnsi="Simplified Arabic" w:cs="Simplified Arabic"/>
          <w:b/>
          <w:bCs/>
          <w:sz w:val="30"/>
          <w:szCs w:val="30"/>
          <w:rtl/>
        </w:rPr>
        <w:t>جدول (١٩)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500"/>
        <w:gridCol w:w="2500"/>
        <w:gridCol w:w="884"/>
        <w:gridCol w:w="884"/>
        <w:gridCol w:w="884"/>
        <w:gridCol w:w="884"/>
        <w:gridCol w:w="884"/>
        <w:gridCol w:w="884"/>
      </w:tblGrid>
      <w:tr>
        <w:trPr>
          <w:trHeight w:val="420"/>
          <w:tblHeader/>
        </w:trPr>
        <w:tc>
          <w:tcPr>
            <w:tcW w:w="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م</w:t>
            </w:r>
          </w:p>
        </w:tc>
        <w:tc>
          <w:tcPr>
            <w:tcW w:w="2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العبارة</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نعم</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أحيانا</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لا</w:t>
            </w:r>
          </w:p>
        </w:tc>
      </w:tr>
      <w:tr>
        <w:trPr>
          <w:trHeight w:val="420"/>
          <w:tblHeader/>
        </w:trPr>
        <w:tc>
          <w:tcPr>
            <w:tcW w:w="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2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أجد دعما نفسيا من أسرتي عند مواجهه مشكلة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أستطيع مناقشه المشكلة مع والدي أو أحد أفراد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الأسرة تتعامل مع المشكلات بطريقه هادئة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العنف النفسي والجسدي داخل الأسرة يهدد الاستقرار</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التنمر الأسري اللفظي يقلل من مهاراتي ويحبطني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السوشيال ميديا تسبب لي ضغطا نفسيا لمحاوله الظهور بصوره مثالية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الخلافات الأسرية تؤثر على حالتي النفسية بشكل ملحوظ</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اشعر بالوحدة رغم وجود التواصل الاجتماعي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اشعر بالإحباط بعد التصفح على مواقع التواصل الاجتماعي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متابعه محتوى السوشيال ميديا المتعلق يشعرني بالخوف وعدم الاحتواء بين أسرتي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السوشيال ميديا تدفع الشباب إلى السعي للرفاهية بغض النظر عن تحقيق هذه الرفاهية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ما يراه الأبناء على السوشيال ميديا يؤدي لرفضهم لسلوك الوالدين</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يؤثر التعرض المستمر للسوشيال ميديا على حالتي المزاجية داخل الأسرة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ألاحظ زيادة العصبية أو التوتر في الأسرة بسبب الاستخدام المفرط للسوشيال ميديا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أعتقد أن تنظيم استخدام السوشيال ميديا داخل الأسرة يعزز الأمن النفسي الأسري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أشعر أن غياب التواصل الأسري هو السبب الرئيسي لتأثير السوشيال ميديا نفسيًا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يمكن للسوشيال ميديا أن تكون وسيلة إيجابية إذا لم تؤثر على العلاقات الأسرية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bl>
    <w:p>
      <w:pPr>
        <w:spacing w:before="60" w:after="60"/>
        <w:jc w:val="both"/>
      </w:pPr>
      <w:r>
        <w:rPr>
          <w:rFonts w:ascii="Simplified Arabic" w:hAnsi="Simplified Arabic" w:cs="Simplified Arabic"/>
          <w:sz w:val="28"/>
          <w:szCs w:val="28"/>
          <w:rtl/>
        </w:rPr>
        <w:t>يتضح من الجدول (١٩): أن (٩٠%) من أفراد عينة البحث يرون أن أجد دعما نفسيا من أسرتي عند مواجهه مشكلة، وأن (٨٠%) منهم يرون أن أستطيع مناقشه المشكلة مع والدي أو أحد أفراد الأسرة، ويرون أن السوشيال ميديا تدفع الشباب إلى السعي للرفاهية بغض النظر عن تحقيق هذه الرفاهية، ويرون أن للسوشيال ميديا أن تكون وسيلة إيجابية إذا لم تؤثر يمكن على العلاقات الأسرية، وأن (٧٠%) منهم يرون أن العنف النفسي والجسدي داخل الأسرة يهدد الاستقرار.</w:t>
      </w:r>
    </w:p>
    <w:p>
      <w:r>
        <w:br w:type="page"/>
      </w:r>
    </w:p>
    <w:p>
      <w:pPr>
        <w:pStyle w:val="a4"/>
        <w:numPr>
          <w:ilvl w:val="0"/>
          <w:numId w:val="2"/>
        </w:numPr>
        <w:bidi/>
        <w:spacing w:before="60" w:after="60"/>
        <w:ind w:left="567" w:hanging="567"/>
        <w:jc w:val="both"/>
      </w:pPr>
      <w:r>
        <w:rPr>
          <w:rFonts w:ascii="Simplified Arabic" w:hAnsi="Simplified Arabic" w:cs="Simplified Arabic"/>
          <w:b/>
          <w:bCs/>
          <w:color w:val="1F3864"/>
          <w:sz w:val="32"/>
          <w:szCs w:val="32"/>
          <w:rtl/>
        </w:rPr>
        <w:t>بعد الأمن الأسري الرقمي</w:t>
      </w:r>
    </w:p>
    <w:p>
      <w:pPr>
        <w:spacing w:before="60" w:after="60"/>
        <w:jc w:val="center"/>
      </w:pPr>
      <w:r>
        <w:rPr>
          <w:rFonts w:ascii="Simplified Arabic" w:hAnsi="Simplified Arabic" w:cs="Simplified Arabic"/>
          <w:b/>
          <w:bCs/>
          <w:sz w:val="30"/>
          <w:szCs w:val="30"/>
          <w:rtl/>
        </w:rPr>
        <w:t>جدول (٢٠)</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Pr>
      <w:tblGrid>
        <w:gridCol w:w="500"/>
        <w:gridCol w:w="2500"/>
        <w:gridCol w:w="884"/>
        <w:gridCol w:w="884"/>
        <w:gridCol w:w="884"/>
        <w:gridCol w:w="884"/>
        <w:gridCol w:w="884"/>
        <w:gridCol w:w="884"/>
      </w:tblGrid>
      <w:tr>
        <w:trPr>
          <w:trHeight w:val="420"/>
          <w:tblHeader/>
        </w:trPr>
        <w:tc>
          <w:tcPr>
            <w:tcW w:w="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م</w:t>
            </w:r>
          </w:p>
        </w:tc>
        <w:tc>
          <w:tcPr>
            <w:tcW w:w="2500" w:type="dxa"/>
            <w:vMerge w:val="restart"/>
            <w:tcBorders>
              <w:top w:val="single" w:sz="4" w:space="0" w:color="999999"/>
              <w:left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العبارة</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نعم</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أحيانا</w:t>
            </w:r>
          </w:p>
        </w:tc>
        <w:tc>
          <w:tcPr>
            <w:tcW w:w="1768" w:type="dxa"/>
            <w:gridSpan w:val="2"/>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لا</w:t>
            </w:r>
          </w:p>
        </w:tc>
      </w:tr>
      <w:tr>
        <w:trPr>
          <w:trHeight w:val="420"/>
          <w:tblHeader/>
        </w:trPr>
        <w:tc>
          <w:tcPr>
            <w:tcW w:w="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2500" w:type="dxa"/>
            <w:vMerge/>
            <w:tcBorders>
              <w:left w:val="single" w:sz="4" w:space="0" w:color="999999"/>
              <w:bottom w:val="single" w:sz="4" w:space="0" w:color="999999"/>
              <w:right w:val="single" w:sz="4" w:space="0" w:color="999999"/>
            </w:tcBorders>
            <w:shd w:val="solid" w:color="1F3864" w:fill="1F3864"/>
            <w:vAlign w:val="center"/>
          </w:tcPr>
          <w:p>
            <w:pPr>
              <w:spacing w:before="60" w:after="60"/>
              <w:jc w:val="center"/>
            </w:pP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ت</w:t>
            </w:r>
          </w:p>
        </w:tc>
        <w:tc>
          <w:tcPr>
            <w:tcW w:w="884" w:type="dxa"/>
            <w:tcBorders>
              <w:top w:val="single" w:sz="4" w:space="0" w:color="999999"/>
              <w:left w:val="single" w:sz="4" w:space="0" w:color="999999"/>
              <w:bottom w:val="single" w:sz="4" w:space="0" w:color="999999"/>
              <w:right w:val="single" w:sz="4" w:space="0" w:color="999999"/>
            </w:tcBorders>
            <w:shd w:val="solid" w:color="1F3864" w:fill="1F3864"/>
            <w:vAlign w:val="center"/>
          </w:tcPr>
          <w:p>
            <w:pPr>
              <w:spacing w:before="60" w:after="60"/>
              <w:jc w:val="center"/>
            </w:pPr>
            <w:r>
              <w:rPr>
                <w:b/>
                <w:bCs/>
                <w:color w:val="FFFFFF"/>
                <w:sz w:val="22"/>
                <w:szCs w:val="22"/>
                <w:rtl/>
              </w:rPr>
              <w:t>%</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حماية الأجهزة والشبكة المنزلية يحقق الأمن الأسري الرقمي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تفعيل أدوات الرقابة الأبوية لتصفية المحتوى ومراقبة الأنشطة للأمن الأسري الرقمي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٣</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تنبيه أفراد الأسرة بعدم النقر على روابط مجهولة المصدر لتجنب هجمات التصيد والأمن الرقمي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٢٠%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٤</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تفعيل دور التوعية التكنولوجيا والأنشطة التعليمية لضمان الأمن الرقمي للأسرة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٥</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تفعيل برنامج الحماية ومكافحه الفيروسات على جميع أجهزة أفراد الأسرة لحماية الأمن الرقمي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٦</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تفعيل ميزات الحماية من السرقات وتأخير الإجراءات من أهمية الأمن الرقمي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٧</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تفعيل تنظيم أوقات الجلوس أمام الشاشات للوقاية للأمن الأسري الرقمي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٨</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يجب تثقيف الأبناء حول أنواع الجرائم الإلكترونية والابتزاز وكيفية التعامل مع الغرباء للحماية للأمن الرقمي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٩</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تدريب الأبناء على استخدام أسلوب التفكير العلمي في البحث عن المعلومات من اهم الإجراءات للحماية من الأمن الرقمي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خلق التواصل المستمر بين أفراد الأسرة من اهم الإجراءات اللازمة للأمن الرقمي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r>
        <w:tblPrEx>
          <w:tblCellMar>
            <w:top w:w="0" w:type="dxa"/>
            <w:bottom w:w="0" w:type="dxa"/>
          </w:tblCellMar>
        </w:tblPrEx>
        <w:trPr>
          <w:trHeight w:val="500"/>
        </w:trPr>
        <w:tc>
          <w:tcPr>
            <w:tcW w:w="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١١</w:t>
            </w:r>
          </w:p>
        </w:tc>
        <w:tc>
          <w:tcPr>
            <w:tcW w:w="2500"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تعزيز دور الأسرة للتعاون مع المؤسسات التعليمية في نشر الوعي بمخاطر الأمن الرقمي</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١٠٠%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c>
          <w:tcPr>
            <w:tcW w:w="884" w:type="dxa"/>
            <w:tcBorders>
              <w:top w:val="single" w:sz="4" w:space="0" w:color="999999"/>
              <w:left w:val="single" w:sz="4" w:space="0" w:color="999999"/>
              <w:bottom w:val="single" w:sz="4" w:space="0" w:color="999999"/>
              <w:right w:val="single" w:sz="4" w:space="0" w:color="999999"/>
            </w:tcBorders>
            <w:vAlign w:val="center"/>
          </w:tcPr>
          <w:p>
            <w:pPr>
              <w:spacing w:before="60" w:after="60"/>
              <w:jc w:val="center"/>
            </w:pPr>
            <w:r>
              <w:rPr>
                <w:rFonts w:ascii="Simplified Arabic" w:hAnsi="Simplified Arabic" w:cs="Simplified Arabic"/>
                <w:sz w:val="22"/>
                <w:szCs w:val="22"/>
                <w:rtl/>
              </w:rPr>
              <w:t>٠%</w:t>
            </w:r>
          </w:p>
        </w:tc>
      </w:tr>
    </w:tbl>
    <w:p>
      <w:pPr>
        <w:spacing w:before="60" w:after="60"/>
        <w:jc w:val="both"/>
      </w:pPr>
      <w:r>
        <w:rPr>
          <w:rFonts w:ascii="Simplified Arabic" w:hAnsi="Simplified Arabic" w:cs="Simplified Arabic"/>
          <w:sz w:val="28"/>
          <w:szCs w:val="28"/>
          <w:rtl/>
        </w:rPr>
        <w:t>يتضح من الجدول (٢٠): أن كافة أفراد عينة البحث يرون أن تفعيل أدوات الرقابة الأبوية لتصفية المحتوى ومراقبة الأنشطة للأمن الأسري الرقمي، ويرون أن يجب تثقيف الأبناء حول أنواع الجرائم الإلكترونية والابتزاز وكيفية التعامل مع الغرباء للحماية للأمن الرقمي، ويرون أن تدريب الأبناء على استخدام أسلوب التفكير العلمي في البحث عن المعلومات من اهم الإجراءات للحماية من الأمن الرقمي، ويرون أن خلق التواصل المستمر بين أفراد الأسرة من اهم الإجراءات اللازمة للأمن الرقمي، ويرون أن تعزيز دور الأسرة للتعاون مع المؤسسات التعليمية في نشر الوعي بمخاطر الأمن الرقمي.</w:t>
      </w:r>
    </w:p>
    <w:sectPr>
      <w:footerReference w:type="default" r:id="rId8"/>
      <w:pgSz w:w="11906" w:h="16838" w:code="9"/>
      <w:pgMar w:top="1440" w:right="1797" w:bottom="1440" w:left="1797" w:header="709" w:footer="709" w:gutter="0"/>
      <w:pgNumType w:start="1"/>
      <w:cols w:space="720"/>
      <w:bidi/>
      <w:docGrid w:linePitch="360"/>
    </w:sectPr>
  </w:body>
</w:document>
</file>

<file path=word/endnotes.xml><?xml version="1.0" encoding="utf-8"?>
<w:endnotes xmlns:w="http://schemas.openxmlformats.org/wordprocessingml/2006/main">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w:font w:name="Simplified Arabic">
    <w:charset w:val="B2"/>
    <w:family w:val="roman"/>
    <w:pitch w:val="variable"/>
  </w:font>
</w:fonts>
</file>

<file path=word/footer1.xml><?xml version="1.0" encoding="utf-8"?>
<w:ftr xmlns:w="http://schemas.openxmlformats.org/wordprocessingml/2006/main">
  <w:sdt>
    <w:sdtPr>
      <w:rPr>
        <w:rtl/>
      </w:rPr>
      <w:docPartObj>
        <w:docPartGallery w:val="Page Numbers (Bottom of Page)"/>
        <w:docPartUnique/>
      </w:docPartObj>
    </w:sdtPr>
    <w:sdtContent>
      <w:p>
        <w:pPr>
          <w:pStyle w:val="aa"/>
          <w:jc w:val="center"/>
        </w:pPr>
        <w:r>
          <w:fldChar w:fldCharType="begin"/>
        </w:r>
        <w:r>
          <w:instrText>PAGE   * MERGEFORMAT</w:instrText>
        </w:r>
        <w:r>
          <w:fldChar w:fldCharType="separate"/>
        </w:r>
        <w:r>
          <w:rPr>
            <w:rtl/>
            <w:lang w:val="ar-SA"/>
          </w:rPr>
          <w:t>1</w:t>
        </w:r>
        <w:r>
          <w:fldChar w:fldCharType="end"/>
        </w:r>
      </w:p>
    </w:sdtContent>
  </w:sdt>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0">
    <w:nsid w:val="23C856CB"/>
    <w:multiLevelType w:val="hybridMultilevel"/>
    <w:tmpl w:val="0A0CD48C"/>
    <w:lvl w:ilvl="0">
      <w:start w:val="1"/>
      <w:numFmt w:val="decimal"/>
      <w:lvlText w:val="%1."/>
      <w:lvlJc w:val="left"/>
      <w:pPr>
        <w:ind w:left="567" w:hanging="567"/>
      </w:pPr>
      <w:rPr>
        <w:rFonts w:ascii="Simplified Arabic" w:hAnsi="Simplified Arabic" w:cs="Simplified Arabic"/>
        <w:b/>
        <w:bCs/>
        <w:color w:val="1F3864"/>
        <w:sz w:val="32"/>
        <w:szCs w:val="32"/>
      </w:rPr>
    </w:lvl>
  </w:abstractNum>
  <w:num w:numId="2">
    <w:abstractNumId w:val="0"/>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themeFontLang w:val="en-US" w:bidi="ar-SA"/>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implified Arabic" w:eastAsia="Simplified Arabic" w:hAnsi="Simplified Arabic" w:cs="Simplified Arabic"/>
        <w:sz w:val="28"/>
        <w:szCs w:val="28"/>
        <w:lang w:val="en-US" w:eastAsia="en-US" w:bidi="ar-SA"/>
      </w:rPr>
    </w:rPrDefault>
    <w:pPrDefault>
      <w:pPr>
        <w:jc w:val="right"/>
      </w:pPr>
    </w:pPrDefault>
  </w:docDefaults>
  <!-- Normal style -->
  <w:style w:type="paragraph" w:default="1" w:styleId="a">
    <w:name w:val="Normal"/>
    <w:qFormat/>
    <w:pPr>
      <w:bidi/>
    </w:pPr>
  </w:style>
  <!-- Heading style a4 — مستخدم لعناوين الأسئلة -->
  <w:style w:type="paragraph" w:styleId="a4">
    <w:name w:val="heading 4"/>
    <w:basedOn w:val="a"/>
    <w:pPr>
      <w:bidi/>
      <w:spacing w:before="60" w:after="60"/>
      <w:jc w:val="both"/>
    </w:pPr>
    <w:rPr>
      <w:rFonts w:ascii="Simplified Arabic" w:hAnsi="Simplified Arabic" w:cs="Simplified Arabic"/>
      <w:b/>
      <w:bCs/>
      <w:color w:val="1F3864"/>
      <w:sz w:val="32"/>
      <w:szCs w:val="32"/>
    </w:rPr>
  </w:style>
  <!-- Footer style aa -->
  <w:style w:type="paragraph" w:styleId="aa">
    <w:name w:val="footer"/>
    <w:basedOn w:val="a"/>
    <w:pPr>
      <w:bidi/>
      <w:jc w:val="center"/>
    </w:pPr>
    <w:rPr>
      <w:rFonts w:ascii="Simplified Arabic" w:hAnsi="Simplified Arabic" w:cs="Simplified Arabic"/>
      <w:sz w:val="22"/>
      <w:szCs w:val="22"/>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8" Type="http://schemas.openxmlformats.org/officeDocument/2006/relationships/footer" Target="footer1.xml"/>
  <Relationship Id="rId9" Type="http://schemas.openxmlformats.org/officeDocument/2006/relationships/fontTable" Target="fontTable.xml"/>
  <Relationship Id="rId11" Type="http://schemas.openxmlformats.org/officeDocument/2006/relationships/chart" Target="charts/chart1.xml"/>
<Relationship Id="rId12" Type="http://schemas.openxmlformats.org/officeDocument/2006/relationships/chart" Target="charts/chart2.xml"/>
<Relationship Id="rId13" Type="http://schemas.openxmlformats.org/officeDocument/2006/relationships/chart" Target="charts/chart3.xml"/>
<Relationship Id="rId14" Type="http://schemas.openxmlformats.org/officeDocument/2006/relationships/chart" Target="charts/chart4.xml"/>
<Relationship Id="rId15" Type="http://schemas.openxmlformats.org/officeDocument/2006/relationships/chart" Target="charts/chart5.xml"/>
<Relationship Id="rId16" Type="http://schemas.openxmlformats.org/officeDocument/2006/relationships/chart" Target="charts/chart6.xml"/>
<Relationship Id="rId17" Type="http://schemas.openxmlformats.org/officeDocument/2006/relationships/chart" Target="charts/chart7.xml"/>
<Relationship Id="rId18" Type="http://schemas.openxmlformats.org/officeDocument/2006/relationships/chart" Target="charts/chart8.xml"/>
<Relationship Id="rId19" Type="http://schemas.openxmlformats.org/officeDocument/2006/relationships/chart" Target="charts/chart9.xml"/>
<Relationship Id="rId20" Type="http://schemas.openxmlformats.org/officeDocument/2006/relationships/chart" Target="charts/chart10.xml"/>
</Relationships>
</file>

<file path=word/charts/_rels/chart1.xml.rels><?xml version="1.0" encoding="UTF-8" standalone="yes"?>
<Relationships xmlns="http://schemas.openxmlformats.org/package/2006/relationships">
  <Relationship Id="rId3" Type="http://schemas.openxmlformats.org/officeDocument/2006/relationships/package" Target="../embeddings/Microsoft_Excel_Worksheet1.xlsx"/>
</Relationships>
</file>

<file path=word/charts/_rels/chart2.xml.rels><?xml version="1.0" encoding="UTF-8" standalone="yes"?>
<Relationships xmlns="http://schemas.openxmlformats.org/package/2006/relationships">
  <Relationship Id="rId3" Type="http://schemas.openxmlformats.org/officeDocument/2006/relationships/package" Target="../embeddings/Microsoft_Excel_Worksheet2.xlsx"/>
</Relationships>
</file>

<file path=word/charts/_rels/chart3.xml.rels><?xml version="1.0" encoding="UTF-8" standalone="yes"?>
<Relationships xmlns="http://schemas.openxmlformats.org/package/2006/relationships">
  <Relationship Id="rId3" Type="http://schemas.openxmlformats.org/officeDocument/2006/relationships/package" Target="../embeddings/Microsoft_Excel_Worksheet3.xlsx"/>
</Relationships>
</file>

<file path=word/charts/_rels/chart4.xml.rels><?xml version="1.0" encoding="UTF-8" standalone="yes"?>
<Relationships xmlns="http://schemas.openxmlformats.org/package/2006/relationships">
  <Relationship Id="rId3" Type="http://schemas.openxmlformats.org/officeDocument/2006/relationships/package" Target="../embeddings/Microsoft_Excel_Worksheet4.xlsx"/>
</Relationships>
</file>

<file path=word/charts/_rels/chart5.xml.rels><?xml version="1.0" encoding="UTF-8" standalone="yes"?>
<Relationships xmlns="http://schemas.openxmlformats.org/package/2006/relationships">
  <Relationship Id="rId3" Type="http://schemas.openxmlformats.org/officeDocument/2006/relationships/package" Target="../embeddings/Microsoft_Excel_Worksheet5.xlsx"/>
</Relationships>
</file>

<file path=word/charts/_rels/chart6.xml.rels><?xml version="1.0" encoding="UTF-8" standalone="yes"?>
<Relationships xmlns="http://schemas.openxmlformats.org/package/2006/relationships">
  <Relationship Id="rId3" Type="http://schemas.openxmlformats.org/officeDocument/2006/relationships/package" Target="../embeddings/Microsoft_Excel_Worksheet6.xlsx"/>
</Relationships>
</file>

<file path=word/charts/_rels/chart7.xml.rels><?xml version="1.0" encoding="UTF-8" standalone="yes"?>
<Relationships xmlns="http://schemas.openxmlformats.org/package/2006/relationships">
  <Relationship Id="rId3" Type="http://schemas.openxmlformats.org/officeDocument/2006/relationships/package" Target="../embeddings/Microsoft_Excel_Worksheet7.xlsx"/>
</Relationships>
</file>

<file path=word/charts/_rels/chart8.xml.rels><?xml version="1.0" encoding="UTF-8" standalone="yes"?>
<Relationships xmlns="http://schemas.openxmlformats.org/package/2006/relationships">
  <Relationship Id="rId3" Type="http://schemas.openxmlformats.org/officeDocument/2006/relationships/package" Target="../embeddings/Microsoft_Excel_Worksheet8.xlsx"/>
</Relationships>
</file>

<file path=word/charts/_rels/chart9.xml.rels><?xml version="1.0" encoding="UTF-8" standalone="yes"?>
<Relationships xmlns="http://schemas.openxmlformats.org/package/2006/relationships">
  <Relationship Id="rId3" Type="http://schemas.openxmlformats.org/officeDocument/2006/relationships/package" Target="../embeddings/Microsoft_Excel_Worksheet9.xlsx"/>
</Relationships>
</file>

<file path=word/charts/_rels/chart10.xml.rels><?xml version="1.0" encoding="UTF-8" standalone="yes"?>
<Relationships xmlns="http://schemas.openxmlformats.org/package/2006/relationships">
  <Relationship Id="rId3" Type="http://schemas.openxmlformats.org/officeDocument/2006/relationships/package" Target="../embeddings/Microsoft_Excel_Worksheet10.xlsx"/>
</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c:date1904 val="0"/>
  <c:lang val="ar-SA"/>
  <c:roundedCorners val="0"/>
  <c:chart>
    <c:autoTitleDeleted val="0"/>
    <c:plotArea>
      <c:layout/>
      <c:pieChart>
        <c:varyColors val="1"/>
        <c:ser>
          <c:idx val="0"/>
          <c:order val="0"/>
          <c:tx>
            <c:strRef>
              <c:f>ورقة1!$B$1</c:f>
              <c:strCache>
                <c:ptCount val="1"/>
                <c:pt idx="0">
                  <c:v>النوع</c:v>
                </c:pt>
              </c:strCache>
            </c:strRef>
          </c:tx>
          <c:dPt>
            <c:idx val="0"/>
            <c:bubble3D val="0"/>
            <c:spPr>
              <a:solidFill>
                <a:schemeClr val="accent1"/>
              </a:solidFill>
              <a:ln w="19050">
                <a:solidFill>
                  <a:schemeClr val="lt1"/>
                </a:solidFill>
              </a:ln>
            </c:spPr>
          </c:dPt>
          <c:dPt>
            <c:idx val="1"/>
            <c:bubble3D val="0"/>
            <c:spPr>
              <a:solidFill>
                <a:schemeClr val="accent2"/>
              </a:solidFill>
              <a:ln w="19050">
                <a:solidFill>
                  <a:schemeClr val="lt1"/>
                </a:solidFill>
              </a:ln>
            </c:spPr>
          </c:dPt>
          <c:dLbls>
            <c:dLblPos val="inEnd"/>
            <c:showLegendKey val="0"/>
            <c:showVal val="1"/>
            <c:showCatName val="0"/>
            <c:showSerName val="0"/>
            <c:showPercent val="0"/>
            <c:showBubbleSize val="0"/>
            <c:showLeaderLines val="1"/>
          </c:dLbls>
          <c:cat>
            <c:strRef>
              <c:f>ورقة1!$A$2:$A$3</c:f>
              <c:strCache>
                <c:ptCount val="2"/>
                <c:pt idx="0">
                  <c:v>أنثى</c:v>
                </c:pt>
                <c:pt idx="1">
                  <c:v>ذكر</c:v>
                </c:pt>
              </c:strCache>
            </c:strRef>
          </c:cat>
          <c:val>
            <c:numRef>
              <c:f>ورقة1!$B$2:$B$3</c:f>
              <c:numCache>
                <c:formatCode>0.00%</c:formatCode>
                <c:ptCount val="2"/>
                <c:pt idx="0">
                  <c:v>1</c:v>
                </c:pt>
                <c:pt idx="1">
                  <c:v>0</c:v>
                </c:pt>
              </c:numCache>
            </c:numRef>
          </c:val>
        </c:ser>
        <c:firstSliceAng val="0"/>
      </c:pieChart>
    </c:plotArea>
    <c:legend>
      <c:legendPos val="r"/>
      <c:overlay val="0"/>
    </c:legend>
    <c:plotVisOnly val="1"/>
    <c:dispBlanksAs val="gap"/>
  </c:chart>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mc="http://schemas.openxmlformats.org/markup-compatibility/2006">
  <c:date1904 val="0"/>
  <c:lang val="ar-SA"/>
  <c:roundedCorners val="0"/>
  <c:chart>
    <c:autoTitleDeleted val="0"/>
    <c:plotArea>
      <c:layout/>
      <c:pieChart>
        <c:varyColors val="1"/>
        <c:ser>
          <c:idx val="0"/>
          <c:order val="0"/>
          <c:tx>
            <c:strRef>
              <c:f>ورقة1!$B$1</c:f>
              <c:strCache>
                <c:ptCount val="1"/>
                <c:pt idx="0">
                  <c:v>الكلية</c:v>
                </c:pt>
              </c:strCache>
            </c:strRef>
          </c:tx>
          <c:dPt>
            <c:idx val="0"/>
            <c:bubble3D val="0"/>
            <c:spPr>
              <a:solidFill>
                <a:schemeClr val="accent1"/>
              </a:solidFill>
              <a:ln w="19050">
                <a:solidFill>
                  <a:schemeClr val="lt1"/>
                </a:solidFill>
              </a:ln>
            </c:spPr>
          </c:dPt>
          <c:dPt>
            <c:idx val="1"/>
            <c:bubble3D val="0"/>
            <c:spPr>
              <a:solidFill>
                <a:schemeClr val="accent2"/>
              </a:solidFill>
              <a:ln w="19050">
                <a:solidFill>
                  <a:schemeClr val="lt1"/>
                </a:solidFill>
              </a:ln>
            </c:spPr>
          </c:dPt>
          <c:dLbls>
            <c:dLblPos val="inEnd"/>
            <c:showLegendKey val="0"/>
            <c:showVal val="1"/>
            <c:showCatName val="0"/>
            <c:showSerName val="0"/>
            <c:showPercent val="0"/>
            <c:showBubbleSize val="0"/>
            <c:showLeaderLines val="1"/>
          </c:dLbls>
          <c:cat>
            <c:strRef>
              <c:f>ورقة1!$A$2:$A$3</c:f>
              <c:strCache>
                <c:ptCount val="2"/>
                <c:pt idx="0">
                  <c:v>عملية</c:v>
                </c:pt>
                <c:pt idx="1">
                  <c:v>نظرية</c:v>
                </c:pt>
              </c:strCache>
            </c:strRef>
          </c:cat>
          <c:val>
            <c:numRef>
              <c:f>ورقة1!$B$2:$B$3</c:f>
              <c:numCache>
                <c:formatCode>0.00%</c:formatCode>
                <c:ptCount val="2"/>
                <c:pt idx="0">
                  <c:v>0.8</c:v>
                </c:pt>
                <c:pt idx="1">
                  <c:v>0.2</c:v>
                </c:pt>
              </c:numCache>
            </c:numRef>
          </c:val>
        </c:ser>
        <c:firstSliceAng val="0"/>
      </c:pieChart>
    </c:plotArea>
    <c:legend>
      <c:legendPos val="r"/>
      <c:overlay val="0"/>
    </c:legend>
    <c:plotVisOnly val="1"/>
    <c:dispBlanksAs val="gap"/>
  </c:chart>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mc="http://schemas.openxmlformats.org/markup-compatibility/2006">
  <c:date1904 val="0"/>
  <c:lang val="ar-SA"/>
  <c:roundedCorners val="0"/>
  <c:chart>
    <c:autoTitleDeleted val="0"/>
    <c:plotArea>
      <c:layout/>
      <c:pieChart>
        <c:varyColors val="1"/>
        <c:ser>
          <c:idx val="0"/>
          <c:order val="0"/>
          <c:tx>
            <c:strRef>
              <c:f>ورقة1!$B$1</c:f>
              <c:strCache>
                <c:ptCount val="1"/>
                <c:pt idx="0">
                  <c:v>الحالة الاجتماعية</c:v>
                </c:pt>
              </c:strCache>
            </c:strRef>
          </c:tx>
          <c:dPt>
            <c:idx val="0"/>
            <c:bubble3D val="0"/>
            <c:spPr>
              <a:solidFill>
                <a:schemeClr val="accent1"/>
              </a:solidFill>
              <a:ln w="19050">
                <a:solidFill>
                  <a:schemeClr val="lt1"/>
                </a:solidFill>
              </a:ln>
            </c:spPr>
          </c:dPt>
          <c:dPt>
            <c:idx val="1"/>
            <c:bubble3D val="0"/>
            <c:spPr>
              <a:solidFill>
                <a:schemeClr val="accent2"/>
              </a:solidFill>
              <a:ln w="19050">
                <a:solidFill>
                  <a:schemeClr val="lt1"/>
                </a:solidFill>
              </a:ln>
            </c:spPr>
          </c:dPt>
          <c:dPt>
            <c:idx val="2"/>
            <c:bubble3D val="0"/>
            <c:spPr>
              <a:solidFill>
                <a:schemeClr val="accent3"/>
              </a:solidFill>
              <a:ln w="19050">
                <a:solidFill>
                  <a:schemeClr val="lt1"/>
                </a:solidFill>
              </a:ln>
            </c:spPr>
          </c:dPt>
          <c:dLbls>
            <c:dLblPos val="inEnd"/>
            <c:showLegendKey val="0"/>
            <c:showVal val="1"/>
            <c:showCatName val="0"/>
            <c:showSerName val="0"/>
            <c:showPercent val="0"/>
            <c:showBubbleSize val="0"/>
            <c:showLeaderLines val="1"/>
          </c:dLbls>
          <c:cat>
            <c:strRef>
              <c:f>ورقة1!$A$2:$A$4</c:f>
              <c:strCache>
                <c:ptCount val="3"/>
                <c:pt idx="0">
                  <c:v>أعزب</c:v>
                </c:pt>
                <c:pt idx="1">
                  <c:v>مخطوب</c:v>
                </c:pt>
                <c:pt idx="2">
                  <c:v>متزوج</c:v>
                </c:pt>
              </c:strCache>
            </c:strRef>
          </c:cat>
          <c:val>
            <c:numRef>
              <c:f>ورقة1!$B$2:$B$4</c:f>
              <c:numCache>
                <c:formatCode>0.00%</c:formatCode>
                <c:ptCount val="3"/>
                <c:pt idx="0">
                  <c:v>0.7</c:v>
                </c:pt>
                <c:pt idx="1">
                  <c:v>0.2</c:v>
                </c:pt>
                <c:pt idx="2">
                  <c:v>0.1</c:v>
                </c:pt>
              </c:numCache>
            </c:numRef>
          </c:val>
        </c:ser>
        <c:firstSliceAng val="0"/>
      </c:pieChart>
    </c:plotArea>
    <c:legend>
      <c:legendPos val="r"/>
      <c:overlay val="0"/>
    </c:legend>
    <c:plotVisOnly val="1"/>
    <c:dispBlanksAs val="gap"/>
  </c:chart>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mc="http://schemas.openxmlformats.org/markup-compatibility/2006">
  <c:date1904 val="0"/>
  <c:lang val="ar-SA"/>
  <c:roundedCorners val="0"/>
  <c:chart>
    <c:autoTitleDeleted val="0"/>
    <c:plotArea>
      <c:layout/>
      <c:pieChart>
        <c:varyColors val="1"/>
        <c:ser>
          <c:idx val="0"/>
          <c:order val="0"/>
          <c:tx>
            <c:strRef>
              <c:f>ورقة1!$B$1</c:f>
              <c:strCache>
                <c:ptCount val="1"/>
                <c:pt idx="0">
                  <c:v>متوسط الدخل الشهري للأسرة:</c:v>
                </c:pt>
              </c:strCache>
            </c:strRef>
          </c:tx>
          <c:dPt>
            <c:idx val="0"/>
            <c:bubble3D val="0"/>
            <c:spPr>
              <a:solidFill>
                <a:schemeClr val="accent1"/>
              </a:solidFill>
              <a:ln w="19050">
                <a:solidFill>
                  <a:schemeClr val="lt1"/>
                </a:solidFill>
              </a:ln>
            </c:spPr>
          </c:dPt>
          <c:dPt>
            <c:idx val="1"/>
            <c:bubble3D val="0"/>
            <c:spPr>
              <a:solidFill>
                <a:schemeClr val="accent2"/>
              </a:solidFill>
              <a:ln w="19050">
                <a:solidFill>
                  <a:schemeClr val="lt1"/>
                </a:solidFill>
              </a:ln>
            </c:spPr>
          </c:dPt>
          <c:dPt>
            <c:idx val="2"/>
            <c:bubble3D val="0"/>
            <c:spPr>
              <a:solidFill>
                <a:schemeClr val="accent3"/>
              </a:solidFill>
              <a:ln w="19050">
                <a:solidFill>
                  <a:schemeClr val="lt1"/>
                </a:solidFill>
              </a:ln>
            </c:spPr>
          </c:dPt>
          <c:dPt>
            <c:idx val="3"/>
            <c:bubble3D val="0"/>
            <c:spPr>
              <a:solidFill>
                <a:schemeClr val="accent4"/>
              </a:solidFill>
              <a:ln w="19050">
                <a:solidFill>
                  <a:schemeClr val="lt1"/>
                </a:solidFill>
              </a:ln>
            </c:spPr>
          </c:dPt>
          <c:dPt>
            <c:idx val="4"/>
            <c:bubble3D val="0"/>
            <c:spPr>
              <a:solidFill>
                <a:schemeClr val="accent5"/>
              </a:solidFill>
              <a:ln w="19050">
                <a:solidFill>
                  <a:schemeClr val="lt1"/>
                </a:solidFill>
              </a:ln>
            </c:spPr>
          </c:dPt>
          <c:dPt>
            <c:idx val="5"/>
            <c:bubble3D val="0"/>
            <c:spPr>
              <a:solidFill>
                <a:schemeClr val="accent6"/>
              </a:solidFill>
              <a:ln w="19050">
                <a:solidFill>
                  <a:schemeClr val="lt1"/>
                </a:solidFill>
              </a:ln>
            </c:spPr>
          </c:dPt>
          <c:dPt>
            <c:idx val="6"/>
            <c:bubble3D val="0"/>
            <c:spPr>
              <a:solidFill>
                <a:schemeClr val="accent1"/>
              </a:solidFill>
              <a:ln w="19050">
                <a:solidFill>
                  <a:schemeClr val="lt1"/>
                </a:solidFill>
              </a:ln>
            </c:spPr>
          </c:dPt>
          <c:dPt>
            <c:idx val="7"/>
            <c:bubble3D val="0"/>
            <c:spPr>
              <a:solidFill>
                <a:schemeClr val="accent2"/>
              </a:solidFill>
              <a:ln w="19050">
                <a:solidFill>
                  <a:schemeClr val="lt1"/>
                </a:solidFill>
              </a:ln>
            </c:spPr>
          </c:dPt>
          <c:dPt>
            <c:idx val="8"/>
            <c:bubble3D val="0"/>
            <c:spPr>
              <a:solidFill>
                <a:schemeClr val="accent3"/>
              </a:solidFill>
              <a:ln w="19050">
                <a:solidFill>
                  <a:schemeClr val="lt1"/>
                </a:solidFill>
              </a:ln>
            </c:spPr>
          </c:dPt>
          <c:dLbls>
            <c:dLblPos val="inEnd"/>
            <c:showLegendKey val="0"/>
            <c:showVal val="1"/>
            <c:showCatName val="0"/>
            <c:showSerName val="0"/>
            <c:showPercent val="0"/>
            <c:showBubbleSize val="0"/>
            <c:showLeaderLines val="1"/>
          </c:dLbls>
          <c:cat>
            <c:strRef>
              <c:f>ورقة1!$A$2:$A$10</c:f>
              <c:strCache>
                <c:ptCount val="9"/>
                <c:pt idx="0">
                  <c:v>7000- لاقل من 9000جنية</c:v>
                </c:pt>
                <c:pt idx="1">
                  <c:v>5000- لأقل من 7000جنية</c:v>
                </c:pt>
                <c:pt idx="2">
                  <c:v>اقل من 5000 جنية</c:v>
                </c:pt>
                <c:pt idx="3">
                  <c:v>9000-لاقل من 11000جنية</c:v>
                </c:pt>
                <c:pt idx="4">
                  <c:v>17000 جنية فاكثر</c:v>
                </c:pt>
                <c:pt idx="5">
                  <c:v>13000 -لاقل من 15000 جنية</c:v>
                </c:pt>
                <c:pt idx="6">
                  <c:v>15000- لاقل من 17000 جنية</c:v>
                </c:pt>
                <c:pt idx="7">
                  <c:v>لا إجابة</c:v>
                </c:pt>
                <c:pt idx="8">
                  <c:v>11000-لاقل من 13000 جنية</c:v>
                </c:pt>
              </c:strCache>
            </c:strRef>
          </c:cat>
          <c:val>
            <c:numRef>
              <c:f>ورقة1!$B$2:$B$10</c:f>
              <c:numCache>
                <c:formatCode>0.00%</c:formatCode>
                <c:ptCount val="9"/>
                <c:pt idx="0">
                  <c:v>0.2</c:v>
                </c:pt>
                <c:pt idx="1">
                  <c:v>0.1</c:v>
                </c:pt>
                <c:pt idx="2">
                  <c:v>0.1</c:v>
                </c:pt>
                <c:pt idx="3">
                  <c:v>0.2</c:v>
                </c:pt>
                <c:pt idx="4">
                  <c:v>0.1</c:v>
                </c:pt>
                <c:pt idx="5">
                  <c:v>0</c:v>
                </c:pt>
                <c:pt idx="6">
                  <c:v>0.1</c:v>
                </c:pt>
                <c:pt idx="7">
                  <c:v>0.2</c:v>
                </c:pt>
                <c:pt idx="8">
                  <c:v>0</c:v>
                </c:pt>
              </c:numCache>
            </c:numRef>
          </c:val>
        </c:ser>
        <c:firstSliceAng val="0"/>
      </c:pieChart>
    </c:plotArea>
    <c:legend>
      <c:legendPos val="r"/>
      <c:overlay val="0"/>
    </c:legend>
    <c:plotVisOnly val="1"/>
    <c:dispBlanksAs val="gap"/>
  </c:chart>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mc="http://schemas.openxmlformats.org/markup-compatibility/2006">
  <c:date1904 val="0"/>
  <c:lang val="ar-SA"/>
  <c:roundedCorners val="0"/>
  <c:chart>
    <c:autoTitleDeleted val="0"/>
    <c:plotArea>
      <c:layout/>
      <c:pieChart>
        <c:varyColors val="1"/>
        <c:ser>
          <c:idx val="0"/>
          <c:order val="0"/>
          <c:tx>
            <c:strRef>
              <c:f>ورقة1!$B$1</c:f>
              <c:strCache>
                <c:ptCount val="1"/>
                <c:pt idx="0">
                  <c:v>حجم الاسرة</c:v>
                </c:pt>
              </c:strCache>
            </c:strRef>
          </c:tx>
          <c:dPt>
            <c:idx val="0"/>
            <c:bubble3D val="0"/>
            <c:spPr>
              <a:solidFill>
                <a:schemeClr val="accent1"/>
              </a:solidFill>
              <a:ln w="19050">
                <a:solidFill>
                  <a:schemeClr val="lt1"/>
                </a:solidFill>
              </a:ln>
            </c:spPr>
          </c:dPt>
          <c:dPt>
            <c:idx val="1"/>
            <c:bubble3D val="0"/>
            <c:spPr>
              <a:solidFill>
                <a:schemeClr val="accent2"/>
              </a:solidFill>
              <a:ln w="19050">
                <a:solidFill>
                  <a:schemeClr val="lt1"/>
                </a:solidFill>
              </a:ln>
            </c:spPr>
          </c:dPt>
          <c:dPt>
            <c:idx val="2"/>
            <c:bubble3D val="0"/>
            <c:spPr>
              <a:solidFill>
                <a:schemeClr val="accent3"/>
              </a:solidFill>
              <a:ln w="19050">
                <a:solidFill>
                  <a:schemeClr val="lt1"/>
                </a:solidFill>
              </a:ln>
            </c:spPr>
          </c:dPt>
          <c:dLbls>
            <c:dLblPos val="inEnd"/>
            <c:showLegendKey val="0"/>
            <c:showVal val="1"/>
            <c:showCatName val="0"/>
            <c:showSerName val="0"/>
            <c:showPercent val="0"/>
            <c:showBubbleSize val="0"/>
            <c:showLeaderLines val="1"/>
          </c:dLbls>
          <c:cat>
            <c:strRef>
              <c:f>ورقة1!$A$2:$A$4</c:f>
              <c:strCache>
                <c:ptCount val="3"/>
                <c:pt idx="0">
                  <c:v>متوسطة (4-5 افراد)</c:v>
                </c:pt>
                <c:pt idx="1">
                  <c:v>كبيرة 6 أفراد فاكثر</c:v>
                </c:pt>
                <c:pt idx="2">
                  <c:v>صغيرة (3 افراد فاقل)</c:v>
                </c:pt>
              </c:strCache>
            </c:strRef>
          </c:cat>
          <c:val>
            <c:numRef>
              <c:f>ورقة1!$B$2:$B$4</c:f>
              <c:numCache>
                <c:formatCode>0.00%</c:formatCode>
                <c:ptCount val="3"/>
                <c:pt idx="0">
                  <c:v>0.5</c:v>
                </c:pt>
                <c:pt idx="1">
                  <c:v>0.4</c:v>
                </c:pt>
                <c:pt idx="2">
                  <c:v>0.1</c:v>
                </c:pt>
              </c:numCache>
            </c:numRef>
          </c:val>
        </c:ser>
        <c:firstSliceAng val="0"/>
      </c:pieChart>
    </c:plotArea>
    <c:legend>
      <c:legendPos val="r"/>
      <c:overlay val="0"/>
    </c:legend>
    <c:plotVisOnly val="1"/>
    <c:dispBlanksAs val="gap"/>
  </c:chart>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mc="http://schemas.openxmlformats.org/markup-compatibility/2006">
  <c:date1904 val="0"/>
  <c:lang val="ar-SA"/>
  <c:roundedCorners val="0"/>
  <c:chart>
    <c:autoTitleDeleted val="0"/>
    <c:plotArea>
      <c:layout/>
      <c:pieChart>
        <c:varyColors val="1"/>
        <c:ser>
          <c:idx val="0"/>
          <c:order val="0"/>
          <c:tx>
            <c:strRef>
              <c:f>ورقة1!$B$1</c:f>
              <c:strCache>
                <c:ptCount val="1"/>
                <c:pt idx="0">
                  <c:v>الترتيب بين الاخوة</c:v>
                </c:pt>
              </c:strCache>
            </c:strRef>
          </c:tx>
          <c:dPt>
            <c:idx val="0"/>
            <c:bubble3D val="0"/>
            <c:spPr>
              <a:solidFill>
                <a:schemeClr val="accent1"/>
              </a:solidFill>
              <a:ln w="19050">
                <a:solidFill>
                  <a:schemeClr val="lt1"/>
                </a:solidFill>
              </a:ln>
            </c:spPr>
          </c:dPt>
          <c:dPt>
            <c:idx val="1"/>
            <c:bubble3D val="0"/>
            <c:spPr>
              <a:solidFill>
                <a:schemeClr val="accent2"/>
              </a:solidFill>
              <a:ln w="19050">
                <a:solidFill>
                  <a:schemeClr val="lt1"/>
                </a:solidFill>
              </a:ln>
            </c:spPr>
          </c:dPt>
          <c:dPt>
            <c:idx val="2"/>
            <c:bubble3D val="0"/>
            <c:spPr>
              <a:solidFill>
                <a:schemeClr val="accent3"/>
              </a:solidFill>
              <a:ln w="19050">
                <a:solidFill>
                  <a:schemeClr val="lt1"/>
                </a:solidFill>
              </a:ln>
            </c:spPr>
          </c:dPt>
          <c:dLbls>
            <c:dLblPos val="inEnd"/>
            <c:showLegendKey val="0"/>
            <c:showVal val="1"/>
            <c:showCatName val="0"/>
            <c:showSerName val="0"/>
            <c:showPercent val="0"/>
            <c:showBubbleSize val="0"/>
            <c:showLeaderLines val="1"/>
          </c:dLbls>
          <c:cat>
            <c:strRef>
              <c:f>ورقة1!$A$2:$A$4</c:f>
              <c:strCache>
                <c:ptCount val="3"/>
                <c:pt idx="0">
                  <c:v>الأوسط</c:v>
                </c:pt>
                <c:pt idx="1">
                  <c:v>الأول</c:v>
                </c:pt>
                <c:pt idx="2">
                  <c:v>الاخير</c:v>
                </c:pt>
              </c:strCache>
            </c:strRef>
          </c:cat>
          <c:val>
            <c:numRef>
              <c:f>ورقة1!$B$2:$B$4</c:f>
              <c:numCache>
                <c:formatCode>0.00%</c:formatCode>
                <c:ptCount val="3"/>
                <c:pt idx="0">
                  <c:v>0.7</c:v>
                </c:pt>
                <c:pt idx="1">
                  <c:v>0.2</c:v>
                </c:pt>
                <c:pt idx="2">
                  <c:v>0.1</c:v>
                </c:pt>
              </c:numCache>
            </c:numRef>
          </c:val>
        </c:ser>
        <c:firstSliceAng val="0"/>
      </c:pieChart>
    </c:plotArea>
    <c:legend>
      <c:legendPos val="r"/>
      <c:overlay val="0"/>
    </c:legend>
    <c:plotVisOnly val="1"/>
    <c:dispBlanksAs val="gap"/>
  </c:chart>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mc="http://schemas.openxmlformats.org/markup-compatibility/2006">
  <c:date1904 val="0"/>
  <c:lang val="ar-SA"/>
  <c:roundedCorners val="0"/>
  <c:chart>
    <c:autoTitleDeleted val="0"/>
    <c:plotArea>
      <c:layout/>
      <c:pieChart>
        <c:varyColors val="1"/>
        <c:ser>
          <c:idx val="0"/>
          <c:order val="0"/>
          <c:tx>
            <c:strRef>
              <c:f>ورقة1!$B$1</c:f>
              <c:strCache>
                <c:ptCount val="1"/>
                <c:pt idx="0">
                  <c:v>متوسط عدد الساعات اليومية التي تقضيها متابعة صناع المحتوى الرقمي</c:v>
                </c:pt>
              </c:strCache>
            </c:strRef>
          </c:tx>
          <c:dPt>
            <c:idx val="0"/>
            <c:bubble3D val="0"/>
            <c:spPr>
              <a:solidFill>
                <a:schemeClr val="accent1"/>
              </a:solidFill>
              <a:ln w="19050">
                <a:solidFill>
                  <a:schemeClr val="lt1"/>
                </a:solidFill>
              </a:ln>
            </c:spPr>
          </c:dPt>
          <c:dPt>
            <c:idx val="1"/>
            <c:bubble3D val="0"/>
            <c:spPr>
              <a:solidFill>
                <a:schemeClr val="accent2"/>
              </a:solidFill>
              <a:ln w="19050">
                <a:solidFill>
                  <a:schemeClr val="lt1"/>
                </a:solidFill>
              </a:ln>
            </c:spPr>
          </c:dPt>
          <c:dPt>
            <c:idx val="2"/>
            <c:bubble3D val="0"/>
            <c:spPr>
              <a:solidFill>
                <a:schemeClr val="accent3"/>
              </a:solidFill>
              <a:ln w="19050">
                <a:solidFill>
                  <a:schemeClr val="lt1"/>
                </a:solidFill>
              </a:ln>
            </c:spPr>
          </c:dPt>
          <c:dPt>
            <c:idx val="3"/>
            <c:bubble3D val="0"/>
            <c:spPr>
              <a:solidFill>
                <a:schemeClr val="accent4"/>
              </a:solidFill>
              <a:ln w="19050">
                <a:solidFill>
                  <a:schemeClr val="lt1"/>
                </a:solidFill>
              </a:ln>
            </c:spPr>
          </c:dPt>
          <c:dLbls>
            <c:dLblPos val="inEnd"/>
            <c:showLegendKey val="0"/>
            <c:showVal val="1"/>
            <c:showCatName val="0"/>
            <c:showSerName val="0"/>
            <c:showPercent val="0"/>
            <c:showBubbleSize val="0"/>
            <c:showLeaderLines val="1"/>
          </c:dLbls>
          <c:cat>
            <c:strRef>
              <c:f>ورقة1!$A$2:$A$5</c:f>
              <c:strCache>
                <c:ptCount val="4"/>
                <c:pt idx="0">
                  <c:v>من 2 – أقل من 5 ساعات</c:v>
                </c:pt>
                <c:pt idx="1">
                  <c:v>أقل من ساعتين</c:v>
                </c:pt>
                <c:pt idx="2">
                  <c:v>من 5 – أقل من 8 ساعات</c:v>
                </c:pt>
                <c:pt idx="3">
                  <c:v>8 ساعات فأكثر</c:v>
                </c:pt>
              </c:strCache>
            </c:strRef>
          </c:cat>
          <c:val>
            <c:numRef>
              <c:f>ورقة1!$B$2:$B$5</c:f>
              <c:numCache>
                <c:formatCode>0.00%</c:formatCode>
                <c:ptCount val="4"/>
                <c:pt idx="0">
                  <c:v>0.5</c:v>
                </c:pt>
                <c:pt idx="1">
                  <c:v>0.1</c:v>
                </c:pt>
                <c:pt idx="2">
                  <c:v>0.3</c:v>
                </c:pt>
                <c:pt idx="3">
                  <c:v>0.1</c:v>
                </c:pt>
              </c:numCache>
            </c:numRef>
          </c:val>
        </c:ser>
        <c:firstSliceAng val="0"/>
      </c:pieChart>
    </c:plotArea>
    <c:legend>
      <c:legendPos val="r"/>
      <c:overlay val="0"/>
    </c:legend>
    <c:plotVisOnly val="1"/>
    <c:dispBlanksAs val="gap"/>
  </c:chart>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mc="http://schemas.openxmlformats.org/markup-compatibility/2006">
  <c:date1904 val="0"/>
  <c:lang val="ar-SA"/>
  <c:roundedCorners val="0"/>
  <c:chart>
    <c:autoTitleDeleted val="0"/>
    <c:plotArea>
      <c:layout/>
      <c:pieChart>
        <c:varyColors val="1"/>
        <c:ser>
          <c:idx val="0"/>
          <c:order val="0"/>
          <c:tx>
            <c:strRef>
              <c:f>ورقة1!$B$1</c:f>
              <c:strCache>
                <c:ptCount val="1"/>
                <c:pt idx="0">
                  <c:v>المنصات الأكثر استخدامًا (يمكن اختيار أكثر من إجابة):</c:v>
                </c:pt>
              </c:strCache>
            </c:strRef>
          </c:tx>
          <c:dPt>
            <c:idx val="0"/>
            <c:bubble3D val="0"/>
            <c:spPr>
              <a:solidFill>
                <a:schemeClr val="accent1"/>
              </a:solidFill>
              <a:ln w="19050">
                <a:solidFill>
                  <a:schemeClr val="lt1"/>
                </a:solidFill>
              </a:ln>
            </c:spPr>
          </c:dPt>
          <c:dPt>
            <c:idx val="1"/>
            <c:bubble3D val="0"/>
            <c:spPr>
              <a:solidFill>
                <a:schemeClr val="accent2"/>
              </a:solidFill>
              <a:ln w="19050">
                <a:solidFill>
                  <a:schemeClr val="lt1"/>
                </a:solidFill>
              </a:ln>
            </c:spPr>
          </c:dPt>
          <c:dPt>
            <c:idx val="2"/>
            <c:bubble3D val="0"/>
            <c:spPr>
              <a:solidFill>
                <a:schemeClr val="accent3"/>
              </a:solidFill>
              <a:ln w="19050">
                <a:solidFill>
                  <a:schemeClr val="lt1"/>
                </a:solidFill>
              </a:ln>
            </c:spPr>
          </c:dPt>
          <c:dPt>
            <c:idx val="3"/>
            <c:bubble3D val="0"/>
            <c:spPr>
              <a:solidFill>
                <a:schemeClr val="accent4"/>
              </a:solidFill>
              <a:ln w="19050">
                <a:solidFill>
                  <a:schemeClr val="lt1"/>
                </a:solidFill>
              </a:ln>
            </c:spPr>
          </c:dPt>
          <c:dPt>
            <c:idx val="4"/>
            <c:bubble3D val="0"/>
            <c:spPr>
              <a:solidFill>
                <a:schemeClr val="accent5"/>
              </a:solidFill>
              <a:ln w="19050">
                <a:solidFill>
                  <a:schemeClr val="lt1"/>
                </a:solidFill>
              </a:ln>
            </c:spPr>
          </c:dPt>
          <c:dPt>
            <c:idx val="5"/>
            <c:bubble3D val="0"/>
            <c:spPr>
              <a:solidFill>
                <a:schemeClr val="accent6"/>
              </a:solidFill>
              <a:ln w="19050">
                <a:solidFill>
                  <a:schemeClr val="lt1"/>
                </a:solidFill>
              </a:ln>
            </c:spPr>
          </c:dPt>
          <c:dPt>
            <c:idx val="6"/>
            <c:bubble3D val="0"/>
            <c:spPr>
              <a:solidFill>
                <a:schemeClr val="accent1"/>
              </a:solidFill>
              <a:ln w="19050">
                <a:solidFill>
                  <a:schemeClr val="lt1"/>
                </a:solidFill>
              </a:ln>
            </c:spPr>
          </c:dPt>
          <c:dPt>
            <c:idx val="7"/>
            <c:bubble3D val="0"/>
            <c:spPr>
              <a:solidFill>
                <a:schemeClr val="accent2"/>
              </a:solidFill>
              <a:ln w="19050">
                <a:solidFill>
                  <a:schemeClr val="lt1"/>
                </a:solidFill>
              </a:ln>
            </c:spPr>
          </c:dPt>
          <c:dPt>
            <c:idx val="8"/>
            <c:bubble3D val="0"/>
            <c:spPr>
              <a:solidFill>
                <a:schemeClr val="accent3"/>
              </a:solidFill>
              <a:ln w="19050">
                <a:solidFill>
                  <a:schemeClr val="lt1"/>
                </a:solidFill>
              </a:ln>
            </c:spPr>
          </c:dPt>
          <c:dPt>
            <c:idx val="9"/>
            <c:bubble3D val="0"/>
            <c:spPr>
              <a:solidFill>
                <a:schemeClr val="accent4"/>
              </a:solidFill>
              <a:ln w="19050">
                <a:solidFill>
                  <a:schemeClr val="lt1"/>
                </a:solidFill>
              </a:ln>
            </c:spPr>
          </c:dPt>
          <c:dPt>
            <c:idx val="10"/>
            <c:bubble3D val="0"/>
            <c:spPr>
              <a:solidFill>
                <a:schemeClr val="accent5"/>
              </a:solidFill>
              <a:ln w="19050">
                <a:solidFill>
                  <a:schemeClr val="lt1"/>
                </a:solidFill>
              </a:ln>
            </c:spPr>
          </c:dPt>
          <c:dPt>
            <c:idx val="11"/>
            <c:bubble3D val="0"/>
            <c:spPr>
              <a:solidFill>
                <a:schemeClr val="accent6"/>
              </a:solidFill>
              <a:ln w="19050">
                <a:solidFill>
                  <a:schemeClr val="lt1"/>
                </a:solidFill>
              </a:ln>
            </c:spPr>
          </c:dPt>
          <c:dPt>
            <c:idx val="12"/>
            <c:bubble3D val="0"/>
            <c:spPr>
              <a:solidFill>
                <a:schemeClr val="accent1"/>
              </a:solidFill>
              <a:ln w="19050">
                <a:solidFill>
                  <a:schemeClr val="lt1"/>
                </a:solidFill>
              </a:ln>
            </c:spPr>
          </c:dPt>
          <c:dPt>
            <c:idx val="13"/>
            <c:bubble3D val="0"/>
            <c:spPr>
              <a:solidFill>
                <a:schemeClr val="accent2"/>
              </a:solidFill>
              <a:ln w="19050">
                <a:solidFill>
                  <a:schemeClr val="lt1"/>
                </a:solidFill>
              </a:ln>
            </c:spPr>
          </c:dPt>
          <c:dPt>
            <c:idx val="14"/>
            <c:bubble3D val="0"/>
            <c:spPr>
              <a:solidFill>
                <a:schemeClr val="accent3"/>
              </a:solidFill>
              <a:ln w="19050">
                <a:solidFill>
                  <a:schemeClr val="lt1"/>
                </a:solidFill>
              </a:ln>
            </c:spPr>
          </c:dPt>
          <c:dPt>
            <c:idx val="15"/>
            <c:bubble3D val="0"/>
            <c:spPr>
              <a:solidFill>
                <a:schemeClr val="accent4"/>
              </a:solidFill>
              <a:ln w="19050">
                <a:solidFill>
                  <a:schemeClr val="lt1"/>
                </a:solidFill>
              </a:ln>
            </c:spPr>
          </c:dPt>
          <c:dPt>
            <c:idx val="16"/>
            <c:bubble3D val="0"/>
            <c:spPr>
              <a:solidFill>
                <a:schemeClr val="accent5"/>
              </a:solidFill>
              <a:ln w="19050">
                <a:solidFill>
                  <a:schemeClr val="lt1"/>
                </a:solidFill>
              </a:ln>
            </c:spPr>
          </c:dPt>
          <c:dLbls>
            <c:dLblPos val="inEnd"/>
            <c:showLegendKey val="0"/>
            <c:showVal val="1"/>
            <c:showCatName val="0"/>
            <c:showSerName val="0"/>
            <c:showPercent val="0"/>
            <c:showBubbleSize val="0"/>
            <c:showLeaderLines val="1"/>
          </c:dLbls>
          <c:cat>
            <c:strRef>
              <c:f>ورقة1!$A$2:$A$18</c:f>
              <c:strCache>
                <c:ptCount val="17"/>
                <c:pt idx="0">
                  <c:v>فيسبوك</c:v>
                </c:pt>
                <c:pt idx="1">
                  <c:v>إنستغرام</c:v>
                </c:pt>
                <c:pt idx="2">
                  <c:v>تيك توك</c:v>
                </c:pt>
                <c:pt idx="3">
                  <c:v>فيسبوك,تيك توك</c:v>
                </c:pt>
                <c:pt idx="4">
                  <c:v>فيسبوك,إنستغرام,تيك توك,يوتيوب</c:v>
                </c:pt>
                <c:pt idx="5">
                  <c:v>إنستغرام,تيك توك</c:v>
                </c:pt>
                <c:pt idx="6">
                  <c:v>فيسبوك,إنستغرام</c:v>
                </c:pt>
                <c:pt idx="7">
                  <c:v>فيسبوك,إنستغرام,تيك توك</c:v>
                </c:pt>
                <c:pt idx="8">
                  <c:v>فيسبوك,يوتيوب</c:v>
                </c:pt>
                <c:pt idx="9">
                  <c:v>فيسبوك,إنستغرام,يوتيوب</c:v>
                </c:pt>
                <c:pt idx="10">
                  <c:v>يوتيوب,غيرها</c:v>
                </c:pt>
                <c:pt idx="11">
                  <c:v>إنستغرام,تيك توك,غيرها</c:v>
                </c:pt>
                <c:pt idx="12">
                  <c:v>إنستغرام,يوتيوب,سناب شات</c:v>
                </c:pt>
                <c:pt idx="13">
                  <c:v>إنستغرام,تيك توك,تويتر (X),غيرها</c:v>
                </c:pt>
                <c:pt idx="14">
                  <c:v>إنستغرام,تيك توك,تويتر (X)</c:v>
                </c:pt>
                <c:pt idx="15">
                  <c:v>إنستغرام,يوتيوب,تويتر (X)</c:v>
                </c:pt>
                <c:pt idx="16">
                  <c:v>فيسبوك,تيك توك,يوتيوب</c:v>
                </c:pt>
              </c:strCache>
            </c:strRef>
          </c:cat>
          <c:val>
            <c:numRef>
              <c:f>ورقة1!$B$2:$B$18</c:f>
              <c:numCache>
                <c:formatCode>0.00%</c:formatCode>
                <c:ptCount val="17"/>
                <c:pt idx="0">
                  <c:v>0.1</c:v>
                </c:pt>
                <c:pt idx="1">
                  <c:v>0.2</c:v>
                </c:pt>
                <c:pt idx="2">
                  <c:v>0</c:v>
                </c:pt>
                <c:pt idx="3">
                  <c:v>0.2</c:v>
                </c:pt>
                <c:pt idx="4">
                  <c:v>0.1</c:v>
                </c:pt>
                <c:pt idx="5">
                  <c:v>0.1</c:v>
                </c:pt>
                <c:pt idx="6">
                  <c:v>0.2</c:v>
                </c:pt>
                <c:pt idx="7">
                  <c:v>0.1</c:v>
                </c:pt>
                <c:pt idx="8">
                  <c:v>0</c:v>
                </c:pt>
                <c:pt idx="9">
                  <c:v>0</c:v>
                </c:pt>
                <c:pt idx="10">
                  <c:v>0</c:v>
                </c:pt>
                <c:pt idx="11">
                  <c:v>0</c:v>
                </c:pt>
                <c:pt idx="12">
                  <c:v>0</c:v>
                </c:pt>
                <c:pt idx="13">
                  <c:v>0</c:v>
                </c:pt>
                <c:pt idx="14">
                  <c:v>0</c:v>
                </c:pt>
                <c:pt idx="15">
                  <c:v>0</c:v>
                </c:pt>
                <c:pt idx="16">
                  <c:v>0</c:v>
                </c:pt>
              </c:numCache>
            </c:numRef>
          </c:val>
        </c:ser>
        <c:firstSliceAng val="0"/>
      </c:pieChart>
    </c:plotArea>
    <c:legend>
      <c:legendPos val="r"/>
      <c:overlay val="0"/>
    </c:legend>
    <c:plotVisOnly val="1"/>
    <c:dispBlanksAs val="gap"/>
  </c:chart>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mc="http://schemas.openxmlformats.org/markup-compatibility/2006">
  <c:date1904 val="0"/>
  <c:lang val="ar-SA"/>
  <c:roundedCorners val="0"/>
  <c:chart>
    <c:autoTitleDeleted val="0"/>
    <c:plotArea>
      <c:layout/>
      <c:pieChart>
        <c:varyColors val="1"/>
        <c:ser>
          <c:idx val="0"/>
          <c:order val="0"/>
          <c:tx>
            <c:strRef>
              <c:f>ورقة1!$B$1</c:f>
              <c:strCache>
                <c:ptCount val="1"/>
                <c:pt idx="0">
                  <c:v>أسباب متابعة صانع المحتوى الرقمي</c:v>
                </c:pt>
              </c:strCache>
            </c:strRef>
          </c:tx>
          <c:dPt>
            <c:idx val="0"/>
            <c:bubble3D val="0"/>
            <c:spPr>
              <a:solidFill>
                <a:schemeClr val="accent1"/>
              </a:solidFill>
              <a:ln w="19050">
                <a:solidFill>
                  <a:schemeClr val="lt1"/>
                </a:solidFill>
              </a:ln>
            </c:spPr>
          </c:dPt>
          <c:dPt>
            <c:idx val="1"/>
            <c:bubble3D val="0"/>
            <c:spPr>
              <a:solidFill>
                <a:schemeClr val="accent2"/>
              </a:solidFill>
              <a:ln w="19050">
                <a:solidFill>
                  <a:schemeClr val="lt1"/>
                </a:solidFill>
              </a:ln>
            </c:spPr>
          </c:dPt>
          <c:dPt>
            <c:idx val="2"/>
            <c:bubble3D val="0"/>
            <c:spPr>
              <a:solidFill>
                <a:schemeClr val="accent3"/>
              </a:solidFill>
              <a:ln w="19050">
                <a:solidFill>
                  <a:schemeClr val="lt1"/>
                </a:solidFill>
              </a:ln>
            </c:spPr>
          </c:dPt>
          <c:dPt>
            <c:idx val="3"/>
            <c:bubble3D val="0"/>
            <c:spPr>
              <a:solidFill>
                <a:schemeClr val="accent4"/>
              </a:solidFill>
              <a:ln w="19050">
                <a:solidFill>
                  <a:schemeClr val="lt1"/>
                </a:solidFill>
              </a:ln>
            </c:spPr>
          </c:dPt>
          <c:dPt>
            <c:idx val="4"/>
            <c:bubble3D val="0"/>
            <c:spPr>
              <a:solidFill>
                <a:schemeClr val="accent5"/>
              </a:solidFill>
              <a:ln w="19050">
                <a:solidFill>
                  <a:schemeClr val="lt1"/>
                </a:solidFill>
              </a:ln>
            </c:spPr>
          </c:dPt>
          <c:dLbls>
            <c:dLblPos val="inEnd"/>
            <c:showLegendKey val="0"/>
            <c:showVal val="1"/>
            <c:showCatName val="0"/>
            <c:showSerName val="0"/>
            <c:showPercent val="0"/>
            <c:showBubbleSize val="0"/>
            <c:showLeaderLines val="1"/>
          </c:dLbls>
          <c:cat>
            <c:strRef>
              <c:f>ورقة1!$A$2:$A$6</c:f>
              <c:strCache>
                <c:ptCount val="5"/>
                <c:pt idx="0">
                  <c:v>الترفيه والتسلية</c:v>
                </c:pt>
                <c:pt idx="1">
                  <c:v>تعلم أشياء جديده</c:v>
                </c:pt>
                <c:pt idx="2">
                  <c:v>معرفة الاخبار</c:v>
                </c:pt>
                <c:pt idx="3">
                  <c:v>متابعة المستجدات</c:v>
                </c:pt>
                <c:pt idx="4">
                  <c:v>غيرها</c:v>
                </c:pt>
              </c:strCache>
            </c:strRef>
          </c:cat>
          <c:val>
            <c:numRef>
              <c:f>ورقة1!$B$2:$B$6</c:f>
              <c:numCache>
                <c:formatCode>0.00%</c:formatCode>
                <c:ptCount val="5"/>
                <c:pt idx="0">
                  <c:v>0.6</c:v>
                </c:pt>
                <c:pt idx="1">
                  <c:v>0.2</c:v>
                </c:pt>
                <c:pt idx="2">
                  <c:v>0</c:v>
                </c:pt>
                <c:pt idx="3">
                  <c:v>0.2</c:v>
                </c:pt>
                <c:pt idx="4">
                  <c:v>0</c:v>
                </c:pt>
              </c:numCache>
            </c:numRef>
          </c:val>
        </c:ser>
        <c:firstSliceAng val="0"/>
      </c:pieChart>
    </c:plotArea>
    <c:legend>
      <c:legendPos val="r"/>
      <c:overlay val="0"/>
    </c:legend>
    <c:plotVisOnly val="1"/>
    <c:dispBlanksAs val="gap"/>
  </c:chart>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mc="http://schemas.openxmlformats.org/markup-compatibility/2006">
  <c:date1904 val="0"/>
  <c:lang val="ar-SA"/>
  <c:roundedCorners val="0"/>
  <c:chart>
    <c:autoTitleDeleted val="0"/>
    <c:plotArea>
      <c:layout/>
      <c:pieChart>
        <c:varyColors val="1"/>
        <c:ser>
          <c:idx val="0"/>
          <c:order val="0"/>
          <c:tx>
            <c:strRef>
              <c:f>ورقة1!$B$1</c:f>
              <c:strCache>
                <c:ptCount val="1"/>
                <c:pt idx="0">
                  <c:v>تفضل مشاهدة الفيديو كامل ام مقاطع الريلز</c:v>
                </c:pt>
              </c:strCache>
            </c:strRef>
          </c:tx>
          <c:dPt>
            <c:idx val="0"/>
            <c:bubble3D val="0"/>
            <c:spPr>
              <a:solidFill>
                <a:schemeClr val="accent1"/>
              </a:solidFill>
              <a:ln w="19050">
                <a:solidFill>
                  <a:schemeClr val="lt1"/>
                </a:solidFill>
              </a:ln>
            </c:spPr>
          </c:dPt>
          <c:dPt>
            <c:idx val="1"/>
            <c:bubble3D val="0"/>
            <c:spPr>
              <a:solidFill>
                <a:schemeClr val="accent2"/>
              </a:solidFill>
              <a:ln w="19050">
                <a:solidFill>
                  <a:schemeClr val="lt1"/>
                </a:solidFill>
              </a:ln>
            </c:spPr>
          </c:dPt>
          <c:dLbls>
            <c:dLblPos val="inEnd"/>
            <c:showLegendKey val="0"/>
            <c:showVal val="1"/>
            <c:showCatName val="0"/>
            <c:showSerName val="0"/>
            <c:showPercent val="0"/>
            <c:showBubbleSize val="0"/>
            <c:showLeaderLines val="1"/>
          </c:dLbls>
          <c:cat>
            <c:strRef>
              <c:f>ورقة1!$A$2:$A$3</c:f>
              <c:strCache>
                <c:ptCount val="2"/>
                <c:pt idx="0">
                  <c:v>مقاطع الريلز</c:v>
                </c:pt>
                <c:pt idx="1">
                  <c:v>فيديو</c:v>
                </c:pt>
              </c:strCache>
            </c:strRef>
          </c:cat>
          <c:val>
            <c:numRef>
              <c:f>ورقة1!$B$2:$B$3</c:f>
              <c:numCache>
                <c:formatCode>0.00%</c:formatCode>
                <c:ptCount val="2"/>
                <c:pt idx="0">
                  <c:v>1</c:v>
                </c:pt>
                <c:pt idx="1">
                  <c:v>0</c:v>
                </c:pt>
              </c:numCache>
            </c:numRef>
          </c:val>
        </c:ser>
        <c:firstSliceAng val="0"/>
      </c:pieChart>
    </c:plotArea>
    <c:legend>
      <c:legendPos val="r"/>
      <c:overlay val="0"/>
    </c:legend>
    <c:plotVisOnly val="1"/>
    <c:dispBlanksAs val="gap"/>
  </c:chart>
  <c:externalData r:id="rId3">
    <c:autoUpdate val="0"/>
  </c:externalData>
</c:chartSpace>
</file>

<file path=docProps/app.xml><?xml version="1.0" encoding="utf-8"?>
<Properties xmlns="http://schemas.openxmlformats.org/officeDocument/2006/extended-properties">
  <Application>Survey Analyzer Pro</Application>
</Properties>
</file>

<file path=docProps/core.xml><?xml version="1.0" encoding="utf-8"?>
<cp:coreProperties xmlns:cp="http://schemas.openxmlformats.org/package/2006/metadata/core-properties" xmlns:dc="http://purl.org/dc/elements/1.1/">
  <dc:creator>Survey Analyzer Pro</dc:creator>
  <cp:lastModifiedBy>Survey Analyzer Pro</cp:lastModifiedBy>
</cp:coreProperties>
</file>