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Key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communicate with</w:t>
            </w:r>
          </w:p>
        </w:tc>
        <w:tc>
          <w:p>
            <w:r>
              <w:t xml:space="preserve">يتواصل مع</w:t>
            </w:r>
          </w:p>
        </w:tc>
      </w:tr>
      <w:tr>
        <w:tc>
          <w:p>
            <w:r>
              <w:t xml:space="preserve">sibling</w:t>
            </w:r>
          </w:p>
        </w:tc>
        <w:tc>
          <w:p>
            <w:r>
              <w:t xml:space="preserve">اخ / اخت ( شقيق – شقيقه )</w:t>
            </w:r>
          </w:p>
        </w:tc>
      </w:tr>
      <w:tr>
        <w:tc>
          <w:p>
            <w:r>
              <w:t xml:space="preserve">communication</w:t>
            </w:r>
          </w:p>
        </w:tc>
        <w:tc>
          <w:p>
            <w:r>
              <w:t xml:space="preserve">تواصل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