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Synonym &amp; Antonym</w:t>
      </w:r>
    </w:p>
    <w:tbl xmlns:w="http://schemas.openxmlformats.org/wordprocessingml/2006/main">
      <w:tblPr>
        <w:tblStyle w:val="TableGrid"/>
      </w:tblPr>
      <w:tblGrid>
        <w:gridCol w:w="3000"/>
        <w:gridCol w:w="3000"/>
        <w:gridCol w:w="3000"/>
        <w:gridCol w:w="3000"/>
        <w:gridCol w:w="3000"/>
        <w:gridCol w:w="3000"/>
      </w:tblGrid>
      <w:tr>
        <w:tc>
          <w:p>
            <w:r>
              <w:t xml:space="preserve">Word</w:t>
            </w:r>
          </w:p>
        </w:tc>
        <w:tc>
          <w:p>
            <w:r>
              <w:t xml:space="preserve">Arabic</w:t>
            </w:r>
          </w:p>
        </w:tc>
        <w:tc>
          <w:p>
            <w:r>
              <w:t xml:space="preserve">Synonym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Antonym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care</w:t>
            </w:r>
          </w:p>
        </w:tc>
        <w:tc>
          <w:p>
            <w:r>
              <w:t xml:space="preserve">اهتمام</w:t>
            </w:r>
          </w:p>
        </w:tc>
        <w:tc>
          <w:p>
            <w:r>
              <w:t xml:space="preserve">concern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ignore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conflict</w:t>
            </w:r>
          </w:p>
        </w:tc>
        <w:tc>
          <w:p>
            <w:r>
              <w:t xml:space="preserve">صراع</w:t>
            </w:r>
          </w:p>
        </w:tc>
        <w:tc>
          <w:p>
            <w:r>
              <w:t xml:space="preserve">disagreement</w:t>
            </w:r>
          </w:p>
        </w:tc>
        <w:tc>
          <w:p>
            <w:r>
              <w:t xml:space="preserve">argument</w:t>
            </w:r>
          </w:p>
        </w:tc>
        <w:tc>
          <w:p>
            <w:r>
              <w:t xml:space="preserve">agreement</w:t>
            </w:r>
          </w:p>
        </w:tc>
        <w:tc>
          <w:p>
            <w:r>
              <w:t xml:space="preserve">harmony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