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RFP Field-Extraction Benchmark</w:t>
      </w:r>
    </w:p>
    <w:p>
      <w:pPr>
        <w:spacing w:after="300"/>
      </w:pPr>
      <w:r>
        <w:rPr>
          <w:color w:val="555555"/>
          <w:sz w:val="24"/>
          <w:szCs w:val="24"/>
        </w:rPr>
        <w:t xml:space="preserve">Questions asked, and how GPT-4o, Llama-3.3-70B and Qwen3-VL-32B answered them</w:t>
      </w:r>
    </w:p>
    <w:p>
      <w:pPr>
        <w:pStyle w:val="Heading1"/>
        <w:spacing w:after="140" w:before="280"/>
      </w:pPr>
      <w:r>
        <w:t xml:space="preserve">1. What was asked — the 17 fields</w:t>
      </w:r>
    </w:p>
    <w:p>
      <w:pPr>
        <w:spacing w:after="120"/>
      </w:pPr>
      <w:r>
        <w:rPr>
          <w:sz w:val="20"/>
          <w:szCs w:val="20"/>
        </w:rPr>
        <w:t xml:space="preserve">Every model was given the same RFP document and asked to extract the same 17 fields, each as a structured answer: present/absent, the extracted value, a page number, and a verbatim quote from the source. Difficulty was assigned after reading the source RFP in full and is a property of the document, not of any model's answer.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000"/>
        <w:gridCol w:w="1100"/>
        <w:gridCol w:w="4200"/>
      </w:tblGrid>
      <w:tr>
        <w:trPr>
          <w:tblHeader/>
        </w:trPr>
        <w:tc>
          <w:tcPr>
            <w:tcW w:type="dxa" w:w="500"/>
            <w:shd w:fill="D9D9D9" w:val="clear"/>
          </w:tcPr>
          <w:p>
            <w:r>
              <w:rPr>
                <w:b/>
                <w:bCs/>
              </w:rPr>
              <w:t xml:space="preserve">#</w:t>
            </w:r>
          </w:p>
        </w:tc>
        <w:tc>
          <w:tcPr>
            <w:tcW w:type="dxa" w:w="2600"/>
            <w:shd w:fill="D9D9D9" w:val="clear"/>
          </w:tcPr>
          <w:p>
            <w:r>
              <w:rPr>
                <w:b/>
                <w:bCs/>
              </w:rPr>
              <w:t xml:space="preserve">Field</w:t>
            </w:r>
          </w:p>
        </w:tc>
        <w:tc>
          <w:tcPr>
            <w:tcW w:type="dxa" w:w="1000"/>
            <w:shd w:fill="D9D9D9" w:val="clear"/>
          </w:tcPr>
          <w:p>
            <w:r>
              <w:rPr>
                <w:b/>
                <w:bCs/>
              </w:rPr>
              <w:t xml:space="preserve">Type</w:t>
            </w:r>
          </w:p>
        </w:tc>
        <w:tc>
          <w:tcPr>
            <w:tcW w:type="dxa" w:w="1100"/>
            <w:shd w:fill="D9D9D9" w:val="clear"/>
          </w:tcPr>
          <w:p>
            <w:r>
              <w:rPr>
                <w:b/>
                <w:bCs/>
              </w:rPr>
              <w:t xml:space="preserve">Difficulty</w:t>
            </w:r>
          </w:p>
        </w:tc>
        <w:tc>
          <w:tcPr>
            <w:tcW w:type="dxa" w:w="4200"/>
            <w:shd w:fill="D9D9D9" w:val="clear"/>
          </w:tcPr>
          <w:p>
            <w:r>
              <w:rPr>
                <w:b/>
                <w:bCs/>
              </w:rPr>
              <w:t xml:space="preserve">What we asked for</w:t>
            </w:r>
          </w:p>
        </w:tc>
      </w:tr>
      <w:tr>
        <w:tc>
          <w:tcPr>
            <w:tcW w:type="dxa" w:w="500"/>
          </w:tcPr>
          <w:p>
            <w:r>
              <w:rPr>
                <w:b w:val="false"/>
                <w:bCs w:val="false"/>
              </w:rPr>
              <w:t xml:space="preserve">1</w:t>
            </w:r>
          </w:p>
        </w:tc>
        <w:tc>
          <w:tcPr>
            <w:tcW w:type="dxa" w:w="2600"/>
          </w:tcPr>
          <w:p>
            <w:r>
              <w:rPr>
                <w:b w:val="false"/>
                <w:bCs w:val="false"/>
              </w:rPr>
              <w:t xml:space="preserve">Submission Deadline (date &amp; time)</w:t>
            </w:r>
          </w:p>
        </w:tc>
        <w:tc>
          <w:tcPr>
            <w:tcW w:type="dxa" w:w="1000"/>
          </w:tcPr>
          <w:p>
            <w:r>
              <w:rPr>
                <w:b w:val="false"/>
                <w:bCs w:val="false"/>
              </w:rPr>
              <w:t xml:space="preserve">datetime</w:t>
            </w:r>
          </w:p>
        </w:tc>
        <w:tc>
          <w:tcPr>
            <w:tcW w:type="dxa" w:w="1100"/>
            <w:shd w:fill="FCE4D6" w:val="clear"/>
          </w:tcPr>
          <w:p>
            <w:r>
              <w:rPr>
                <w:b w:val="false"/>
                <w:bCs w:val="false"/>
              </w:rPr>
              <w:t xml:space="preserve">hard</w:t>
            </w:r>
          </w:p>
        </w:tc>
        <w:tc>
          <w:tcPr>
            <w:tcW w:type="dxa" w:w="4200"/>
          </w:tcPr>
          <w:p>
            <w:r>
              <w:rPr>
                <w:b w:val="false"/>
                <w:bCs w:val="false"/>
              </w:rPr>
              <w:t xml:space="preserve">The final date/time proposals are due. Include the time and timezone if stated. If an addendum amends the deadline, use the amended one and quote the addendum.</w:t>
            </w:r>
          </w:p>
        </w:tc>
      </w:tr>
      <w:tr>
        <w:tc>
          <w:tcPr>
            <w:tcW w:type="dxa" w:w="500"/>
          </w:tcPr>
          <w:p>
            <w:r>
              <w:rPr>
                <w:b w:val="false"/>
                <w:bCs w:val="false"/>
              </w:rPr>
              <w:t xml:space="preserve">2</w:t>
            </w:r>
          </w:p>
        </w:tc>
        <w:tc>
          <w:tcPr>
            <w:tcW w:type="dxa" w:w="2600"/>
          </w:tcPr>
          <w:p>
            <w:r>
              <w:rPr>
                <w:b w:val="false"/>
                <w:bCs w:val="false"/>
              </w:rPr>
              <w:t xml:space="preserve">Deadline for Questions / Inquiries</w:t>
            </w:r>
          </w:p>
        </w:tc>
        <w:tc>
          <w:tcPr>
            <w:tcW w:type="dxa" w:w="1000"/>
          </w:tcPr>
          <w:p>
            <w:r>
              <w:rPr>
                <w:b w:val="false"/>
                <w:bCs w:val="false"/>
              </w:rPr>
              <w:t xml:space="preserve">datetime</w:t>
            </w:r>
          </w:p>
        </w:tc>
        <w:tc>
          <w:tcPr>
            <w:tcW w:type="dxa" w:w="1100"/>
            <w:shd w:fill="E2EFDA" w:val="clear"/>
          </w:tcPr>
          <w:p>
            <w:r>
              <w:rPr>
                <w:b w:val="false"/>
                <w:bCs w:val="false"/>
              </w:rPr>
              <w:t xml:space="preserve">easy</w:t>
            </w:r>
          </w:p>
        </w:tc>
        <w:tc>
          <w:tcPr>
            <w:tcW w:type="dxa" w:w="4200"/>
          </w:tcPr>
          <w:p>
            <w:r>
              <w:rPr>
                <w:b w:val="false"/>
                <w:bCs w:val="false"/>
              </w:rPr>
              <w:t xml:space="preserve">The cut-off for vendor questions/clarifications. This is distinct from the submission deadline; do not reuse that value.</w:t>
            </w:r>
          </w:p>
        </w:tc>
      </w:tr>
      <w:tr>
        <w:tc>
          <w:tcPr>
            <w:tcW w:type="dxa" w:w="500"/>
          </w:tcPr>
          <w:p>
            <w:r>
              <w:rPr>
                <w:b w:val="false"/>
                <w:bCs w:val="false"/>
              </w:rPr>
              <w:t xml:space="preserve">3</w:t>
            </w:r>
          </w:p>
        </w:tc>
        <w:tc>
          <w:tcPr>
            <w:tcW w:type="dxa" w:w="2600"/>
          </w:tcPr>
          <w:p>
            <w:r>
              <w:rPr>
                <w:b w:val="false"/>
                <w:bCs w:val="false"/>
              </w:rPr>
              <w:t xml:space="preserve">RFP Contact (name and/or email)</w:t>
            </w:r>
          </w:p>
        </w:tc>
        <w:tc>
          <w:tcPr>
            <w:tcW w:type="dxa" w:w="1000"/>
          </w:tcPr>
          <w:p>
            <w:r>
              <w:rPr>
                <w:b w:val="false"/>
                <w:bCs w:val="false"/>
              </w:rPr>
              <w:t xml:space="preserve">contact</w:t>
            </w:r>
          </w:p>
        </w:tc>
        <w:tc>
          <w:tcPr>
            <w:tcW w:type="dxa" w:w="1100"/>
            <w:shd w:fill="FFF2CC" w:val="clear"/>
          </w:tcPr>
          <w:p>
            <w:r>
              <w:rPr>
                <w:b w:val="false"/>
                <w:bCs w:val="false"/>
              </w:rPr>
              <w:t xml:space="preserve">medium</w:t>
            </w:r>
          </w:p>
        </w:tc>
        <w:tc>
          <w:tcPr>
            <w:tcW w:type="dxa" w:w="4200"/>
          </w:tcPr>
          <w:p>
            <w:r>
              <w:rPr>
                <w:b w:val="false"/>
                <w:bCs w:val="false"/>
              </w:rPr>
              <w:t xml:space="preserve">The single designated contact for this RFP. If several are listed, choose the one questions must be directed to; put any others in the quote.</w:t>
            </w:r>
          </w:p>
        </w:tc>
      </w:tr>
      <w:tr>
        <w:tc>
          <w:tcPr>
            <w:tcW w:type="dxa" w:w="500"/>
          </w:tcPr>
          <w:p>
            <w:r>
              <w:rPr>
                <w:b w:val="false"/>
                <w:bCs w:val="false"/>
              </w:rPr>
              <w:t xml:space="preserve">4</w:t>
            </w:r>
          </w:p>
        </w:tc>
        <w:tc>
          <w:tcPr>
            <w:tcW w:type="dxa" w:w="2600"/>
          </w:tcPr>
          <w:p>
            <w:r>
              <w:rPr>
                <w:b w:val="false"/>
                <w:bCs w:val="false"/>
              </w:rPr>
              <w:t xml:space="preserve">Submission Method / Portal</w:t>
            </w:r>
          </w:p>
        </w:tc>
        <w:tc>
          <w:tcPr>
            <w:tcW w:type="dxa" w:w="1000"/>
          </w:tcPr>
          <w:p>
            <w:r>
              <w:rPr>
                <w:b w:val="false"/>
                <w:bCs w:val="false"/>
              </w:rPr>
              <w:t xml:space="preserve">text</w:t>
            </w:r>
          </w:p>
        </w:tc>
        <w:tc>
          <w:tcPr>
            <w:tcW w:type="dxa" w:w="1100"/>
            <w:shd w:fill="E2EFDA" w:val="clear"/>
          </w:tcPr>
          <w:p>
            <w:r>
              <w:rPr>
                <w:b w:val="false"/>
                <w:bCs w:val="false"/>
              </w:rPr>
              <w:t xml:space="preserve">easy</w:t>
            </w:r>
          </w:p>
        </w:tc>
        <w:tc>
          <w:tcPr>
            <w:tcW w:type="dxa" w:w="4200"/>
          </w:tcPr>
          <w:p>
            <w:r>
              <w:rPr>
                <w:b w:val="false"/>
                <w:bCs w:val="false"/>
              </w:rPr>
              <w:t xml:space="preserve">How proposals must be delivered: named e-procurement portal (give the portal name and URL), email address, or physical delivery address.</w:t>
            </w:r>
          </w:p>
        </w:tc>
      </w:tr>
      <w:tr>
        <w:tc>
          <w:tcPr>
            <w:tcW w:type="dxa" w:w="500"/>
          </w:tcPr>
          <w:p>
            <w:r>
              <w:rPr>
                <w:b w:val="false"/>
                <w:bCs w:val="false"/>
              </w:rPr>
              <w:t xml:space="preserve">5</w:t>
            </w:r>
          </w:p>
        </w:tc>
        <w:tc>
          <w:tcPr>
            <w:tcW w:type="dxa" w:w="2600"/>
          </w:tcPr>
          <w:p>
            <w:r>
              <w:rPr>
                <w:b w:val="false"/>
                <w:bCs w:val="false"/>
              </w:rPr>
              <w:t xml:space="preserve">Contract Term / Duration (including renewal options)</w:t>
            </w:r>
          </w:p>
        </w:tc>
        <w:tc>
          <w:tcPr>
            <w:tcW w:type="dxa" w:w="1000"/>
          </w:tcPr>
          <w:p>
            <w:r>
              <w:rPr>
                <w:b w:val="false"/>
                <w:bCs w:val="false"/>
              </w:rPr>
              <w:t xml:space="preserve">text</w:t>
            </w:r>
          </w:p>
        </w:tc>
        <w:tc>
          <w:tcPr>
            <w:tcW w:type="dxa" w:w="1100"/>
            <w:shd w:fill="FCE4D6" w:val="clear"/>
          </w:tcPr>
          <w:p>
            <w:r>
              <w:rPr>
                <w:b w:val="false"/>
                <w:bCs w:val="false"/>
              </w:rPr>
              <w:t xml:space="preserve">hard</w:t>
            </w:r>
          </w:p>
        </w:tc>
        <w:tc>
          <w:tcPr>
            <w:tcW w:type="dxa" w:w="4200"/>
          </w:tcPr>
          <w:p>
            <w:r>
              <w:rPr>
                <w:b w:val="false"/>
                <w:bCs w:val="false"/>
              </w:rPr>
              <w:t xml:space="preserve">Base duration plus any renewal/extension options, e.g. '3 years with two optional 1-year renewals'. Capture both parts.</w:t>
            </w:r>
          </w:p>
        </w:tc>
      </w:tr>
      <w:tr>
        <w:tc>
          <w:tcPr>
            <w:tcW w:type="dxa" w:w="500"/>
          </w:tcPr>
          <w:p>
            <w:r>
              <w:rPr>
                <w:b w:val="false"/>
                <w:bCs w:val="false"/>
              </w:rPr>
              <w:t xml:space="preserve">6</w:t>
            </w:r>
          </w:p>
        </w:tc>
        <w:tc>
          <w:tcPr>
            <w:tcW w:type="dxa" w:w="2600"/>
          </w:tcPr>
          <w:p>
            <w:r>
              <w:rPr>
                <w:b w:val="false"/>
                <w:bCs w:val="false"/>
              </w:rPr>
              <w:t xml:space="preserve">Scope of Deliverables / Services Requested</w:t>
            </w:r>
          </w:p>
        </w:tc>
        <w:tc>
          <w:tcPr>
            <w:tcW w:type="dxa" w:w="1000"/>
          </w:tcPr>
          <w:p>
            <w:r>
              <w:rPr>
                <w:b w:val="false"/>
                <w:bCs w:val="false"/>
              </w:rPr>
              <w:t xml:space="preserve">text</w:t>
            </w:r>
          </w:p>
        </w:tc>
        <w:tc>
          <w:tcPr>
            <w:tcW w:type="dxa" w:w="1100"/>
            <w:shd w:fill="FFF2CC" w:val="clear"/>
          </w:tcPr>
          <w:p>
            <w:r>
              <w:rPr>
                <w:b w:val="false"/>
                <w:bCs w:val="false"/>
              </w:rPr>
              <w:t xml:space="preserve">medium</w:t>
            </w:r>
          </w:p>
        </w:tc>
        <w:tc>
          <w:tcPr>
            <w:tcW w:type="dxa" w:w="4200"/>
          </w:tcPr>
          <w:p>
            <w:r>
              <w:rPr>
                <w:b w:val="false"/>
                <w:bCs w:val="false"/>
              </w:rPr>
              <w:t xml:space="preserve">Summarise what is being bought in 1-3 sentences and cite the section heading and page. Do not paste pages of prose.</w:t>
            </w:r>
          </w:p>
        </w:tc>
      </w:tr>
      <w:tr>
        <w:tc>
          <w:tcPr>
            <w:tcW w:type="dxa" w:w="500"/>
          </w:tcPr>
          <w:p>
            <w:r>
              <w:rPr>
                <w:b w:val="false"/>
                <w:bCs w:val="false"/>
              </w:rPr>
              <w:t xml:space="preserve">7</w:t>
            </w:r>
          </w:p>
        </w:tc>
        <w:tc>
          <w:tcPr>
            <w:tcW w:type="dxa" w:w="2600"/>
          </w:tcPr>
          <w:p>
            <w:r>
              <w:rPr>
                <w:b w:val="false"/>
                <w:bCs w:val="false"/>
              </w:rPr>
              <w:t xml:space="preserve">Mandatory Submission Requirements</w:t>
            </w:r>
          </w:p>
        </w:tc>
        <w:tc>
          <w:tcPr>
            <w:tcW w:type="dxa" w:w="1000"/>
          </w:tcPr>
          <w:p>
            <w:r>
              <w:rPr>
                <w:b w:val="false"/>
                <w:bCs w:val="false"/>
              </w:rPr>
              <w:t xml:space="preserve">list</w:t>
            </w:r>
          </w:p>
        </w:tc>
        <w:tc>
          <w:tcPr>
            <w:tcW w:type="dxa" w:w="1100"/>
            <w:shd w:fill="FCE4D6" w:val="clear"/>
          </w:tcPr>
          <w:p>
            <w:r>
              <w:rPr>
                <w:b w:val="false"/>
                <w:bCs w:val="false"/>
              </w:rPr>
              <w:t xml:space="preserve">hard</w:t>
            </w:r>
          </w:p>
        </w:tc>
        <w:tc>
          <w:tcPr>
            <w:tcW w:type="dxa" w:w="4200"/>
          </w:tcPr>
          <w:p>
            <w:r>
              <w:rPr>
                <w:b w:val="false"/>
                <w:bCs w:val="false"/>
              </w:rPr>
              <w:t xml:space="preserve">Items a proposal must contain to be considered (forms, signed attestations, page limits, formatting). One list item per requirement.</w:t>
            </w:r>
          </w:p>
        </w:tc>
      </w:tr>
      <w:tr>
        <w:tc>
          <w:tcPr>
            <w:tcW w:type="dxa" w:w="500"/>
          </w:tcPr>
          <w:p>
            <w:r>
              <w:rPr>
                <w:b w:val="false"/>
                <w:bCs w:val="false"/>
              </w:rPr>
              <w:t xml:space="preserve">8</w:t>
            </w:r>
          </w:p>
        </w:tc>
        <w:tc>
          <w:tcPr>
            <w:tcW w:type="dxa" w:w="2600"/>
          </w:tcPr>
          <w:p>
            <w:r>
              <w:rPr>
                <w:b w:val="false"/>
                <w:bCs w:val="false"/>
              </w:rPr>
              <w:t xml:space="preserve">Mandatory Technical Requirements</w:t>
            </w:r>
          </w:p>
        </w:tc>
        <w:tc>
          <w:tcPr>
            <w:tcW w:type="dxa" w:w="1000"/>
          </w:tcPr>
          <w:p>
            <w:r>
              <w:rPr>
                <w:b w:val="false"/>
                <w:bCs w:val="false"/>
              </w:rPr>
              <w:t xml:space="preserve">list</w:t>
            </w:r>
          </w:p>
        </w:tc>
        <w:tc>
          <w:tcPr>
            <w:tcW w:type="dxa" w:w="1100"/>
            <w:shd w:fill="FCE4D6" w:val="clear"/>
          </w:tcPr>
          <w:p>
            <w:r>
              <w:rPr>
                <w:b w:val="false"/>
                <w:bCs w:val="false"/>
              </w:rPr>
              <w:t xml:space="preserve">hard</w:t>
            </w:r>
          </w:p>
        </w:tc>
        <w:tc>
          <w:tcPr>
            <w:tcW w:type="dxa" w:w="4200"/>
          </w:tcPr>
          <w:p>
            <w:r>
              <w:rPr>
                <w:b w:val="false"/>
                <w:bCs w:val="false"/>
              </w:rPr>
              <w:t xml:space="preserve">Technical capabilities the solution must have (as opposed to paperwork the proposal must contain). One list item per requirement.</w:t>
            </w:r>
          </w:p>
        </w:tc>
      </w:tr>
      <w:tr>
        <w:tc>
          <w:tcPr>
            <w:tcW w:type="dxa" w:w="500"/>
          </w:tcPr>
          <w:p>
            <w:r>
              <w:rPr>
                <w:b w:val="false"/>
                <w:bCs w:val="false"/>
              </w:rPr>
              <w:t xml:space="preserve">9</w:t>
            </w:r>
          </w:p>
        </w:tc>
        <w:tc>
          <w:tcPr>
            <w:tcW w:type="dxa" w:w="2600"/>
          </w:tcPr>
          <w:p>
            <w:r>
              <w:rPr>
                <w:b w:val="false"/>
                <w:bCs w:val="false"/>
              </w:rPr>
              <w:t xml:space="preserve">Evaluation Criteria &amp; Weighting</w:t>
            </w:r>
          </w:p>
        </w:tc>
        <w:tc>
          <w:tcPr>
            <w:tcW w:type="dxa" w:w="1000"/>
          </w:tcPr>
          <w:p>
            <w:r>
              <w:rPr>
                <w:b w:val="false"/>
                <w:bCs w:val="false"/>
              </w:rPr>
              <w:t xml:space="preserve">table</w:t>
            </w:r>
          </w:p>
        </w:tc>
        <w:tc>
          <w:tcPr>
            <w:tcW w:type="dxa" w:w="1100"/>
            <w:shd w:fill="FFF2CC" w:val="clear"/>
          </w:tcPr>
          <w:p>
            <w:r>
              <w:rPr>
                <w:b w:val="false"/>
                <w:bCs w:val="false"/>
              </w:rPr>
              <w:t xml:space="preserve">medium</w:t>
            </w:r>
          </w:p>
        </w:tc>
        <w:tc>
          <w:tcPr>
            <w:tcW w:type="dxa" w:w="4200"/>
          </w:tcPr>
          <w:p>
            <w:r>
              <w:rPr>
                <w:b w:val="false"/>
                <w:bCs w:val="false"/>
              </w:rPr>
              <w:t xml:space="preserve">One row per scored category with its points or percentage. Preserve the RFP's own category names. If subcategories are scored, list the subcategories.</w:t>
            </w:r>
          </w:p>
        </w:tc>
      </w:tr>
      <w:tr>
        <w:tc>
          <w:tcPr>
            <w:tcW w:type="dxa" w:w="500"/>
          </w:tcPr>
          <w:p>
            <w:r>
              <w:rPr>
                <w:b w:val="false"/>
                <w:bCs w:val="false"/>
              </w:rPr>
              <w:t xml:space="preserve">10</w:t>
            </w:r>
          </w:p>
        </w:tc>
        <w:tc>
          <w:tcPr>
            <w:tcW w:type="dxa" w:w="2600"/>
          </w:tcPr>
          <w:p>
            <w:r>
              <w:rPr>
                <w:b w:val="false"/>
                <w:bCs w:val="false"/>
              </w:rPr>
              <w:t xml:space="preserve">Minimum Score Threshold to Advance</w:t>
            </w:r>
          </w:p>
        </w:tc>
        <w:tc>
          <w:tcPr>
            <w:tcW w:type="dxa" w:w="1000"/>
          </w:tcPr>
          <w:p>
            <w:r>
              <w:rPr>
                <w:b w:val="false"/>
                <w:bCs w:val="false"/>
              </w:rPr>
              <w:t xml:space="preserve">number</w:t>
            </w:r>
          </w:p>
        </w:tc>
        <w:tc>
          <w:tcPr>
            <w:tcW w:type="dxa" w:w="1100"/>
            <w:shd w:fill="FCE4D6" w:val="clear"/>
          </w:tcPr>
          <w:p>
            <w:r>
              <w:rPr>
                <w:b w:val="false"/>
                <w:bCs w:val="false"/>
              </w:rPr>
              <w:t xml:space="preserve">hard</w:t>
            </w:r>
          </w:p>
        </w:tc>
        <w:tc>
          <w:tcPr>
            <w:tcW w:type="dxa" w:w="4200"/>
          </w:tcPr>
          <w:p>
            <w:r>
              <w:rPr>
                <w:b w:val="false"/>
                <w:bCs w:val="false"/>
              </w:rPr>
              <w:t xml:space="preserve">A pass/fail cutoff to proceed to the next stage, e.g. '70 of 100 points'. Only record when an explicit cutoff is stated; absent is common.</w:t>
            </w:r>
          </w:p>
        </w:tc>
      </w:tr>
      <w:tr>
        <w:tc>
          <w:tcPr>
            <w:tcW w:type="dxa" w:w="500"/>
          </w:tcPr>
          <w:p>
            <w:r>
              <w:rPr>
                <w:b w:val="false"/>
                <w:bCs w:val="false"/>
              </w:rPr>
              <w:t xml:space="preserve">11</w:t>
            </w:r>
          </w:p>
        </w:tc>
        <w:tc>
          <w:tcPr>
            <w:tcW w:type="dxa" w:w="2600"/>
          </w:tcPr>
          <w:p>
            <w:r>
              <w:rPr>
                <w:b w:val="false"/>
                <w:bCs w:val="false"/>
              </w:rPr>
              <w:t xml:space="preserve">Pricing Structure / Cost Submission Requirements</w:t>
            </w:r>
          </w:p>
        </w:tc>
        <w:tc>
          <w:tcPr>
            <w:tcW w:type="dxa" w:w="1000"/>
          </w:tcPr>
          <w:p>
            <w:r>
              <w:rPr>
                <w:b w:val="false"/>
                <w:bCs w:val="false"/>
              </w:rPr>
              <w:t xml:space="preserve">text</w:t>
            </w:r>
          </w:p>
        </w:tc>
        <w:tc>
          <w:tcPr>
            <w:tcW w:type="dxa" w:w="1100"/>
            <w:shd w:fill="FFF2CC" w:val="clear"/>
          </w:tcPr>
          <w:p>
            <w:r>
              <w:rPr>
                <w:b w:val="false"/>
                <w:bCs w:val="false"/>
              </w:rPr>
              <w:t xml:space="preserve">medium</w:t>
            </w:r>
          </w:p>
        </w:tc>
        <w:tc>
          <w:tcPr>
            <w:tcW w:type="dxa" w:w="4200"/>
          </w:tcPr>
          <w:p>
            <w:r>
              <w:rPr>
                <w:b w:val="false"/>
                <w:bCs w:val="false"/>
              </w:rPr>
              <w:t xml:space="preserve">How pricing must be presented: required form/schedule, fixed-price vs T&amp;M, whether cost is submitted separately from the technical proposal.</w:t>
            </w:r>
          </w:p>
        </w:tc>
      </w:tr>
      <w:tr>
        <w:tc>
          <w:tcPr>
            <w:tcW w:type="dxa" w:w="500"/>
          </w:tcPr>
          <w:p>
            <w:r>
              <w:rPr>
                <w:b w:val="false"/>
                <w:bCs w:val="false"/>
              </w:rPr>
              <w:t xml:space="preserve">12</w:t>
            </w:r>
          </w:p>
        </w:tc>
        <w:tc>
          <w:tcPr>
            <w:tcW w:type="dxa" w:w="2600"/>
          </w:tcPr>
          <w:p>
            <w:r>
              <w:rPr>
                <w:b w:val="false"/>
                <w:bCs w:val="false"/>
              </w:rPr>
              <w:t xml:space="preserve">Minimum Insurance Coverage Requirements</w:t>
            </w:r>
          </w:p>
        </w:tc>
        <w:tc>
          <w:tcPr>
            <w:tcW w:type="dxa" w:w="1000"/>
          </w:tcPr>
          <w:p>
            <w:r>
              <w:rPr>
                <w:b w:val="false"/>
                <w:bCs w:val="false"/>
              </w:rPr>
              <w:t xml:space="preserve">table</w:t>
            </w:r>
          </w:p>
        </w:tc>
        <w:tc>
          <w:tcPr>
            <w:tcW w:type="dxa" w:w="1100"/>
            <w:shd w:fill="E2EFDA" w:val="clear"/>
          </w:tcPr>
          <w:p>
            <w:r>
              <w:rPr>
                <w:b w:val="false"/>
                <w:bCs w:val="false"/>
              </w:rPr>
              <w:t xml:space="preserve">easy</w:t>
            </w:r>
          </w:p>
        </w:tc>
        <w:tc>
          <w:tcPr>
            <w:tcW w:type="dxa" w:w="4200"/>
          </w:tcPr>
          <w:p>
            <w:r>
              <w:rPr>
                <w:b w:val="false"/>
                <w:bCs w:val="false"/>
              </w:rPr>
              <w:t xml:space="preserve">One row per coverage type with its minimum dollar amount, e.g. 'General Liability, 2,000,000 USD per occurrence'.</w:t>
            </w:r>
          </w:p>
        </w:tc>
      </w:tr>
      <w:tr>
        <w:tc>
          <w:tcPr>
            <w:tcW w:type="dxa" w:w="500"/>
          </w:tcPr>
          <w:p>
            <w:r>
              <w:rPr>
                <w:b w:val="false"/>
                <w:bCs w:val="false"/>
              </w:rPr>
              <w:t xml:space="preserve">13</w:t>
            </w:r>
          </w:p>
        </w:tc>
        <w:tc>
          <w:tcPr>
            <w:tcW w:type="dxa" w:w="2600"/>
          </w:tcPr>
          <w:p>
            <w:r>
              <w:rPr>
                <w:b w:val="false"/>
                <w:bCs w:val="false"/>
              </w:rPr>
              <w:t xml:space="preserve">Required Vendor Experience / Qualifications</w:t>
            </w:r>
          </w:p>
        </w:tc>
        <w:tc>
          <w:tcPr>
            <w:tcW w:type="dxa" w:w="1000"/>
          </w:tcPr>
          <w:p>
            <w:r>
              <w:rPr>
                <w:b w:val="false"/>
                <w:bCs w:val="false"/>
              </w:rPr>
              <w:t xml:space="preserve">text</w:t>
            </w:r>
          </w:p>
        </w:tc>
        <w:tc>
          <w:tcPr>
            <w:tcW w:type="dxa" w:w="1100"/>
            <w:shd w:fill="FCE4D6" w:val="clear"/>
          </w:tcPr>
          <w:p>
            <w:r>
              <w:rPr>
                <w:b w:val="false"/>
                <w:bCs w:val="false"/>
              </w:rPr>
              <w:t xml:space="preserve">hard</w:t>
            </w:r>
          </w:p>
        </w:tc>
        <w:tc>
          <w:tcPr>
            <w:tcW w:type="dxa" w:w="4200"/>
          </w:tcPr>
          <w:p>
            <w:r>
              <w:rPr>
                <w:b w:val="false"/>
                <w:bCs w:val="false"/>
              </w:rPr>
              <w:t xml:space="preserve">Minimum qualifying experience, typically a number of years and a domain, plus required certifications or licences.</w:t>
            </w:r>
          </w:p>
        </w:tc>
      </w:tr>
      <w:tr>
        <w:tc>
          <w:tcPr>
            <w:tcW w:type="dxa" w:w="500"/>
          </w:tcPr>
          <w:p>
            <w:r>
              <w:rPr>
                <w:b w:val="false"/>
                <w:bCs w:val="false"/>
              </w:rPr>
              <w:t xml:space="preserve">14</w:t>
            </w:r>
          </w:p>
        </w:tc>
        <w:tc>
          <w:tcPr>
            <w:tcW w:type="dxa" w:w="2600"/>
          </w:tcPr>
          <w:p>
            <w:r>
              <w:rPr>
                <w:b w:val="false"/>
                <w:bCs w:val="false"/>
              </w:rPr>
              <w:t xml:space="preserve">Number of References Required</w:t>
            </w:r>
          </w:p>
        </w:tc>
        <w:tc>
          <w:tcPr>
            <w:tcW w:type="dxa" w:w="1000"/>
          </w:tcPr>
          <w:p>
            <w:r>
              <w:rPr>
                <w:b w:val="false"/>
                <w:bCs w:val="false"/>
              </w:rPr>
              <w:t xml:space="preserve">number</w:t>
            </w:r>
          </w:p>
        </w:tc>
        <w:tc>
          <w:tcPr>
            <w:tcW w:type="dxa" w:w="1100"/>
            <w:shd w:fill="E2EFDA" w:val="clear"/>
          </w:tcPr>
          <w:p>
            <w:r>
              <w:rPr>
                <w:b w:val="false"/>
                <w:bCs w:val="false"/>
              </w:rPr>
              <w:t xml:space="preserve">easy</w:t>
            </w:r>
          </w:p>
        </w:tc>
        <w:tc>
          <w:tcPr>
            <w:tcW w:type="dxa" w:w="4200"/>
          </w:tcPr>
          <w:p>
            <w:r>
              <w:rPr>
                <w:b w:val="false"/>
                <w:bCs w:val="false"/>
              </w:rPr>
              <w:t xml:space="preserve">The count of references required. Record the number only; the type of reference goes in the quote.</w:t>
            </w:r>
          </w:p>
        </w:tc>
      </w:tr>
      <w:tr>
        <w:tc>
          <w:tcPr>
            <w:tcW w:type="dxa" w:w="500"/>
          </w:tcPr>
          <w:p>
            <w:r>
              <w:rPr>
                <w:b w:val="false"/>
                <w:bCs w:val="false"/>
              </w:rPr>
              <w:t xml:space="preserve">15</w:t>
            </w:r>
          </w:p>
        </w:tc>
        <w:tc>
          <w:tcPr>
            <w:tcW w:type="dxa" w:w="2600"/>
          </w:tcPr>
          <w:p>
            <w:r>
              <w:rPr>
                <w:b w:val="false"/>
                <w:bCs w:val="false"/>
              </w:rPr>
              <w:t xml:space="preserve">Data Security / Privacy Compliance Requirements</w:t>
            </w:r>
          </w:p>
        </w:tc>
        <w:tc>
          <w:tcPr>
            <w:tcW w:type="dxa" w:w="1000"/>
          </w:tcPr>
          <w:p>
            <w:r>
              <w:rPr>
                <w:b w:val="false"/>
                <w:bCs w:val="false"/>
              </w:rPr>
              <w:t xml:space="preserve">list</w:t>
            </w:r>
          </w:p>
        </w:tc>
        <w:tc>
          <w:tcPr>
            <w:tcW w:type="dxa" w:w="1100"/>
            <w:shd w:fill="FCE4D6" w:val="clear"/>
          </w:tcPr>
          <w:p>
            <w:r>
              <w:rPr>
                <w:b w:val="false"/>
                <w:bCs w:val="false"/>
              </w:rPr>
              <w:t xml:space="preserve">hard</w:t>
            </w:r>
          </w:p>
        </w:tc>
        <w:tc>
          <w:tcPr>
            <w:tcW w:type="dxa" w:w="4200"/>
          </w:tcPr>
          <w:p>
            <w:r>
              <w:rPr>
                <w:b w:val="false"/>
                <w:bCs w:val="false"/>
              </w:rPr>
              <w:t xml:space="preserve">Named standards/frameworks and concrete obligations (encryption, breach notification windows, audits). One list item each.</w:t>
            </w:r>
          </w:p>
        </w:tc>
      </w:tr>
      <w:tr>
        <w:tc>
          <w:tcPr>
            <w:tcW w:type="dxa" w:w="500"/>
          </w:tcPr>
          <w:p>
            <w:r>
              <w:rPr>
                <w:b w:val="false"/>
                <w:bCs w:val="false"/>
              </w:rPr>
              <w:t xml:space="preserve">16</w:t>
            </w:r>
          </w:p>
        </w:tc>
        <w:tc>
          <w:tcPr>
            <w:tcW w:type="dxa" w:w="2600"/>
          </w:tcPr>
          <w:p>
            <w:r>
              <w:rPr>
                <w:b w:val="false"/>
                <w:bCs w:val="false"/>
              </w:rPr>
              <w:t xml:space="preserve">Data Hosting / Residency Requirements</w:t>
            </w:r>
          </w:p>
        </w:tc>
        <w:tc>
          <w:tcPr>
            <w:tcW w:type="dxa" w:w="1000"/>
          </w:tcPr>
          <w:p>
            <w:r>
              <w:rPr>
                <w:b w:val="false"/>
                <w:bCs w:val="false"/>
              </w:rPr>
              <w:t xml:space="preserve">text</w:t>
            </w:r>
          </w:p>
        </w:tc>
        <w:tc>
          <w:tcPr>
            <w:tcW w:type="dxa" w:w="1100"/>
            <w:shd w:fill="FCE4D6" w:val="clear"/>
          </w:tcPr>
          <w:p>
            <w:r>
              <w:rPr>
                <w:b w:val="false"/>
                <w:bCs w:val="false"/>
              </w:rPr>
              <w:t xml:space="preserve">hard</w:t>
            </w:r>
          </w:p>
        </w:tc>
        <w:tc>
          <w:tcPr>
            <w:tcW w:type="dxa" w:w="4200"/>
          </w:tcPr>
          <w:p>
            <w:r>
              <w:rPr>
                <w:b w:val="false"/>
                <w:bCs w:val="false"/>
              </w:rPr>
              <w:t xml:space="preserve">Where data must physically live or be processed, e.g. 'data must remain within the United States'. Only when explicitly specified.</w:t>
            </w:r>
          </w:p>
        </w:tc>
      </w:tr>
      <w:tr>
        <w:tc>
          <w:tcPr>
            <w:tcW w:type="dxa" w:w="500"/>
          </w:tcPr>
          <w:p>
            <w:r>
              <w:rPr>
                <w:b w:val="false"/>
                <w:bCs w:val="false"/>
              </w:rPr>
              <w:t xml:space="preserve">17</w:t>
            </w:r>
          </w:p>
        </w:tc>
        <w:tc>
          <w:tcPr>
            <w:tcW w:type="dxa" w:w="2600"/>
          </w:tcPr>
          <w:p>
            <w:r>
              <w:rPr>
                <w:b w:val="false"/>
                <w:bCs w:val="false"/>
              </w:rPr>
              <w:t xml:space="preserve">Vendor Demonstration Requirement</w:t>
            </w:r>
          </w:p>
        </w:tc>
        <w:tc>
          <w:tcPr>
            <w:tcW w:type="dxa" w:w="1000"/>
          </w:tcPr>
          <w:p>
            <w:r>
              <w:rPr>
                <w:b w:val="false"/>
                <w:bCs w:val="false"/>
              </w:rPr>
              <w:t xml:space="preserve">boolean</w:t>
            </w:r>
          </w:p>
        </w:tc>
        <w:tc>
          <w:tcPr>
            <w:tcW w:type="dxa" w:w="1100"/>
            <w:shd w:fill="E2EFDA" w:val="clear"/>
          </w:tcPr>
          <w:p>
            <w:r>
              <w:rPr>
                <w:b w:val="false"/>
                <w:bCs w:val="false"/>
              </w:rPr>
              <w:t xml:space="preserve">easy</w:t>
            </w:r>
          </w:p>
        </w:tc>
        <w:tc>
          <w:tcPr>
            <w:tcW w:type="dxa" w:w="4200"/>
          </w:tcPr>
          <w:p>
            <w:r>
              <w:rPr>
                <w:b w:val="false"/>
                <w:bCs w:val="false"/>
              </w:rPr>
              <w:t xml:space="preserve">True if a demo/presentation may be required of vendors or finalists. Put the conditions and timing in the quote.</w:t>
            </w:r>
          </w:p>
        </w:tc>
      </w:tr>
    </w:tbl>
    <w:p>
      <w:pPr>
        <w:pStyle w:val="Heading1"/>
        <w:spacing w:after="140" w:before="280"/>
      </w:pPr>
      <w:r>
        <w:t xml:space="preserve">2. Groundedness — is every answer backed by a real quote?</w:t>
      </w:r>
    </w:p>
    <w:p>
      <w:pPr>
        <w:spacing w:after="120"/>
      </w:pPr>
      <w:r>
        <w:rPr>
          <w:sz w:val="20"/>
          <w:szCs w:val="20"/>
        </w:rPr>
        <w:t xml:space="preserve">Before any answer is checked against ground truth, every field a model marks “present” is verified mechanically: does its quote actually appear in the source PDF? This catches fabrication independent of whether the value itself is correct, and it required no hand labeling to compute — it ran across all 6 documents in the corpus for all three models.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100"/>
        <w:gridCol w:w="1000"/>
        <w:gridCol w:w="1400"/>
        <w:gridCol w:w="1400"/>
        <w:gridCol w:w="1200"/>
        <w:gridCol w:w="1000"/>
      </w:tblGrid>
      <w:tr>
        <w:trPr>
          <w:tblHeader/>
        </w:trPr>
        <w:tc>
          <w:tcPr>
            <w:tcW w:type="dxa" w:w="2400"/>
            <w:shd w:fill="D9D9D9" w:val="clear"/>
          </w:tcPr>
          <w:p>
            <w:r>
              <w:rPr>
                <w:b/>
                <w:bCs/>
              </w:rPr>
              <w:t xml:space="preserve">Model</w:t>
            </w:r>
          </w:p>
        </w:tc>
        <w:tc>
          <w:tcPr>
            <w:tcW w:type="dxa" w:w="900"/>
            <w:shd w:fill="D9D9D9" w:val="clear"/>
          </w:tcPr>
          <w:p>
            <w:r>
              <w:rPr>
                <w:b/>
                <w:bCs/>
              </w:rPr>
              <w:t xml:space="preserve">Docs</w:t>
            </w:r>
          </w:p>
        </w:tc>
        <w:tc>
          <w:tcPr>
            <w:tcW w:type="dxa" w:w="1100"/>
            <w:shd w:fill="D9D9D9" w:val="clear"/>
          </w:tcPr>
          <w:p>
            <w:r>
              <w:rPr>
                <w:b/>
                <w:bCs/>
              </w:rPr>
              <w:t xml:space="preserve">Present</w:t>
            </w:r>
          </w:p>
        </w:tc>
        <w:tc>
          <w:tcPr>
            <w:tcW w:type="dxa" w:w="1000"/>
            <w:shd w:fill="D9D9D9" w:val="clear"/>
          </w:tcPr>
          <w:p>
            <w:r>
              <w:rPr>
                <w:b/>
                <w:bCs/>
              </w:rPr>
              <w:t xml:space="preserve">Absent</w:t>
            </w:r>
          </w:p>
        </w:tc>
        <w:tc>
          <w:tcPr>
            <w:tcW w:type="dxa" w:w="1400"/>
            <w:shd w:fill="D9D9D9" w:val="clear"/>
          </w:tcPr>
          <w:p>
            <w:r>
              <w:rPr>
                <w:b/>
                <w:bCs/>
              </w:rPr>
              <w:t xml:space="preserve">Groundedness</w:t>
            </w:r>
          </w:p>
        </w:tc>
        <w:tc>
          <w:tcPr>
            <w:tcW w:type="dxa" w:w="1400"/>
            <w:shd w:fill="D9D9D9" w:val="clear"/>
          </w:tcPr>
          <w:p>
            <w:r>
              <w:rPr>
                <w:b/>
                <w:bCs/>
              </w:rPr>
              <w:t xml:space="preserve">Hallucination</w:t>
            </w:r>
          </w:p>
        </w:tc>
        <w:tc>
          <w:tcPr>
            <w:tcW w:type="dxa" w:w="1200"/>
            <w:shd w:fill="D9D9D9" w:val="clear"/>
          </w:tcPr>
          <w:p>
            <w:r>
              <w:rPr>
                <w:b/>
                <w:bCs/>
              </w:rPr>
              <w:t xml:space="preserve">Cost (USD)</w:t>
            </w:r>
          </w:p>
        </w:tc>
        <w:tc>
          <w:tcPr>
            <w:tcW w:type="dxa" w:w="1000"/>
            <w:shd w:fill="D9D9D9" w:val="clear"/>
          </w:tcPr>
          <w:p>
            <w:r>
              <w:rPr>
                <w:b/>
                <w:bCs/>
              </w:rPr>
              <w:t xml:space="preserve">Sec / doc</w:t>
            </w:r>
          </w:p>
        </w:tc>
      </w:tr>
      <w:tr>
        <w:tc>
          <w:tcPr>
            <w:tcW w:type="dxa" w:w="2400"/>
          </w:tcPr>
          <w:p>
            <w:r>
              <w:rPr>
                <w:b/>
                <w:bCs/>
              </w:rPr>
              <w:t xml:space="preserve">gpt-4o-text</w:t>
            </w:r>
          </w:p>
        </w:tc>
        <w:tc>
          <w:tcPr>
            <w:tcW w:type="dxa" w:w="900"/>
          </w:tcPr>
          <w:p>
            <w:r>
              <w:rPr>
                <w:b w:val="false"/>
                <w:bCs w:val="false"/>
              </w:rPr>
              <w:t xml:space="preserve">6</w:t>
            </w:r>
          </w:p>
        </w:tc>
        <w:tc>
          <w:tcPr>
            <w:tcW w:type="dxa" w:w="1100"/>
          </w:tcPr>
          <w:p>
            <w:r>
              <w:rPr>
                <w:b w:val="false"/>
                <w:bCs w:val="false"/>
              </w:rPr>
              <w:t xml:space="preserve">89</w:t>
            </w:r>
          </w:p>
        </w:tc>
        <w:tc>
          <w:tcPr>
            <w:tcW w:type="dxa" w:w="1000"/>
          </w:tcPr>
          <w:p>
            <w:r>
              <w:rPr>
                <w:b w:val="false"/>
                <w:bCs w:val="false"/>
              </w:rPr>
              <w:t xml:space="preserve">13</w:t>
            </w:r>
          </w:p>
        </w:tc>
        <w:tc>
          <w:tcPr>
            <w:tcW w:type="dxa" w:w="1400"/>
            <w:shd w:fill="C6EFCE" w:val="clear"/>
          </w:tcPr>
          <w:p>
            <w:r>
              <w:rPr>
                <w:b w:val="false"/>
                <w:bCs w:val="false"/>
              </w:rPr>
              <w:t xml:space="preserve">1.000</w:t>
            </w:r>
          </w:p>
        </w:tc>
        <w:tc>
          <w:tcPr>
            <w:tcW w:type="dxa" w:w="1400"/>
            <w:shd w:fill="C6EFCE" w:val="clear"/>
          </w:tcPr>
          <w:p>
            <w:r>
              <w:rPr>
                <w:b w:val="false"/>
                <w:bCs w:val="false"/>
              </w:rPr>
              <w:t xml:space="preserve">0.000</w:t>
            </w:r>
          </w:p>
        </w:tc>
        <w:tc>
          <w:tcPr>
            <w:tcW w:type="dxa" w:w="1200"/>
          </w:tcPr>
          <w:p>
            <w:r>
              <w:rPr>
                <w:b w:val="false"/>
                <w:bCs w:val="false"/>
              </w:rPr>
              <w:t xml:space="preserve">$0.511</w:t>
            </w:r>
          </w:p>
        </w:tc>
        <w:tc>
          <w:tcPr>
            <w:tcW w:type="dxa" w:w="1000"/>
          </w:tcPr>
          <w:p>
            <w:r>
              <w:rPr>
                <w:b w:val="false"/>
                <w:bCs w:val="false"/>
              </w:rPr>
              <w:t xml:space="preserve">45.7</w:t>
            </w:r>
          </w:p>
        </w:tc>
      </w:tr>
      <w:tr>
        <w:tc>
          <w:tcPr>
            <w:tcW w:type="dxa" w:w="2400"/>
          </w:tcPr>
          <w:p>
            <w:r>
              <w:rPr>
                <w:b/>
                <w:bCs/>
              </w:rPr>
              <w:t xml:space="preserve">llama-70b-text</w:t>
            </w:r>
          </w:p>
        </w:tc>
        <w:tc>
          <w:tcPr>
            <w:tcW w:type="dxa" w:w="900"/>
          </w:tcPr>
          <w:p>
            <w:r>
              <w:rPr>
                <w:b w:val="false"/>
                <w:bCs w:val="false"/>
              </w:rPr>
              <w:t xml:space="preserve">6</w:t>
            </w:r>
          </w:p>
        </w:tc>
        <w:tc>
          <w:tcPr>
            <w:tcW w:type="dxa" w:w="1100"/>
          </w:tcPr>
          <w:p>
            <w:r>
              <w:rPr>
                <w:b w:val="false"/>
                <w:bCs w:val="false"/>
              </w:rPr>
              <w:t xml:space="preserve">92</w:t>
            </w:r>
          </w:p>
        </w:tc>
        <w:tc>
          <w:tcPr>
            <w:tcW w:type="dxa" w:w="1000"/>
          </w:tcPr>
          <w:p>
            <w:r>
              <w:rPr>
                <w:b w:val="false"/>
                <w:bCs w:val="false"/>
              </w:rPr>
              <w:t xml:space="preserve">10</w:t>
            </w:r>
          </w:p>
        </w:tc>
        <w:tc>
          <w:tcPr>
            <w:tcW w:type="dxa" w:w="1400"/>
            <w:shd w:fill="C6EFCE" w:val="clear"/>
          </w:tcPr>
          <w:p>
            <w:r>
              <w:rPr>
                <w:b w:val="false"/>
                <w:bCs w:val="false"/>
              </w:rPr>
              <w:t xml:space="preserve">1.000</w:t>
            </w:r>
          </w:p>
        </w:tc>
        <w:tc>
          <w:tcPr>
            <w:tcW w:type="dxa" w:w="1400"/>
            <w:shd w:fill="C6EFCE" w:val="clear"/>
          </w:tcPr>
          <w:p>
            <w:r>
              <w:rPr>
                <w:b w:val="false"/>
                <w:bCs w:val="false"/>
              </w:rPr>
              <w:t xml:space="preserve">0.000</w:t>
            </w:r>
          </w:p>
        </w:tc>
        <w:tc>
          <w:tcPr>
            <w:tcW w:type="dxa" w:w="1200"/>
          </w:tcPr>
          <w:p>
            <w:r>
              <w:rPr>
                <w:b w:val="false"/>
                <w:bCs w:val="false"/>
              </w:rPr>
              <w:t xml:space="preserve">$0.00 (local)</w:t>
            </w:r>
          </w:p>
        </w:tc>
        <w:tc>
          <w:tcPr>
            <w:tcW w:type="dxa" w:w="1000"/>
          </w:tcPr>
          <w:p>
            <w:r>
              <w:rPr>
                <w:b w:val="false"/>
                <w:bCs w:val="false"/>
              </w:rPr>
              <w:t xml:space="preserve">170.1</w:t>
            </w:r>
          </w:p>
        </w:tc>
      </w:tr>
      <w:tr>
        <w:tc>
          <w:tcPr>
            <w:tcW w:type="dxa" w:w="2400"/>
          </w:tcPr>
          <w:p>
            <w:r>
              <w:rPr>
                <w:b/>
                <w:bCs/>
              </w:rPr>
              <w:t xml:space="preserve">qwen3-vl-32b-vision</w:t>
            </w:r>
          </w:p>
        </w:tc>
        <w:tc>
          <w:tcPr>
            <w:tcW w:type="dxa" w:w="900"/>
          </w:tcPr>
          <w:p>
            <w:r>
              <w:rPr>
                <w:b w:val="false"/>
                <w:bCs w:val="false"/>
              </w:rPr>
              <w:t xml:space="preserve">6</w:t>
            </w:r>
          </w:p>
        </w:tc>
        <w:tc>
          <w:tcPr>
            <w:tcW w:type="dxa" w:w="1100"/>
          </w:tcPr>
          <w:p>
            <w:r>
              <w:rPr>
                <w:b w:val="false"/>
                <w:bCs w:val="false"/>
              </w:rPr>
              <w:t xml:space="preserve">90</w:t>
            </w:r>
          </w:p>
        </w:tc>
        <w:tc>
          <w:tcPr>
            <w:tcW w:type="dxa" w:w="1000"/>
          </w:tcPr>
          <w:p>
            <w:r>
              <w:rPr>
                <w:b w:val="false"/>
                <w:bCs w:val="false"/>
              </w:rPr>
              <w:t xml:space="preserve">12</w:t>
            </w:r>
          </w:p>
        </w:tc>
        <w:tc>
          <w:tcPr>
            <w:tcW w:type="dxa" w:w="1400"/>
            <w:shd w:fill="C6EFCE" w:val="clear"/>
          </w:tcPr>
          <w:p>
            <w:r>
              <w:rPr>
                <w:b w:val="false"/>
                <w:bCs w:val="false"/>
              </w:rPr>
              <w:t xml:space="preserve">1.000</w:t>
            </w:r>
          </w:p>
        </w:tc>
        <w:tc>
          <w:tcPr>
            <w:tcW w:type="dxa" w:w="1400"/>
            <w:shd w:fill="C6EFCE" w:val="clear"/>
          </w:tcPr>
          <w:p>
            <w:r>
              <w:rPr>
                <w:b w:val="false"/>
                <w:bCs w:val="false"/>
              </w:rPr>
              <w:t xml:space="preserve">0.000</w:t>
            </w:r>
          </w:p>
        </w:tc>
        <w:tc>
          <w:tcPr>
            <w:tcW w:type="dxa" w:w="1200"/>
          </w:tcPr>
          <w:p>
            <w:r>
              <w:rPr>
                <w:b w:val="false"/>
                <w:bCs w:val="false"/>
              </w:rPr>
              <w:t xml:space="preserve">$0.00 (local)</w:t>
            </w:r>
          </w:p>
        </w:tc>
        <w:tc>
          <w:tcPr>
            <w:tcW w:type="dxa" w:w="1000"/>
          </w:tcPr>
          <w:p>
            <w:r>
              <w:rPr>
                <w:b w:val="false"/>
                <w:bCs w:val="false"/>
              </w:rPr>
              <w:t xml:space="preserve">202.2</w:t>
            </w:r>
          </w:p>
        </w:tc>
      </w:tr>
    </w:tbl>
    <w:p>
      <w:pPr>
        <w:spacing w:after="120"/>
      </w:pPr>
      <w:r>
        <w:rPr>
          <w:i/>
          <w:iCs/>
          <w:sz w:val="20"/>
          <w:szCs w:val="20"/>
        </w:rPr>
        <w:t xml:space="preserve">All three models reached perfect groundedness (1.000) with zero hallucinated quotes across 306 field-extractions (3 models × 6 documents × 17 fields). Every apparent hallucination encountered during development turned out to be a bug in the verification checker, never the model — documented in the project's rescore.py history.</w:t>
      </w:r>
    </w:p>
    <w:p>
      <w:pPr>
        <w:pStyle w:val="Heading1"/>
        <w:spacing w:after="140" w:before="280"/>
      </w:pPr>
      <w:r>
        <w:t xml:space="preserve">3. Accuracy against hand-written ground truth</w:t>
      </w:r>
    </w:p>
    <w:p>
      <w:pPr>
        <w:spacing w:after="120"/>
      </w:pPr>
      <w:r>
        <w:rPr>
          <w:sz w:val="20"/>
          <w:szCs w:val="20"/>
        </w:rPr>
        <w:t xml:space="preserve">Groundedness says a value is backed by real text; it says nothing about whether the value is correct. Ground truth was produced by reading the source RFP directly (“RFP CP-730126, Generative AI Software”, University of Saskatchewan, 33 pages) and hand-writing the correct answer for all 17 fields, with two deliberate absence traps and one deliberate hallucination trap built in. This is the only document graded against ground truth so far.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D9D9D9" w:val="clear"/>
          </w:tcPr>
          <w:p>
            <w:r>
              <w:rPr>
                <w:b/>
                <w:bCs/>
              </w:rPr>
              <w:t xml:space="preserve">Model</w:t>
            </w:r>
          </w:p>
        </w:tc>
        <w:tc>
          <w:tcPr>
            <w:tcW w:type="dxa" w:w="3000"/>
            <w:shd w:fill="D9D9D9" w:val="clear"/>
          </w:tcPr>
          <w:p>
            <w:r>
              <w:rPr>
                <w:b/>
                <w:bCs/>
              </w:rPr>
              <w:t xml:space="preserve">Accuracy vs. ground truth</w:t>
            </w:r>
          </w:p>
        </w:tc>
      </w:tr>
      <w:tr>
        <w:tc>
          <w:tcPr>
            <w:tcW w:type="dxa" w:w="3000"/>
          </w:tcPr>
          <w:p>
            <w:r>
              <w:rPr>
                <w:b/>
                <w:bCs/>
              </w:rPr>
              <w:t xml:space="preserve">gpt-4o-text</w:t>
            </w:r>
          </w:p>
        </w:tc>
        <w:tc>
          <w:tcPr>
            <w:tcW w:type="dxa" w:w="3000"/>
            <w:shd w:fill="C6EFCE" w:val="clear"/>
          </w:tcPr>
          <w:p>
            <w:r>
              <w:rPr>
                <w:b w:val="false"/>
                <w:bCs w:val="false"/>
              </w:rPr>
              <w:t xml:space="preserve">70.6%</w:t>
            </w:r>
          </w:p>
        </w:tc>
      </w:tr>
      <w:tr>
        <w:tc>
          <w:tcPr>
            <w:tcW w:type="dxa" w:w="3000"/>
          </w:tcPr>
          <w:p>
            <w:r>
              <w:rPr>
                <w:b/>
                <w:bCs/>
              </w:rPr>
              <w:t xml:space="preserve">llama-70b-text</w:t>
            </w:r>
          </w:p>
        </w:tc>
        <w:tc>
          <w:tcPr>
            <w:tcW w:type="dxa" w:w="3000"/>
            <w:shd w:fill="FFC7CE" w:val="clear"/>
          </w:tcPr>
          <w:p>
            <w:r>
              <w:rPr>
                <w:b w:val="false"/>
                <w:bCs w:val="false"/>
              </w:rPr>
              <w:t xml:space="preserve">52.9%</w:t>
            </w:r>
          </w:p>
        </w:tc>
      </w:tr>
      <w:tr>
        <w:tc>
          <w:tcPr>
            <w:tcW w:type="dxa" w:w="3000"/>
          </w:tcPr>
          <w:p>
            <w:r>
              <w:rPr>
                <w:b/>
                <w:bCs/>
              </w:rPr>
              <w:t xml:space="preserve">qwen3-vl-32b-vision</w:t>
            </w:r>
          </w:p>
        </w:tc>
        <w:tc>
          <w:tcPr>
            <w:tcW w:type="dxa" w:w="3000"/>
            <w:shd w:fill="FFEB9C" w:val="clear"/>
          </w:tcPr>
          <w:p>
            <w:r>
              <w:rPr>
                <w:b w:val="false"/>
                <w:bCs w:val="false"/>
              </w:rPr>
              <w:t xml:space="preserve">64.7%</w:t>
            </w:r>
          </w:p>
        </w:tc>
      </w:tr>
    </w:tbl>
    <w:p>
      <w:pPr>
        <w:spacing w:after="120"/>
      </w:pPr>
      <w:r>
        <w:rPr>
          <w:i/>
          <w:iCs/>
          <w:color w:val="884400"/>
          <w:sz w:val="19"/>
          <w:szCs w:val="19"/>
        </w:rPr>
        <w:t xml:space="preserve">Caveat: GPT-4o's OpenAI project hit a configured spend limit mid-benchmark, so 2 of its 17 fields (mandatory_submission_requirements, mandatory_technical_requirements) reflect an earlier, retrieval-bugged run rather than the corrected pipeline the other two models were graded against. Its 70.6% is not on fully equal footing with the other two scores until it is re-run.</w:t>
      </w:r>
    </w:p>
    <w:p>
      <w:pPr>
        <w:pageBreakBefore/>
      </w:pPr>
      <w:r>
        <w:br/>
        <w:t xml:space="preserve"/>
      </w:r>
    </w:p>
    <w:p>
      <w:pPr>
        <w:pStyle w:val="Heading1"/>
        <w:spacing w:after="140" w:before="280"/>
      </w:pPr>
      <w:r>
        <w:t xml:space="preserve">4. Per-field detail</w:t>
      </w:r>
    </w:p>
    <w:p>
      <w:pPr>
        <w:spacing w:after="120"/>
      </w:pPr>
      <w:r>
        <w:rPr>
          <w:sz w:val="20"/>
          <w:szCs w:val="20"/>
        </w:rPr>
        <w:t xml:space="preserve">For every field: the ground truth answer, then what each model actually returned, and the grading verdict. Verdicts account for field type — exact match after date/number normalisation for atomic fields, recall/precision overlap for lists and tables, similarity scoring for free text.</w:t>
      </w:r>
    </w:p>
    <w:p>
      <w:pPr>
        <w:spacing w:after="80" w:before="260"/>
      </w:pPr>
      <w:r>
        <w:rPr>
          <w:b/>
          <w:bCs/>
          <w:sz w:val="26"/>
          <w:szCs w:val="26"/>
        </w:rPr>
        <w:t xml:space="preserve">1. Submission Deadline (date &amp; time)</w:t>
      </w:r>
      <w:r>
        <w:rPr>
          <w:i/>
          <w:iCs/>
          <w:color w:val="666666"/>
          <w:sz w:val="20"/>
          <w:szCs w:val="20"/>
        </w:rPr>
        <w:t xml:space="preserve">   [hard]</w:t>
      </w:r>
    </w:p>
    <w:p>
      <w:pPr>
        <w:spacing w:after="60"/>
      </w:pPr>
      <w:r>
        <w:rPr>
          <w:b/>
          <w:bCs/>
        </w:rPr>
        <w:t xml:space="preserve">Ground truth: </w:t>
      </w:r>
      <w:r>
        <w:t xml:space="preserve">2025-08-12</w:t>
      </w:r>
    </w:p>
    <w:p>
      <w:pPr>
        <w:spacing w:after="100"/>
      </w:pPr>
      <w:r>
        <w:rPr>
          <w:i/>
          <w:iCs/>
          <w:color w:val="555555"/>
          <w:sz w:val="19"/>
          <w:szCs w:val="19"/>
        </w:rPr>
        <w:t xml:space="preserve">Note: Section 1.5 Key Dates table (p5): 'Proposals due: August 12, 2025'. NO TIME IS EVER STATED anywhere in the 33-page document. Section 1.6 'Closing Date and Time' talks about the closing time ('give yourself sufficient time... at least ONE (1) day before Closing Time') but never prints what that time actually is - it's presumably configured in the Bonfire portal, not the PDF. A model that outputs a specific time (e.g. '4:00 PM' or '2:00 PM') for this field is fabricating it. This is the trap: check every model's answer for an invented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2025-08-12</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August 12, 2025</w:t>
            </w:r>
          </w:p>
        </w:tc>
        <w:tc>
          <w:tcPr>
            <w:tcW w:type="dxa" w:w="1400"/>
            <w:shd w:fill="C6EFCE" w:val="clear"/>
          </w:tcPr>
          <w:p>
            <w:r>
              <w:rPr>
                <w:b w:val="false"/>
                <w:bCs w:val="false"/>
              </w:rPr>
              <w:t xml:space="preserve">Correct</w:t>
            </w:r>
          </w:p>
        </w:tc>
      </w:tr>
      <w:tr>
        <w:tc>
          <w:tcPr>
            <w:tcW w:type="dxa" w:w="2400"/>
          </w:tcPr>
          <w:p>
            <w:r>
              <w:rPr>
                <w:b w:val="false"/>
                <w:bCs w:val="false"/>
              </w:rPr>
              <w:t xml:space="preserve">Qwen3-VL-32B AWQ (vision, local)</w:t>
            </w:r>
          </w:p>
        </w:tc>
        <w:tc>
          <w:tcPr>
            <w:tcW w:type="dxa" w:w="5800"/>
          </w:tcPr>
          <w:p>
            <w:r>
              <w:rPr>
                <w:b w:val="false"/>
                <w:bCs w:val="false"/>
              </w:rPr>
              <w:t xml:space="preserve">August 12, 2025</w:t>
            </w:r>
          </w:p>
        </w:tc>
        <w:tc>
          <w:tcPr>
            <w:tcW w:type="dxa" w:w="1400"/>
            <w:shd w:fill="C6EFCE" w:val="clear"/>
          </w:tcPr>
          <w:p>
            <w:r>
              <w:rPr>
                <w:b w:val="false"/>
                <w:bCs w:val="false"/>
              </w:rPr>
              <w:t xml:space="preserve">Correct</w:t>
            </w:r>
          </w:p>
        </w:tc>
      </w:tr>
    </w:tbl>
    <w:p>
      <w:pPr>
        <w:spacing w:after="80" w:before="260"/>
      </w:pPr>
      <w:r>
        <w:rPr>
          <w:b/>
          <w:bCs/>
          <w:sz w:val="26"/>
          <w:szCs w:val="26"/>
        </w:rPr>
        <w:t xml:space="preserve">2. Deadline for Questions / Inquiries</w:t>
      </w:r>
      <w:r>
        <w:rPr>
          <w:i/>
          <w:iCs/>
          <w:color w:val="666666"/>
          <w:sz w:val="20"/>
          <w:szCs w:val="20"/>
        </w:rPr>
        <w:t xml:space="preserve">   [easy]</w:t>
      </w:r>
    </w:p>
    <w:p>
      <w:pPr>
        <w:spacing w:after="60"/>
      </w:pPr>
      <w:r>
        <w:rPr>
          <w:b/>
          <w:bCs/>
        </w:rPr>
        <w:t xml:space="preserve">Ground truth: </w:t>
      </w:r>
      <w:r>
        <w:t xml:space="preserve">2025-07-25</w:t>
      </w:r>
    </w:p>
    <w:p>
      <w:pPr>
        <w:spacing w:after="100"/>
      </w:pPr>
      <w:r>
        <w:rPr>
          <w:i/>
          <w:iCs/>
          <w:color w:val="555555"/>
          <w:sz w:val="19"/>
          <w:szCs w:val="19"/>
        </w:rPr>
        <w:t xml:space="preserve">Note: Key Dates table p5: 'Written inquiries up to: July 25, 2025'. Also date-only, no time - but that's consistent, not suspicious, since the field itself is a date in the source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2025-07-25</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July 25, 2025</w:t>
            </w:r>
          </w:p>
        </w:tc>
        <w:tc>
          <w:tcPr>
            <w:tcW w:type="dxa" w:w="1400"/>
            <w:shd w:fill="C6EFCE" w:val="clear"/>
          </w:tcPr>
          <w:p>
            <w:r>
              <w:rPr>
                <w:b w:val="false"/>
                <w:bCs w:val="false"/>
              </w:rPr>
              <w:t xml:space="preserve">Correct</w:t>
            </w:r>
          </w:p>
        </w:tc>
      </w:tr>
      <w:tr>
        <w:tc>
          <w:tcPr>
            <w:tcW w:type="dxa" w:w="2400"/>
          </w:tcPr>
          <w:p>
            <w:r>
              <w:rPr>
                <w:b w:val="false"/>
                <w:bCs w:val="false"/>
              </w:rPr>
              <w:t xml:space="preserve">Qwen3-VL-32B AWQ (vision, local)</w:t>
            </w:r>
          </w:p>
        </w:tc>
        <w:tc>
          <w:tcPr>
            <w:tcW w:type="dxa" w:w="5800"/>
          </w:tcPr>
          <w:p>
            <w:r>
              <w:rPr>
                <w:b w:val="false"/>
                <w:bCs w:val="false"/>
              </w:rPr>
              <w:t xml:space="preserve">July 25, 2025</w:t>
            </w:r>
          </w:p>
        </w:tc>
        <w:tc>
          <w:tcPr>
            <w:tcW w:type="dxa" w:w="1400"/>
            <w:shd w:fill="C6EFCE" w:val="clear"/>
          </w:tcPr>
          <w:p>
            <w:r>
              <w:rPr>
                <w:b w:val="false"/>
                <w:bCs w:val="false"/>
              </w:rPr>
              <w:t xml:space="preserve">Correct</w:t>
            </w:r>
          </w:p>
        </w:tc>
      </w:tr>
    </w:tbl>
    <w:p>
      <w:pPr>
        <w:spacing w:after="80" w:before="260"/>
      </w:pPr>
      <w:r>
        <w:rPr>
          <w:b/>
          <w:bCs/>
          <w:sz w:val="26"/>
          <w:szCs w:val="26"/>
        </w:rPr>
        <w:t xml:space="preserve">3. RFP Contact (name and/or email)</w:t>
      </w:r>
      <w:r>
        <w:rPr>
          <w:i/>
          <w:iCs/>
          <w:color w:val="666666"/>
          <w:sz w:val="20"/>
          <w:szCs w:val="20"/>
        </w:rPr>
        <w:t xml:space="preserve">   [medium]</w:t>
      </w:r>
    </w:p>
    <w:p>
      <w:pPr>
        <w:spacing w:after="60"/>
      </w:pPr>
      <w:r>
        <w:rPr>
          <w:b/>
          <w:bCs/>
        </w:rPr>
        <w:t xml:space="preserve">Ground truth: </w:t>
      </w:r>
      <w:r>
        <w:t xml:space="preserve">Dennis Orellana, Procurement Services Lead, University of Saskatchewan, 110 Maintenance Rd, Saskatoon SK S7N 5C5</w:t>
      </w:r>
    </w:p>
    <w:p>
      <w:pPr>
        <w:spacing w:after="100"/>
      </w:pPr>
      <w:r>
        <w:rPr>
          <w:i/>
          <w:iCs/>
          <w:color w:val="555555"/>
          <w:sz w:val="19"/>
          <w:szCs w:val="19"/>
        </w:rPr>
        <w:t xml:space="preserve">Note: Section 1.3 Issuing Office (p4) - no email given here. TRAP: page 19 has a different email, fco.procurement@usask.ca, but that's in Section 3.28 Notices, for POST-AWARD CONTRACT notices, not RFP inquiries. Section 1.9 explicitly requires inquiries go through the Bonfire portal, not email. A model that reports fco.procurement@usask.ca as 'the RFP contact' has picked the wrong section.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(absent)</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(absent)</w:t>
            </w:r>
          </w:p>
        </w:tc>
        <w:tc>
          <w:tcPr>
            <w:tcW w:type="dxa" w:w="1400"/>
            <w:shd w:fill="C6EFCE" w:val="clear"/>
          </w:tcPr>
          <w:p>
            <w:r>
              <w:rPr>
                <w:b w:val="false"/>
                <w:bCs w:val="false"/>
              </w:rPr>
              <w:t xml:space="preserve">Correct</w:t>
            </w:r>
          </w:p>
        </w:tc>
      </w:tr>
      <w:tr>
        <w:tc>
          <w:tcPr>
            <w:tcW w:type="dxa" w:w="2400"/>
          </w:tcPr>
          <w:p>
            <w:r>
              <w:rPr>
                <w:b w:val="false"/>
                <w:bCs w:val="false"/>
              </w:rPr>
              <w:t xml:space="preserve">Qwen3-VL-32B AWQ (vision, local)</w:t>
            </w:r>
          </w:p>
        </w:tc>
        <w:tc>
          <w:tcPr>
            <w:tcW w:type="dxa" w:w="5800"/>
          </w:tcPr>
          <w:p>
            <w:r>
              <w:rPr>
                <w:b w:val="false"/>
                <w:bCs w:val="false"/>
              </w:rPr>
              <w:t xml:space="preserve">(absent)</w:t>
            </w:r>
          </w:p>
        </w:tc>
        <w:tc>
          <w:tcPr>
            <w:tcW w:type="dxa" w:w="1400"/>
            <w:shd w:fill="C6EFCE" w:val="clear"/>
          </w:tcPr>
          <w:p>
            <w:r>
              <w:rPr>
                <w:b w:val="false"/>
                <w:bCs w:val="false"/>
              </w:rPr>
              <w:t xml:space="preserve">Correct</w:t>
            </w:r>
          </w:p>
        </w:tc>
      </w:tr>
    </w:tbl>
    <w:p>
      <w:pPr>
        <w:spacing w:after="80" w:before="260"/>
      </w:pPr>
      <w:r>
        <w:rPr>
          <w:b/>
          <w:bCs/>
          <w:sz w:val="26"/>
          <w:szCs w:val="26"/>
        </w:rPr>
        <w:t xml:space="preserve">4. Submission Method / Portal</w:t>
      </w:r>
      <w:r>
        <w:rPr>
          <w:i/>
          <w:iCs/>
          <w:color w:val="666666"/>
          <w:sz w:val="20"/>
          <w:szCs w:val="20"/>
        </w:rPr>
        <w:t xml:space="preserve">   [easy]</w:t>
      </w:r>
    </w:p>
    <w:p>
      <w:pPr>
        <w:spacing w:after="60"/>
      </w:pPr>
      <w:r>
        <w:rPr>
          <w:b/>
          <w:bCs/>
        </w:rPr>
        <w:t xml:space="preserve">Ground truth: </w:t>
      </w:r>
      <w:r>
        <w:t xml:space="preserve">Online Bonfire Portal at https://usask.bonfirehub.ca; submissions by any other method (email, fax, hard copy) will not be accepted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Bonfire Portal at: https://usask.bonfirehub.ca</w:t>
            </w:r>
          </w:p>
        </w:tc>
        <w:tc>
          <w:tcPr>
            <w:tcW w:type="dxa" w:w="1400"/>
            <w:shd w:fill="FFEB9C" w:val="clear"/>
          </w:tcPr>
          <w:p>
            <w:r>
              <w:rPr>
                <w:b w:val="false"/>
                <w:bCs w:val="false"/>
              </w:rPr>
              <w:t xml:space="preserve">Partial</w:t>
            </w:r>
          </w:p>
        </w:tc>
      </w:tr>
      <w:tr>
        <w:tc>
          <w:tcPr>
            <w:tcW w:type="dxa" w:w="2400"/>
          </w:tcPr>
          <w:p>
            <w:r>
              <w:rPr>
                <w:b w:val="false"/>
                <w:bCs w:val="false"/>
              </w:rPr>
              <w:t xml:space="preserve">Llama-3.3-70B AWQ (text, local)</w:t>
            </w:r>
          </w:p>
        </w:tc>
        <w:tc>
          <w:tcPr>
            <w:tcW w:type="dxa" w:w="5800"/>
          </w:tcPr>
          <w:p>
            <w:r>
              <w:rPr>
                <w:b w:val="false"/>
                <w:bCs w:val="false"/>
              </w:rPr>
              <w:t xml:space="preserve">https://usask.bonfirehub.ca</w:t>
            </w:r>
          </w:p>
        </w:tc>
        <w:tc>
          <w:tcPr>
            <w:tcW w:type="dxa" w:w="1400"/>
            <w:shd w:fill="FFC7CE" w:val="clear"/>
          </w:tcPr>
          <w:p>
            <w:r>
              <w:rPr>
                <w:b w:val="false"/>
                <w:bCs w:val="false"/>
              </w:rPr>
              <w:t xml:space="preserve">Wrong</w:t>
            </w:r>
          </w:p>
        </w:tc>
      </w:tr>
      <w:tr>
        <w:tc>
          <w:tcPr>
            <w:tcW w:type="dxa" w:w="2400"/>
          </w:tcPr>
          <w:p>
            <w:r>
              <w:rPr>
                <w:b w:val="false"/>
                <w:bCs w:val="false"/>
              </w:rPr>
              <w:t xml:space="preserve">Qwen3-VL-32B AWQ (vision, local)</w:t>
            </w:r>
          </w:p>
        </w:tc>
        <w:tc>
          <w:tcPr>
            <w:tcW w:type="dxa" w:w="5800"/>
          </w:tcPr>
          <w:p>
            <w:r>
              <w:rPr>
                <w:b w:val="false"/>
                <w:bCs w:val="false"/>
              </w:rPr>
              <w:t xml:space="preserve">online Bonfire Portal at https://usask.bonfirehub.ca</w:t>
            </w:r>
          </w:p>
        </w:tc>
        <w:tc>
          <w:tcPr>
            <w:tcW w:type="dxa" w:w="1400"/>
            <w:shd w:fill="FFEB9C" w:val="clear"/>
          </w:tcPr>
          <w:p>
            <w:r>
              <w:rPr>
                <w:b w:val="false"/>
                <w:bCs w:val="false"/>
              </w:rPr>
              <w:t xml:space="preserve">Partial</w:t>
            </w:r>
          </w:p>
        </w:tc>
      </w:tr>
    </w:tbl>
    <w:p>
      <w:pPr>
        <w:spacing w:after="80" w:before="260"/>
      </w:pPr>
      <w:r>
        <w:rPr>
          <w:b/>
          <w:bCs/>
          <w:sz w:val="26"/>
          <w:szCs w:val="26"/>
        </w:rPr>
        <w:t xml:space="preserve">5. Contract Term / Duration (including renewal options)</w:t>
      </w:r>
      <w:r>
        <w:rPr>
          <w:i/>
          <w:iCs/>
          <w:color w:val="666666"/>
          <w:sz w:val="20"/>
          <w:szCs w:val="20"/>
        </w:rPr>
        <w:t xml:space="preserve">   [hard]</w:t>
      </w:r>
    </w:p>
    <w:p>
      <w:pPr>
        <w:spacing w:after="60"/>
      </w:pPr>
      <w:r>
        <w:rPr>
          <w:b/>
          <w:bCs/>
        </w:rPr>
        <w:t xml:space="preserve">Ground truth: </w:t>
      </w:r>
      <w:r>
        <w:t xml:space="preserve">5-year base term, on or around September 1, 2025 to August 31, 2030, with USask holding the right to extend by one additional 3-year term and one additional 2-year term, for a maximum potential contract period of 10 years</w:t>
      </w:r>
    </w:p>
    <w:p>
      <w:pPr>
        <w:spacing w:after="100"/>
      </w:pPr>
      <w:r>
        <w:rPr>
          <w:i/>
          <w:iCs/>
          <w:color w:val="555555"/>
          <w:sz w:val="19"/>
          <w:szCs w:val="19"/>
        </w:rPr>
        <w:t xml:space="preserve">Note: Section 1.1 (p4) and restated in 3.5 (p14, with MONTH/DAY/YEAR placeholders in the unfilled contract template but the SAME extension language). Three numbers to get right: 5-year base + 3-year option + 2-year option = 10-year max. Partial credit (e.g. just '5 years' or just '10 years max') is a genuine partial answer, not fully correct.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5 years with one additional 3-year and one additional 2-year extension</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5 years with two optional extensions of 3 and 2 years</w:t>
            </w:r>
          </w:p>
        </w:tc>
        <w:tc>
          <w:tcPr>
            <w:tcW w:type="dxa" w:w="1400"/>
            <w:shd w:fill="FFEB9C" w:val="clear"/>
          </w:tcPr>
          <w:p>
            <w:r>
              <w:rPr>
                <w:b w:val="false"/>
                <w:bCs w:val="false"/>
              </w:rPr>
              <w:t xml:space="preserve">Partial</w:t>
            </w:r>
          </w:p>
        </w:tc>
      </w:tr>
      <w:tr>
        <w:tc>
          <w:tcPr>
            <w:tcW w:type="dxa" w:w="2400"/>
          </w:tcPr>
          <w:p>
            <w:r>
              <w:rPr>
                <w:b w:val="false"/>
                <w:bCs w:val="false"/>
              </w:rPr>
              <w:t xml:space="preserve">Qwen3-VL-32B AWQ (vision, local)</w:t>
            </w:r>
          </w:p>
        </w:tc>
        <w:tc>
          <w:tcPr>
            <w:tcW w:type="dxa" w:w="5800"/>
          </w:tcPr>
          <w:p>
            <w:r>
              <w:rPr>
                <w:b w:val="false"/>
                <w:bCs w:val="false"/>
              </w:rPr>
              <w:t xml:space="preserve">5 years with two optional extensions (one 3-year and one 2-year), for a maximum potential contract period of 10 years</w:t>
            </w:r>
          </w:p>
        </w:tc>
        <w:tc>
          <w:tcPr>
            <w:tcW w:type="dxa" w:w="1400"/>
            <w:shd w:fill="C6EFCE" w:val="clear"/>
          </w:tcPr>
          <w:p>
            <w:r>
              <w:rPr>
                <w:b w:val="false"/>
                <w:bCs w:val="false"/>
              </w:rPr>
              <w:t xml:space="preserve">Correct</w:t>
            </w:r>
          </w:p>
        </w:tc>
      </w:tr>
    </w:tbl>
    <w:p>
      <w:pPr>
        <w:spacing w:after="80" w:before="260"/>
      </w:pPr>
      <w:r>
        <w:rPr>
          <w:b/>
          <w:bCs/>
          <w:sz w:val="26"/>
          <w:szCs w:val="26"/>
        </w:rPr>
        <w:t xml:space="preserve">6. Scope of Deliverables / Services Requested</w:t>
      </w:r>
      <w:r>
        <w:rPr>
          <w:i/>
          <w:iCs/>
          <w:color w:val="666666"/>
          <w:sz w:val="20"/>
          <w:szCs w:val="20"/>
        </w:rPr>
        <w:t xml:space="preserve">   [medium]</w:t>
      </w:r>
    </w:p>
    <w:p>
      <w:pPr>
        <w:spacing w:after="60"/>
      </w:pPr>
      <w:r>
        <w:rPr>
          <w:b/>
          <w:bCs/>
        </w:rPr>
        <w:t xml:space="preserve">Ground truth: </w:t>
      </w:r>
      <w:r>
        <w:t xml:space="preserve">Establish a non-exclusive list of pre-qualified Generative AI Software suppliers via multiple master service agreements, serving USask's colleges, administrative groups, affiliates and alumni. Four service categories: (1) AI Chat and Data Analysis Services, (2) AI Model Customization and Integration, (3) AI Consulting Services, (4) AI Enabling Infrastructure. Proponent must be the direct provider - resellers/intermediaries/distributors not considered.</w:t>
      </w:r>
    </w:p>
    <w:p>
      <w:pPr>
        <w:spacing w:after="100"/>
      </w:pPr>
      <w:r>
        <w:rPr>
          <w:i/>
          <w:iCs/>
          <w:color w:val="555555"/>
          <w:sz w:val="19"/>
          <w:szCs w:val="19"/>
        </w:rPr>
        <w:t xml:space="preserve">Note: Appendix B.1-B.2 (p22). Requires synthesizing across the Background and Purpose subsections; the 4 categories are the concrete, checkable part.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AI platform services including AI Chat and Data Analysis Services, AI Model Customization and Integration, AI Consulting Services, and AI Enabling Infrastructure.</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The University of Saskatchewan is seeking AI platform services, including AI chat and data analysis, AI model customization and integration, AI consulting, and AI enabling infrastructure, to support its operations, teaching, research, and administration.</w:t>
            </w:r>
          </w:p>
        </w:tc>
        <w:tc>
          <w:tcPr>
            <w:tcW w:type="dxa" w:w="1400"/>
            <w:shd w:fill="FFEB9C" w:val="clear"/>
          </w:tcPr>
          <w:p>
            <w:r>
              <w:rPr>
                <w:b w:val="false"/>
                <w:bCs w:val="false"/>
              </w:rPr>
              <w:t xml:space="preserve">Partial</w:t>
            </w:r>
          </w:p>
        </w:tc>
      </w:tr>
      <w:tr>
        <w:tc>
          <w:tcPr>
            <w:tcW w:type="dxa" w:w="2400"/>
          </w:tcPr>
          <w:p>
            <w:r>
              <w:rPr>
                <w:b w:val="false"/>
                <w:bCs w:val="false"/>
              </w:rPr>
              <w:t xml:space="preserve">Qwen3-VL-32B AWQ (vision, local)</w:t>
            </w:r>
          </w:p>
        </w:tc>
        <w:tc>
          <w:tcPr>
            <w:tcW w:type="dxa" w:w="5800"/>
          </w:tcPr>
          <w:p>
            <w:r>
              <w:rPr>
                <w:b w:val="false"/>
                <w:bCs w:val="false"/>
              </w:rPr>
              <w:t xml:space="preserve">The University of Saskatchewan seeks pre-qualified suppliers to provide AI platform services on an as-needed basis, including AI/Chat and Data Analysis, AI/Model Customization and Integration, AI/Consulting Services, and AI/Enabling Infrastructure, to support various university departments and groups.</w:t>
            </w:r>
          </w:p>
        </w:tc>
        <w:tc>
          <w:tcPr>
            <w:tcW w:type="dxa" w:w="1400"/>
            <w:shd w:fill="FFEB9C" w:val="clear"/>
          </w:tcPr>
          <w:p>
            <w:r>
              <w:rPr>
                <w:b w:val="false"/>
                <w:bCs w:val="false"/>
              </w:rPr>
              <w:t xml:space="preserve">Partial</w:t>
            </w:r>
          </w:p>
        </w:tc>
      </w:tr>
    </w:tbl>
    <w:p>
      <w:pPr>
        <w:spacing w:after="80" w:before="260"/>
      </w:pPr>
      <w:r>
        <w:rPr>
          <w:b/>
          <w:bCs/>
          <w:sz w:val="26"/>
          <w:szCs w:val="26"/>
        </w:rPr>
        <w:t xml:space="preserve">7. Mandatory Submission Requirements</w:t>
      </w:r>
      <w:r>
        <w:rPr>
          <w:i/>
          <w:iCs/>
          <w:color w:val="666666"/>
          <w:sz w:val="20"/>
          <w:szCs w:val="20"/>
        </w:rPr>
        <w:t xml:space="preserve">   [hard]</w:t>
      </w:r>
    </w:p>
    <w:p>
      <w:pPr>
        <w:spacing w:after="60"/>
      </w:pPr>
      <w:r>
        <w:rPr>
          <w:b/>
          <w:bCs/>
        </w:rPr>
        <w:t xml:space="preserve">Ground truth: </w:t>
      </w:r>
      <w:r>
        <w:t xml:space="preserve">Table of contents of all presented material; Outline of corporate structure and ownership (owners/officers, org chart); Description of duration and extent of company's experience, competence, reliability in similar projects; List of proposed personnel with job function, title, qualifications, experience; Clear indication of services that will be provided; Pricing structure in Canadian dollars (Section 2.4); Sample of Proponent's service/maintenance agreement; Minimum of 3 references for similar services (company name, contact name, title, phone, email); Summary of sustainability initiatives (Section 2.3); Summary of any value-added/in-kind contributions; Clear indication of services to be brokered to third parties, incl. USask in-house services; Completed Validation of Proposal and Acceptance of Contractual Provisions (Appendix A); Completed pricing structure in electronic format (Appendix D); Completed HECVAT or Software as a Service Vendor Form (Appendix E); Disclosure of any judgments, pending/expected litigation, or other reversals affecting viability</w:t>
      </w:r>
    </w:p>
    <w:p>
      <w:pPr>
        <w:spacing w:after="100"/>
      </w:pPr>
      <w:r>
        <w:rPr>
          <w:i/>
          <w:iCs/>
          <w:color w:val="555555"/>
          <w:sz w:val="19"/>
          <w:szCs w:val="19"/>
        </w:rPr>
        <w:t xml:space="preserve">Note: Section 2.1 General Outline (p11), items a-o = 15 items. Long list; a model may drop some, or conflate with the Appendix B.2 technical requirements list below (different section, different purpose).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(said absent)</w:t>
            </w:r>
          </w:p>
        </w:tc>
        <w:tc>
          <w:tcPr>
            <w:tcW w:type="dxa" w:w="1400"/>
            <w:shd w:fill="FFC7CE" w:val="clear"/>
          </w:tcPr>
          <w:p>
            <w:r>
              <w:rPr>
                <w:b w:val="false"/>
                <w:bCs w:val="false"/>
              </w:rPr>
              <w:t xml:space="preserve">Wrong</w:t>
            </w:r>
          </w:p>
        </w:tc>
      </w:tr>
      <w:tr>
        <w:tc>
          <w:tcPr>
            <w:tcW w:type="dxa" w:w="2400"/>
          </w:tcPr>
          <w:p>
            <w:r>
              <w:rPr>
                <w:b w:val="false"/>
                <w:bCs w:val="false"/>
              </w:rPr>
              <w:t xml:space="preserve">Llama-3.3-70B AWQ (text, local)</w:t>
            </w:r>
          </w:p>
        </w:tc>
        <w:tc>
          <w:tcPr>
            <w:tcW w:type="dxa" w:w="5800"/>
          </w:tcPr>
          <w:p>
            <w:r>
              <w:rPr>
                <w:b w:val="false"/>
                <w:bCs w:val="false"/>
              </w:rPr>
              <w:t xml:space="preserve">A table of contents of all presented material.; An outline of your corporate structure and ownership, complete with a list of the names of all the owners of the company and/or officers of the corporation, and a company organizational chart.; A complete description of the duration and extent of your company's experience, competence and reliability in handling similar projects.; A list of proposed personnel, corresponding job function, title, qualifications and experience required to facilitate any subsequent Contract.; A clear indication of services that will be provided.; The pricing structure, in Canadian dollars (see Section 2.4 – Pricing structure), for all proposed equipment and/or services.; A sample of Proponent’s service/maintenance agreement.; Submission of relevant references.; A summary of sustainability initiatives (see Section 2.3 – Sustainability).; A summary of any value added benefits or in-kind contributions, any opportunities for recognition, must be approved under University Policy #5.07; A clear indication of services that will be brokered to third parties, including usage of any USask in-house services.; Completed Validation of Proposal and Acceptance of Contractual Provisions (see Appendix A).; Completed pricing structure in electronic format (Appendix D – Pricing Structure).; Completed HECVAT or Software As A Service Form (Appendix E – Software as a Service Vendor Form); Disclosure of any and all judgments, pending or expected litigation, or other real or potential reversals which might materially affect the viability or stability of the Proponent’s organization; or warrant that no such condition is known to exist.</w:t>
            </w:r>
          </w:p>
        </w:tc>
        <w:tc>
          <w:tcPr>
            <w:tcW w:type="dxa" w:w="1400"/>
            <w:shd w:fill="FFEB9C" w:val="clear"/>
          </w:tcPr>
          <w:p>
            <w:r>
              <w:rPr>
                <w:b w:val="false"/>
                <w:bCs w:val="false"/>
              </w:rPr>
              <w:t xml:space="preserve">Partial</w:t>
            </w:r>
          </w:p>
        </w:tc>
      </w:tr>
      <w:tr>
        <w:tc>
          <w:tcPr>
            <w:tcW w:type="dxa" w:w="2400"/>
          </w:tcPr>
          <w:p>
            <w:r>
              <w:rPr>
                <w:b w:val="false"/>
                <w:bCs w:val="false"/>
              </w:rPr>
              <w:t xml:space="preserve">Qwen3-VL-32B AWQ (vision, local)</w:t>
            </w:r>
          </w:p>
        </w:tc>
        <w:tc>
          <w:tcPr>
            <w:tcW w:type="dxa" w:w="5800"/>
          </w:tcPr>
          <w:p>
            <w:r>
              <w:rPr>
                <w:b w:val="false"/>
                <w:bCs w:val="false"/>
              </w:rPr>
              <w:t xml:space="preserve">A table of contents of all presented material.; An outline of your corporate structure and ownership, complete with a list of the names of all the owners of the company and/or officers of the corporation, and a company organizational chart.; A complete description of the duration and extent of your company's experience, competence and reliability in handling similar projects.; A list of proposed personnel, corresponding job function, title, qualifications and experience required to facilitate any subsequent Contract.; A clear indication of services that will be provided.; The pricing structure, in Canadian dollars (see Section 2.4 – Pricing structure), for all proposed equipment and/or services.; A sample of Proponent's service/maintenance agreement.; Submission of relevant references. Provide a minimum of three (3) references for similar services, to include: company name, contact name, title, telephone number and email address if available.; A summary of sustainability initiatives (see Section 2.3 – Sustainability).; A summary of any value added benefits or in-kind contributions, any opportunities for recognition, must be approved under University Policy #5.07 see website: https://policies.usask.ca/policies/advancement/gift-in-kind-identification-and-appraisal.php#OrganizationandApproval Discounts, "in-kind" contributions, value added benefits or incentives in the form of laboratory consumables and/or chemicals cannot be considered as the University has contracts in place for these commodities.; A clear indication of services that will be brokered to third parties, including usage of any USask in-house services.; Completed Validation of Proposal and Acceptance of Contractual Provisions (see Appendix A). Proposals shall automatically be deemed to include Proponent’s agreement to the preferred Contractual Provisions which shall be incorporated by reference in the Contract, unless expressly and specifically indicated otherwise.; Completed pricing structure in electronic format (Appendix D – Pricing Structure).; Completed HECVAT or Software As A Service Form (Appendix E – Software as a Service Vendor Form); Disclosure of any and all judgments, pending or expected litigation, or other real or potential reversals which might materially affect the viability or stability of the Proponent’s organization; or warrant that no such condition is known to exist.</w:t>
            </w:r>
          </w:p>
        </w:tc>
        <w:tc>
          <w:tcPr>
            <w:tcW w:type="dxa" w:w="1400"/>
            <w:shd w:fill="C6EFCE" w:val="clear"/>
          </w:tcPr>
          <w:p>
            <w:r>
              <w:rPr>
                <w:b w:val="false"/>
                <w:bCs w:val="false"/>
              </w:rPr>
              <w:t xml:space="preserve">Correct</w:t>
            </w:r>
          </w:p>
        </w:tc>
      </w:tr>
    </w:tbl>
    <w:p>
      <w:pPr>
        <w:spacing w:after="80" w:before="260"/>
      </w:pPr>
      <w:r>
        <w:rPr>
          <w:b/>
          <w:bCs/>
          <w:sz w:val="26"/>
          <w:szCs w:val="26"/>
        </w:rPr>
        <w:t xml:space="preserve">8. Mandatory Technical Requirements</w:t>
      </w:r>
      <w:r>
        <w:rPr>
          <w:i/>
          <w:iCs/>
          <w:color w:val="666666"/>
          <w:sz w:val="20"/>
          <w:szCs w:val="20"/>
        </w:rPr>
        <w:t xml:space="preserve">   [hard]</w:t>
      </w:r>
    </w:p>
    <w:p>
      <w:pPr>
        <w:spacing w:after="60"/>
      </w:pPr>
      <w:r>
        <w:rPr>
          <w:b/>
          <w:bCs/>
        </w:rPr>
        <w:t xml:space="preserve">Ground truth: </w:t>
      </w:r>
      <w:r>
        <w:t xml:space="preserve">Compliance with Intellectual Property and Privacy Regulations (Copyright Act Canada, Personal Information Protection and Electronic Documents Act, LA FOIP, and where applicable HIPA); Infrastructure Protection - Proponent directly responsible for hardware/software/networking/facilities running the service; Security and Data Protection Requirements - meet/exceed USask security requirements; completed USask SaaS Form or HECVAT required with proposal; encryption, regular security audits, industry best practices; Integration and User Management - acceptable options for SSO, user account management, role and access provisioning, enrolment management</w:t>
      </w:r>
    </w:p>
    <w:p>
      <w:pPr>
        <w:spacing w:after="100"/>
      </w:pPr>
      <w:r>
        <w:rPr>
          <w:i/>
          <w:iCs/>
          <w:color w:val="555555"/>
          <w:sz w:val="19"/>
          <w:szCs w:val="19"/>
        </w:rPr>
        <w:t xml:space="preserve">Note: Appendix B.2 (p22-23), FOUR numbered requirements Proponents 'must demonstrate the capacity to meet'. TRAP: this numbered list (1-4) sits directly below a DIFFERENT numbered list (1-4) in the same B.2 section - the four AI platform SERVICE CATEGORIES (AI Chat/Data Analysis, Model Customization, Consulting, Enabling Infrastructure). A model can easily grab the wrong list of four, or merge both into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Demonstrated ability to work in a large university environment or an organization of similar complexity.; Relevant experience, competence, and reliability in handling similar projects.; Ability to provide a dedicated support representative; Upgradable and have a regular schedule for updates; Scalable to meet its expanding operational needs; Service Level Agreement meets USask requirements.</w:t>
            </w:r>
          </w:p>
        </w:tc>
        <w:tc>
          <w:tcPr>
            <w:tcW w:type="dxa" w:w="1400"/>
            <w:shd w:fill="FFC7CE" w:val="clear"/>
          </w:tcPr>
          <w:p>
            <w:r>
              <w:rPr>
                <w:b w:val="false"/>
                <w:bCs w:val="false"/>
              </w:rPr>
              <w:t xml:space="preserve">Wrong</w:t>
            </w:r>
          </w:p>
        </w:tc>
      </w:tr>
      <w:tr>
        <w:tc>
          <w:tcPr>
            <w:tcW w:type="dxa" w:w="2400"/>
          </w:tcPr>
          <w:p>
            <w:r>
              <w:rPr>
                <w:b w:val="false"/>
                <w:bCs w:val="false"/>
              </w:rPr>
              <w:t xml:space="preserve">Llama-3.3-70B AWQ (text, local)</w:t>
            </w:r>
          </w:p>
        </w:tc>
        <w:tc>
          <w:tcPr>
            <w:tcW w:type="dxa" w:w="5800"/>
          </w:tcPr>
          <w:p>
            <w:r>
              <w:rPr>
                <w:b w:val="false"/>
                <w:bCs w:val="false"/>
              </w:rPr>
              <w:t xml:space="preserve">AI Chat and Data Analysis Services: Platforms that provide advanced chat functionalities and the ability to store and analyze data.; AI Model Customization and Integration: Services that allow for the customization through agents, MCP (Model Context Protocol), or integration of AI models into existing workflows and applications.; AI Consulting Services: Expert advice and support for planning, deploying, and managing AI solutions.; AI Enabling Infrastructure: Foundational services that support or extend agentic AI capabilities—such as virtual machines for model development and deployment, platform-as-a-service (PaaS) offerings for scalable application hosting, serverless functions for event-driven processing, and advanced data systems like graph and vector databases for contextual awareness and semantic retrieval</w:t>
            </w:r>
          </w:p>
        </w:tc>
        <w:tc>
          <w:tcPr>
            <w:tcW w:type="dxa" w:w="1400"/>
            <w:shd w:fill="FFC7CE" w:val="clear"/>
          </w:tcPr>
          <w:p>
            <w:r>
              <w:rPr>
                <w:b w:val="false"/>
                <w:bCs w:val="false"/>
              </w:rPr>
              <w:t xml:space="preserve">Wrong</w:t>
            </w:r>
          </w:p>
        </w:tc>
      </w:tr>
      <w:tr>
        <w:tc>
          <w:tcPr>
            <w:tcW w:type="dxa" w:w="2400"/>
          </w:tcPr>
          <w:p>
            <w:r>
              <w:rPr>
                <w:b w:val="false"/>
                <w:bCs w:val="false"/>
              </w:rPr>
              <w:t xml:space="preserve">Qwen3-VL-32B AWQ (vision, local)</w:t>
            </w:r>
          </w:p>
        </w:tc>
        <w:tc>
          <w:tcPr>
            <w:tcW w:type="dxa" w:w="5800"/>
          </w:tcPr>
          <w:p>
            <w:r>
              <w:rPr>
                <w:b w:val="false"/>
                <w:bCs w:val="false"/>
              </w:rPr>
              <w:t xml:space="preserve">The Proponent must be the direct provider of the services. Proposals from third-party resellers, intermediaries, or distributors will not be considered. The Proponent must demonstrate direct ownership, management, and delivery of the Services outlined in this RFP without reliance on external resellers. USask makes no guarantee of the value or the volume of any of the items from any category to be awarded to any successful Proponent(s).</w:t>
            </w:r>
          </w:p>
        </w:tc>
        <w:tc>
          <w:tcPr>
            <w:tcW w:type="dxa" w:w="1400"/>
            <w:shd w:fill="FFC7CE" w:val="clear"/>
          </w:tcPr>
          <w:p>
            <w:r>
              <w:rPr>
                <w:b w:val="false"/>
                <w:bCs w:val="false"/>
              </w:rPr>
              <w:t xml:space="preserve">Wrong</w:t>
            </w:r>
          </w:p>
        </w:tc>
      </w:tr>
    </w:tbl>
    <w:p>
      <w:pPr>
        <w:spacing w:after="80" w:before="260"/>
      </w:pPr>
      <w:r>
        <w:rPr>
          <w:b/>
          <w:bCs/>
          <w:sz w:val="26"/>
          <w:szCs w:val="26"/>
        </w:rPr>
        <w:t xml:space="preserve">9. Evaluation Criteria &amp; Weighting</w:t>
      </w:r>
      <w:r>
        <w:rPr>
          <w:i/>
          <w:iCs/>
          <w:color w:val="666666"/>
          <w:sz w:val="20"/>
          <w:szCs w:val="20"/>
        </w:rPr>
        <w:t xml:space="preserve">   [medium]</w:t>
      </w:r>
    </w:p>
    <w:p>
      <w:pPr>
        <w:spacing w:after="60"/>
      </w:pPr>
      <w:r>
        <w:rPr>
          <w:b/>
          <w:bCs/>
        </w:rPr>
        <w:t xml:space="preserve">Ground truth: </w:t>
      </w:r>
      <w:r>
        <w:t xml:space="preserve">Technical &amp; AI Platform Services; Optional Services; Professional Services; Proponent Qualifications; Support &amp; Management; Cost; University Benefit &amp; Sustainability; Indigenous Participation</w:t>
      </w:r>
    </w:p>
    <w:p>
      <w:pPr>
        <w:spacing w:after="100"/>
      </w:pPr>
      <w:r>
        <w:rPr>
          <w:i/>
          <w:iCs/>
          <w:color w:val="555555"/>
          <w:sz w:val="19"/>
          <w:szCs w:val="19"/>
        </w:rPr>
        <w:t xml:space="preserve">Note: Section 1.17 (p8-9), explicit 'Point Weighting' table, sums to 100. Clean and complete - all 8 rows must be present for full credit.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TECHNICAL &amp; AI PLATFORM SERVICES; OPTIONAL SERVICES; PROFESSIONAL SERVICES; PROPONENT QUALIFICATIONS; SUPPORT &amp; MANAGEMENT; COST; UNIVERSITY BENEFIT &amp; SUSTAINABILITY; INDIGENOUS PARTICIPATION</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TECHNICAL &amp; AI PLATFORM SERVICES; OPTIONAL SERVICES; PROFESSIONAL SERVICES; PROPONENT QUALIFICATIONS; SUPPORT &amp; MANAGEMENT; COST; UNIVERSITY BENEFIT &amp; SUSTAINABILITY; INDIGENOUS PARTICIPATION</w:t>
            </w:r>
          </w:p>
        </w:tc>
        <w:tc>
          <w:tcPr>
            <w:tcW w:type="dxa" w:w="1400"/>
            <w:shd w:fill="C6EFCE" w:val="clear"/>
          </w:tcPr>
          <w:p>
            <w:r>
              <w:rPr>
                <w:b w:val="false"/>
                <w:bCs w:val="false"/>
              </w:rPr>
              <w:t xml:space="preserve">Correct</w:t>
            </w:r>
          </w:p>
        </w:tc>
      </w:tr>
      <w:tr>
        <w:tc>
          <w:tcPr>
            <w:tcW w:type="dxa" w:w="2400"/>
          </w:tcPr>
          <w:p>
            <w:r>
              <w:rPr>
                <w:b w:val="false"/>
                <w:bCs w:val="false"/>
              </w:rPr>
              <w:t xml:space="preserve">Qwen3-VL-32B AWQ (vision, local)</w:t>
            </w:r>
          </w:p>
        </w:tc>
        <w:tc>
          <w:tcPr>
            <w:tcW w:type="dxa" w:w="5800"/>
          </w:tcPr>
          <w:p>
            <w:r>
              <w:rPr>
                <w:b w:val="false"/>
                <w:bCs w:val="false"/>
              </w:rPr>
              <w:t xml:space="preserve">TECHNICAL &amp; AI PLATFORM SERVICES; OPTIONAL SERVICES; PROFESSIONAL SERVICES; PROPONENT QUALIFICATIONS</w:t>
            </w:r>
          </w:p>
        </w:tc>
        <w:tc>
          <w:tcPr>
            <w:tcW w:type="dxa" w:w="1400"/>
            <w:shd w:fill="FFEB9C" w:val="clear"/>
          </w:tcPr>
          <w:p>
            <w:r>
              <w:rPr>
                <w:b w:val="false"/>
                <w:bCs w:val="false"/>
              </w:rPr>
              <w:t xml:space="preserve">Partial</w:t>
            </w:r>
          </w:p>
        </w:tc>
      </w:tr>
    </w:tbl>
    <w:p>
      <w:pPr>
        <w:spacing w:after="80" w:before="260"/>
      </w:pPr>
      <w:r>
        <w:rPr>
          <w:b/>
          <w:bCs/>
          <w:sz w:val="26"/>
          <w:szCs w:val="26"/>
        </w:rPr>
        <w:t xml:space="preserve">10. Minimum Score Threshold to Advance</w:t>
      </w:r>
      <w:r>
        <w:rPr>
          <w:i/>
          <w:iCs/>
          <w:color w:val="666666"/>
          <w:sz w:val="20"/>
          <w:szCs w:val="20"/>
        </w:rPr>
        <w:t xml:space="preserve">   [hard]</w:t>
      </w:r>
    </w:p>
    <w:p>
      <w:pPr>
        <w:spacing w:after="60"/>
      </w:pPr>
      <w:r>
        <w:rPr>
          <w:b/>
          <w:bCs/>
        </w:rPr>
        <w:t xml:space="preserve">Ground truth: </w:t>
      </w:r>
      <w:r>
        <w:t xml:space="preserve">(absent — not specified in the document)</w:t>
      </w:r>
    </w:p>
    <w:p>
      <w:pPr>
        <w:spacing w:after="100"/>
      </w:pPr>
      <w:r>
        <w:rPr>
          <w:i/>
          <w:iCs/>
          <w:color w:val="555555"/>
          <w:sz w:val="19"/>
          <w:szCs w:val="19"/>
        </w:rPr>
        <w:t xml:space="preserve">Note: Read the entire 33-page document. No pass/fail cutoff score is ever stated, despite the full 100-point evaluation table existing in 1.17. This is the key trap: a model that sees the detailed scoring table and infers/invents a threshold (e.g. '70 points to advance') is hallucinating. Correctly answering absent here, in the presence of a real, detailed scoring table, is a genuine test of restraint.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(said absent)</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(said absent)</w:t>
            </w:r>
          </w:p>
        </w:tc>
        <w:tc>
          <w:tcPr>
            <w:tcW w:type="dxa" w:w="1400"/>
            <w:shd w:fill="C6EFCE" w:val="clear"/>
          </w:tcPr>
          <w:p>
            <w:r>
              <w:rPr>
                <w:b w:val="false"/>
                <w:bCs w:val="false"/>
              </w:rPr>
              <w:t xml:space="preserve">Correct</w:t>
            </w:r>
          </w:p>
        </w:tc>
      </w:tr>
      <w:tr>
        <w:tc>
          <w:tcPr>
            <w:tcW w:type="dxa" w:w="2400"/>
          </w:tcPr>
          <w:p>
            <w:r>
              <w:rPr>
                <w:b w:val="false"/>
                <w:bCs w:val="false"/>
              </w:rPr>
              <w:t xml:space="preserve">Qwen3-VL-32B AWQ (vision, local)</w:t>
            </w:r>
          </w:p>
        </w:tc>
        <w:tc>
          <w:tcPr>
            <w:tcW w:type="dxa" w:w="5800"/>
          </w:tcPr>
          <w:p>
            <w:r>
              <w:rPr>
                <w:b w:val="false"/>
                <w:bCs w:val="false"/>
              </w:rPr>
              <w:t xml:space="preserve">(said absent)</w:t>
            </w:r>
          </w:p>
        </w:tc>
        <w:tc>
          <w:tcPr>
            <w:tcW w:type="dxa" w:w="1400"/>
            <w:shd w:fill="C6EFCE" w:val="clear"/>
          </w:tcPr>
          <w:p>
            <w:r>
              <w:rPr>
                <w:b w:val="false"/>
                <w:bCs w:val="false"/>
              </w:rPr>
              <w:t xml:space="preserve">Correct</w:t>
            </w:r>
          </w:p>
        </w:tc>
      </w:tr>
    </w:tbl>
    <w:p>
      <w:pPr>
        <w:spacing w:after="80" w:before="260"/>
      </w:pPr>
      <w:r>
        <w:rPr>
          <w:b/>
          <w:bCs/>
          <w:sz w:val="26"/>
          <w:szCs w:val="26"/>
        </w:rPr>
        <w:t xml:space="preserve">11. Pricing Structure / Cost Submission Requirements</w:t>
      </w:r>
      <w:r>
        <w:rPr>
          <w:i/>
          <w:iCs/>
          <w:color w:val="666666"/>
          <w:sz w:val="20"/>
          <w:szCs w:val="20"/>
        </w:rPr>
        <w:t xml:space="preserve">   [medium]</w:t>
      </w:r>
    </w:p>
    <w:p>
      <w:pPr>
        <w:spacing w:after="60"/>
      </w:pPr>
      <w:r>
        <w:rPr>
          <w:b/>
          <w:bCs/>
        </w:rPr>
        <w:t xml:space="preserve">Ground truth: </w:t>
      </w:r>
      <w:r>
        <w:t xml:space="preserve">CAD, GST/PST excluded, DDP Incoterms 2010 USask. Must include: pricing structure, taxes (shown separately), duty, pricing formula(e), Incoterms, installation charges, maintenance fees, upgrades, training, value-added benefits. Appendix D requires a per-year cost breakdown (Years 1-5 base term, Years 6-10 optional extensions) across Individual Subscription, Token-Based Pricing, Enterprise Management, Implementation, Training, plus a tiered pricing table and an hourly rate card for out-of-scope work.</w:t>
      </w:r>
    </w:p>
    <w:p>
      <w:pPr>
        <w:spacing w:after="100"/>
      </w:pPr>
      <w:r>
        <w:rPr>
          <w:i/>
          <w:iCs/>
          <w:color w:val="555555"/>
          <w:sz w:val="19"/>
          <w:szCs w:val="19"/>
        </w:rPr>
        <w:t xml:space="preserve">Note: Section 2.4 (p12) + Appendix D (p26-27). The Appendix D table structure (10 years of columns, tiered pricing, hourly rates) is the more detailed/checkable part.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Pricing structure must be shown in Canadian dollars, Goods and Services Tax (GST) and Provincial Sales Tax (PST) excluded. Pricing structure quoted should be DDP Incoterms 2010 USask.</w:t>
            </w:r>
          </w:p>
        </w:tc>
        <w:tc>
          <w:tcPr>
            <w:tcW w:type="dxa" w:w="1400"/>
            <w:shd w:fill="FFEB9C" w:val="clear"/>
          </w:tcPr>
          <w:p>
            <w:r>
              <w:rPr>
                <w:b w:val="false"/>
                <w:bCs w:val="false"/>
              </w:rPr>
              <w:t xml:space="preserve">Partial</w:t>
            </w:r>
          </w:p>
        </w:tc>
      </w:tr>
      <w:tr>
        <w:tc>
          <w:tcPr>
            <w:tcW w:type="dxa" w:w="2400"/>
          </w:tcPr>
          <w:p>
            <w:r>
              <w:rPr>
                <w:b w:val="false"/>
                <w:bCs w:val="false"/>
              </w:rPr>
              <w:t xml:space="preserve">Llama-3.3-70B AWQ (text, local)</w:t>
            </w:r>
          </w:p>
        </w:tc>
        <w:tc>
          <w:tcPr>
            <w:tcW w:type="dxa" w:w="5800"/>
          </w:tcPr>
          <w:p>
            <w:r>
              <w:rPr>
                <w:b w:val="false"/>
                <w:bCs w:val="false"/>
              </w:rPr>
              <w:t xml:space="preserve">Pricing structure must be shown in Canadian dollars, Goods and Services Tax (GST) and Provincial Sales Tax (PST) excluded.</w:t>
            </w:r>
          </w:p>
        </w:tc>
        <w:tc>
          <w:tcPr>
            <w:tcW w:type="dxa" w:w="1400"/>
            <w:shd w:fill="FFC7CE" w:val="clear"/>
          </w:tcPr>
          <w:p>
            <w:r>
              <w:rPr>
                <w:b w:val="false"/>
                <w:bCs w:val="false"/>
              </w:rPr>
              <w:t xml:space="preserve">Wrong</w:t>
            </w:r>
          </w:p>
        </w:tc>
      </w:tr>
      <w:tr>
        <w:tc>
          <w:tcPr>
            <w:tcW w:type="dxa" w:w="2400"/>
          </w:tcPr>
          <w:p>
            <w:r>
              <w:rPr>
                <w:b w:val="false"/>
                <w:bCs w:val="false"/>
              </w:rPr>
              <w:t xml:space="preserve">Qwen3-VL-32B AWQ (vision, local)</w:t>
            </w:r>
          </w:p>
        </w:tc>
        <w:tc>
          <w:tcPr>
            <w:tcW w:type="dxa" w:w="5800"/>
          </w:tcPr>
          <w:p>
            <w:r>
              <w:rPr>
                <w:b w:val="false"/>
                <w:bCs w:val="false"/>
              </w:rPr>
              <w:t xml:space="preserve">Pricing structure must be shown in Canadian dollars, Goods and Services Tax (GST) and Provincial Sales Tax (PST) excluded. Pricing structure quoted should be DDP Incoterms 2010 USask.</w:t>
            </w:r>
          </w:p>
        </w:tc>
        <w:tc>
          <w:tcPr>
            <w:tcW w:type="dxa" w:w="1400"/>
            <w:shd w:fill="FFEB9C" w:val="clear"/>
          </w:tcPr>
          <w:p>
            <w:r>
              <w:rPr>
                <w:b w:val="false"/>
                <w:bCs w:val="false"/>
              </w:rPr>
              <w:t xml:space="preserve">Partial</w:t>
            </w:r>
          </w:p>
        </w:tc>
      </w:tr>
    </w:tbl>
    <w:p>
      <w:pPr>
        <w:spacing w:after="80" w:before="260"/>
      </w:pPr>
      <w:r>
        <w:rPr>
          <w:b/>
          <w:bCs/>
          <w:sz w:val="26"/>
          <w:szCs w:val="26"/>
        </w:rPr>
        <w:t xml:space="preserve">12. Minimum Insurance Coverage Requirements</w:t>
      </w:r>
      <w:r>
        <w:rPr>
          <w:i/>
          <w:iCs/>
          <w:color w:val="666666"/>
          <w:sz w:val="20"/>
          <w:szCs w:val="20"/>
        </w:rPr>
        <w:t xml:space="preserve">   [easy]</w:t>
      </w:r>
    </w:p>
    <w:p>
      <w:pPr>
        <w:spacing w:after="60"/>
      </w:pPr>
      <w:r>
        <w:rPr>
          <w:b/>
          <w:bCs/>
        </w:rPr>
        <w:t xml:space="preserve">Ground truth: </w:t>
      </w:r>
      <w:r>
        <w:t xml:space="preserve">Commercial General Liability; Cybersecurity Liability Insurance</w:t>
      </w:r>
    </w:p>
    <w:p>
      <w:pPr>
        <w:spacing w:after="100"/>
      </w:pPr>
      <w:r>
        <w:rPr>
          <w:i/>
          <w:iCs/>
          <w:color w:val="555555"/>
          <w:sz w:val="19"/>
          <w:szCs w:val="19"/>
        </w:rPr>
        <w:t xml:space="preserve">Note: Section 3.11 (p15). Exactly 2 coverage types, both $5,000,000 CAD, both explicitly 'per occurrence'. Clean, unambiguous.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Commercial General Liability; Cybersecurity Liability</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Commercial General Liability Insurance</w:t>
            </w:r>
          </w:p>
        </w:tc>
        <w:tc>
          <w:tcPr>
            <w:tcW w:type="dxa" w:w="1400"/>
            <w:shd w:fill="C6EFCE" w:val="clear"/>
          </w:tcPr>
          <w:p>
            <w:r>
              <w:rPr>
                <w:b w:val="false"/>
                <w:bCs w:val="false"/>
              </w:rPr>
              <w:t xml:space="preserve">Correct</w:t>
            </w:r>
          </w:p>
        </w:tc>
      </w:tr>
      <w:tr>
        <w:tc>
          <w:tcPr>
            <w:tcW w:type="dxa" w:w="2400"/>
          </w:tcPr>
          <w:p>
            <w:r>
              <w:rPr>
                <w:b w:val="false"/>
                <w:bCs w:val="false"/>
              </w:rPr>
              <w:t xml:space="preserve">Qwen3-VL-32B AWQ (vision, local)</w:t>
            </w:r>
          </w:p>
        </w:tc>
        <w:tc>
          <w:tcPr>
            <w:tcW w:type="dxa" w:w="5800"/>
          </w:tcPr>
          <w:p>
            <w:r>
              <w:rPr>
                <w:b w:val="false"/>
                <w:bCs w:val="false"/>
              </w:rPr>
              <w:t xml:space="preserve">Commercial General Liability Insurance; Cybersecurity Liability Insurance</w:t>
            </w:r>
          </w:p>
        </w:tc>
        <w:tc>
          <w:tcPr>
            <w:tcW w:type="dxa" w:w="1400"/>
            <w:shd w:fill="C6EFCE" w:val="clear"/>
          </w:tcPr>
          <w:p>
            <w:r>
              <w:rPr>
                <w:b w:val="false"/>
                <w:bCs w:val="false"/>
              </w:rPr>
              <w:t xml:space="preserve">Correct</w:t>
            </w:r>
          </w:p>
        </w:tc>
      </w:tr>
    </w:tbl>
    <w:p>
      <w:pPr>
        <w:spacing w:after="80" w:before="260"/>
      </w:pPr>
      <w:r>
        <w:rPr>
          <w:b/>
          <w:bCs/>
          <w:sz w:val="26"/>
          <w:szCs w:val="26"/>
        </w:rPr>
        <w:t xml:space="preserve">13. Required Vendor Experience / Qualifications</w:t>
      </w:r>
      <w:r>
        <w:rPr>
          <w:i/>
          <w:iCs/>
          <w:color w:val="666666"/>
          <w:sz w:val="20"/>
          <w:szCs w:val="20"/>
        </w:rPr>
        <w:t xml:space="preserve">   [hard]</w:t>
      </w:r>
    </w:p>
    <w:p>
      <w:pPr>
        <w:spacing w:after="60"/>
      </w:pPr>
      <w:r>
        <w:rPr>
          <w:b/>
          <w:bCs/>
        </w:rPr>
        <w:t xml:space="preserve">Ground truth: </w:t>
      </w:r>
      <w:r>
        <w:t xml:space="preserve">(absent — not specified in the document)</w:t>
      </w:r>
    </w:p>
    <w:p>
      <w:pPr>
        <w:spacing w:after="100"/>
      </w:pPr>
      <w:r>
        <w:rPr>
          <w:i/>
          <w:iCs/>
          <w:color w:val="555555"/>
          <w:sz w:val="19"/>
          <w:szCs w:val="19"/>
        </w:rPr>
        <w:t xml:space="preserve">Note: No explicit years-of-experience number is stated anywhere. 'Experience, competence, and reliability in handling similar projects' appears as a SCORED evaluation criterion (1.17d, worth part of 10 points under Proponent Qualifications) and as a QUESTIONNAIRE prompt (Appendix C: 'How long have you been involved in the generative AI software market?') - neither is phrased as a minimum gate/requirement. Judgment call: marked absent because nothing sets a required minimum; a model reporting a specific number of years here has invented it, and a model reporting the qualitative language as 'present, no number given' would also be defensible - this is the field most worth discussing with your advisor.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Demonstrated ability to work in a large university environment or an organization of similar complexity. Relevant experience, competence, and reliability in handling similar projects.</w:t>
            </w:r>
          </w:p>
        </w:tc>
        <w:tc>
          <w:tcPr>
            <w:tcW w:type="dxa" w:w="1400"/>
            <w:shd w:fill="FFC7CE" w:val="clear"/>
          </w:tcPr>
          <w:p>
            <w:r>
              <w:rPr>
                <w:b w:val="false"/>
                <w:bCs w:val="false"/>
              </w:rPr>
              <w:t xml:space="preserve">Wrong</w:t>
            </w:r>
          </w:p>
        </w:tc>
      </w:tr>
      <w:tr>
        <w:tc>
          <w:tcPr>
            <w:tcW w:type="dxa" w:w="2400"/>
          </w:tcPr>
          <w:p>
            <w:r>
              <w:rPr>
                <w:b w:val="false"/>
                <w:bCs w:val="false"/>
              </w:rPr>
              <w:t xml:space="preserve">Llama-3.3-70B AWQ (text, local)</w:t>
            </w:r>
          </w:p>
        </w:tc>
        <w:tc>
          <w:tcPr>
            <w:tcW w:type="dxa" w:w="5800"/>
          </w:tcPr>
          <w:p>
            <w:r>
              <w:rPr>
                <w:b w:val="false"/>
                <w:bCs w:val="false"/>
              </w:rPr>
              <w:t xml:space="preserve">A complete description of the duration and extent of your company's experience, competence and reliability in handling similar projects.</w:t>
            </w:r>
          </w:p>
        </w:tc>
        <w:tc>
          <w:tcPr>
            <w:tcW w:type="dxa" w:w="1400"/>
            <w:shd w:fill="FFC7CE" w:val="clear"/>
          </w:tcPr>
          <w:p>
            <w:r>
              <w:rPr>
                <w:b w:val="false"/>
                <w:bCs w:val="false"/>
              </w:rPr>
              <w:t xml:space="preserve">Wrong</w:t>
            </w:r>
          </w:p>
        </w:tc>
      </w:tr>
      <w:tr>
        <w:tc>
          <w:tcPr>
            <w:tcW w:type="dxa" w:w="2400"/>
          </w:tcPr>
          <w:p>
            <w:r>
              <w:rPr>
                <w:b w:val="false"/>
                <w:bCs w:val="false"/>
              </w:rPr>
              <w:t xml:space="preserve">Qwen3-VL-32B AWQ (vision, local)</w:t>
            </w:r>
          </w:p>
        </w:tc>
        <w:tc>
          <w:tcPr>
            <w:tcW w:type="dxa" w:w="5800"/>
          </w:tcPr>
          <w:p>
            <w:r>
              <w:rPr>
                <w:b w:val="false"/>
                <w:bCs w:val="false"/>
              </w:rPr>
              <w:t xml:space="preserve">The Proponent must be the direct provider of the services. Proposals from third-party resellers, intermediaries, or distributors will not be considered. The Proponent must demonstrate direct ownership, management, and delivery of the Services outlined in this RFP without reliance on external resellers.</w:t>
            </w:r>
          </w:p>
        </w:tc>
        <w:tc>
          <w:tcPr>
            <w:tcW w:type="dxa" w:w="1400"/>
            <w:shd w:fill="FFC7CE" w:val="clear"/>
          </w:tcPr>
          <w:p>
            <w:r>
              <w:rPr>
                <w:b w:val="false"/>
                <w:bCs w:val="false"/>
              </w:rPr>
              <w:t xml:space="preserve">Wrong</w:t>
            </w:r>
          </w:p>
        </w:tc>
      </w:tr>
    </w:tbl>
    <w:p>
      <w:pPr>
        <w:spacing w:after="80" w:before="260"/>
      </w:pPr>
      <w:r>
        <w:rPr>
          <w:b/>
          <w:bCs/>
          <w:sz w:val="26"/>
          <w:szCs w:val="26"/>
        </w:rPr>
        <w:t xml:space="preserve">14. Number of References Required</w:t>
      </w:r>
      <w:r>
        <w:rPr>
          <w:i/>
          <w:iCs/>
          <w:color w:val="666666"/>
          <w:sz w:val="20"/>
          <w:szCs w:val="20"/>
        </w:rPr>
        <w:t xml:space="preserve">   [easy]</w:t>
      </w:r>
    </w:p>
    <w:p>
      <w:pPr>
        <w:spacing w:after="60"/>
      </w:pPr>
      <w:r>
        <w:rPr>
          <w:b/>
          <w:bCs/>
        </w:rPr>
        <w:t xml:space="preserve">Ground truth: </w:t>
      </w:r>
      <w:r>
        <w:t xml:space="preserve">3</w:t>
      </w:r>
    </w:p>
    <w:p>
      <w:pPr>
        <w:spacing w:after="100"/>
      </w:pPr>
      <w:r>
        <w:rPr>
          <w:i/>
          <w:iCs/>
          <w:color w:val="555555"/>
          <w:sz w:val="19"/>
          <w:szCs w:val="19"/>
        </w:rPr>
        <w:t xml:space="preserve">Note: Section 2.1(h), p11: 'Provide a minimum of three (3) references for similar services'.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3</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3</w:t>
            </w:r>
          </w:p>
        </w:tc>
        <w:tc>
          <w:tcPr>
            <w:tcW w:type="dxa" w:w="1400"/>
            <w:shd w:fill="C6EFCE" w:val="clear"/>
          </w:tcPr>
          <w:p>
            <w:r>
              <w:rPr>
                <w:b w:val="false"/>
                <w:bCs w:val="false"/>
              </w:rPr>
              <w:t xml:space="preserve">Correct</w:t>
            </w:r>
          </w:p>
        </w:tc>
      </w:tr>
      <w:tr>
        <w:tc>
          <w:tcPr>
            <w:tcW w:type="dxa" w:w="2400"/>
          </w:tcPr>
          <w:p>
            <w:r>
              <w:rPr>
                <w:b w:val="false"/>
                <w:bCs w:val="false"/>
              </w:rPr>
              <w:t xml:space="preserve">Qwen3-VL-32B AWQ (vision, local)</w:t>
            </w:r>
          </w:p>
        </w:tc>
        <w:tc>
          <w:tcPr>
            <w:tcW w:type="dxa" w:w="5800"/>
          </w:tcPr>
          <w:p>
            <w:r>
              <w:rPr>
                <w:b w:val="false"/>
                <w:bCs w:val="false"/>
              </w:rPr>
              <w:t xml:space="preserve">3</w:t>
            </w:r>
          </w:p>
        </w:tc>
        <w:tc>
          <w:tcPr>
            <w:tcW w:type="dxa" w:w="1400"/>
            <w:shd w:fill="C6EFCE" w:val="clear"/>
          </w:tcPr>
          <w:p>
            <w:r>
              <w:rPr>
                <w:b w:val="false"/>
                <w:bCs w:val="false"/>
              </w:rPr>
              <w:t xml:space="preserve">Correct</w:t>
            </w:r>
          </w:p>
        </w:tc>
      </w:tr>
    </w:tbl>
    <w:p>
      <w:pPr>
        <w:spacing w:after="80" w:before="260"/>
      </w:pPr>
      <w:r>
        <w:rPr>
          <w:b/>
          <w:bCs/>
          <w:sz w:val="26"/>
          <w:szCs w:val="26"/>
        </w:rPr>
        <w:t xml:space="preserve">15. Data Security / Privacy Compliance Requirements</w:t>
      </w:r>
      <w:r>
        <w:rPr>
          <w:i/>
          <w:iCs/>
          <w:color w:val="666666"/>
          <w:sz w:val="20"/>
          <w:szCs w:val="20"/>
        </w:rPr>
        <w:t xml:space="preserve">   [hard]</w:t>
      </w:r>
    </w:p>
    <w:p>
      <w:pPr>
        <w:spacing w:after="60"/>
      </w:pPr>
      <w:r>
        <w:rPr>
          <w:b/>
          <w:bCs/>
        </w:rPr>
        <w:t xml:space="preserve">Ground truth: </w:t>
      </w:r>
      <w:r>
        <w:t xml:space="preserve">Compliance with Copyright Act (Canada); Compliance with Personal Information Protection and Electronic Documents Act (Canada); Compliance with The Local Authority Freedom of Information and Protection of Privacy Act (Saskatchewan) (LA FOIP); Compliance with The Health Information Protection Act (Saskatchewan) (HIPA), where applicable; Completed USask SaaS Vendor Form OR a Higher Education Community Vendor Assessment Toolkit (HECVAT) required with proposal; Encryption, regular security audits, and compliance with industry best practices for data security</w:t>
      </w:r>
    </w:p>
    <w:p>
      <w:pPr>
        <w:spacing w:after="100"/>
      </w:pPr>
      <w:r>
        <w:rPr>
          <w:i/>
          <w:iCs/>
          <w:color w:val="555555"/>
          <w:sz w:val="19"/>
          <w:szCs w:val="19"/>
        </w:rPr>
        <w:t xml:space="preserve">Note: Combines Appendix B.2 item 1 (named regulations) and item 3 (SaaS Form/HECVAT + encryption/audits) - two separate numbered items in the same appendix, easy to report only one half. The 30+ line-item HECVAT-style questionnaire in Appendix E is NOT itself a list of requirements - it's a form the vendor fills in; don't credit a model for dumping the questionnaire's line items here.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Compliance with Intellectual Property and Privacy Regulations: An understanding and ability to comply with applicable intellectual property and privacy regulations including the Copyright Act (Canada), the Personal Information Protection and Electronic Documents Act (Canada), The Local Authority Freedom of Information and Protection of Privacy Act (Saskatchewan) (LA FOIP) and, where applicable, The Health Information Protection Act (Saskatchewan) (HIPA). This includes ensuring that all material subject to copyright and all personal and sensitive data is handled in accordance with these regulations, protecting the intellectual property rights and privacy of individuals and maintaining the confidentiality of their information; Infrastructure Protection: Proponent is directly responsible for protecting the infrastructure that runs all of the services offered in their Proposal. This infrastructure is composed of the hardware, software, networking, and facilities that run the proposed AI platform services.; Security and Data Protection Requirements: The ability to meet or exceed the University of Saskatchewan’s security requirements. Proponents must provide a completed USask SaaS Form or alternatively a Higher Education Community Vendor Assessment Toolkit (HECVAT) with their proposal. This includes demonstrating comprehensive data protection strategies such as encryption, regular security audits, and compliance with industry best practices for data security.</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encryption; regular security audits; compliance with industry best practices for data security</w:t>
            </w:r>
          </w:p>
        </w:tc>
        <w:tc>
          <w:tcPr>
            <w:tcW w:type="dxa" w:w="1400"/>
            <w:shd w:fill="FFC7CE" w:val="clear"/>
          </w:tcPr>
          <w:p>
            <w:r>
              <w:rPr>
                <w:b w:val="false"/>
                <w:bCs w:val="false"/>
              </w:rPr>
              <w:t xml:space="preserve">Wrong</w:t>
            </w:r>
          </w:p>
        </w:tc>
      </w:tr>
      <w:tr>
        <w:tc>
          <w:tcPr>
            <w:tcW w:type="dxa" w:w="2400"/>
          </w:tcPr>
          <w:p>
            <w:r>
              <w:rPr>
                <w:b w:val="false"/>
                <w:bCs w:val="false"/>
              </w:rPr>
              <w:t xml:space="preserve">Qwen3-VL-32B AWQ (vision, local)</w:t>
            </w:r>
          </w:p>
        </w:tc>
        <w:tc>
          <w:tcPr>
            <w:tcW w:type="dxa" w:w="5800"/>
          </w:tcPr>
          <w:p>
            <w:r>
              <w:rPr>
                <w:b w:val="false"/>
                <w:bCs w:val="false"/>
              </w:rPr>
              <w:t xml:space="preserve">Compliance with Intellectual Property and Privacy Regulations: An understanding and ability to comply with applicable intellectual property and privacy regulations including the Copyright Act (Canada), the Personal Information Protection and Electronic Documents Act (Canada), The Local Authority Freedom of Information and Protection of Privacy Act (Saskatchewan) (LA FOIP) and, where applicable, The Health Information Protection Act (Saskatchewan) (HIPA). This includes ensuring that all material subject to copyright and all personal and sensitive data is handled in accordance with these regulations, protecting the intellectual property rights and privacy of individuals and maintaining the confidentiality of their information; Infrastructure Protection: Proponent is directly responsible for protecting the infrastructure that runs all of the services offered in their Proposal. This infrastructure is composed of the hardware, software, networking, and facilities that run the proposed AI platform services.; Security and Data Protection Requirements: The ability to meet or exceed the University of Saskatchewan's security requirements. Proponents must provide a completed USask SaaS Form or alternatively a Higher Education Community Vendor Assessment Toolkit (HECVAT) with their proposal. This includes demonstrating comprehensive data protection strategies such as encryption, regular security audits, and compliance with industry best practices for data security.</w:t>
            </w:r>
          </w:p>
        </w:tc>
        <w:tc>
          <w:tcPr>
            <w:tcW w:type="dxa" w:w="1400"/>
            <w:shd w:fill="C6EFCE" w:val="clear"/>
          </w:tcPr>
          <w:p>
            <w:r>
              <w:rPr>
                <w:b w:val="false"/>
                <w:bCs w:val="false"/>
              </w:rPr>
              <w:t xml:space="preserve">Correct</w:t>
            </w:r>
          </w:p>
        </w:tc>
      </w:tr>
    </w:tbl>
    <w:p>
      <w:pPr>
        <w:spacing w:after="80" w:before="260"/>
      </w:pPr>
      <w:r>
        <w:rPr>
          <w:b/>
          <w:bCs/>
          <w:sz w:val="26"/>
          <w:szCs w:val="26"/>
        </w:rPr>
        <w:t xml:space="preserve">16. Data Hosting / Residency Requirements</w:t>
      </w:r>
      <w:r>
        <w:rPr>
          <w:i/>
          <w:iCs/>
          <w:color w:val="666666"/>
          <w:sz w:val="20"/>
          <w:szCs w:val="20"/>
        </w:rPr>
        <w:t xml:space="preserve">   [hard]</w:t>
      </w:r>
    </w:p>
    <w:p>
      <w:pPr>
        <w:spacing w:after="60"/>
      </w:pPr>
      <w:r>
        <w:rPr>
          <w:b/>
          <w:bCs/>
        </w:rPr>
        <w:t xml:space="preserve">Ground truth: </w:t>
      </w:r>
      <w:r>
        <w:t xml:space="preserve">(absent — not specified in the document)</w:t>
      </w:r>
    </w:p>
    <w:p>
      <w:pPr>
        <w:spacing w:after="100"/>
      </w:pPr>
      <w:r>
        <w:rPr>
          <w:i/>
          <w:iCs/>
          <w:color w:val="555555"/>
          <w:sz w:val="19"/>
          <w:szCs w:val="19"/>
        </w:rPr>
        <w:t xml:space="preserve">Note: No explicit residency requirement (e.g. 'data must remain in Canada') is stated anywhere. Appendix E Part II asks the VENDOR to answer 'Is your organisation able to restrict the jurisdiction where university data is stored?' and 'Where are the service's data centre(s) located?' - these are QUESTIONNAIRE QUESTIONS posed to bidders, not a requirement USask is imposing. Same present-vs-asked-about trap as vendor_experience_required and the same trap found earlier on a different RFP in this benchmark ('assessment of data residency' being a scope task, not a requirement) - this looks like a systematic failure mode worth naming in the writeup if multiple models trip on it here too.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(said absent)</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(said absent)</w:t>
            </w:r>
          </w:p>
        </w:tc>
        <w:tc>
          <w:tcPr>
            <w:tcW w:type="dxa" w:w="1400"/>
            <w:shd w:fill="C6EFCE" w:val="clear"/>
          </w:tcPr>
          <w:p>
            <w:r>
              <w:rPr>
                <w:b w:val="false"/>
                <w:bCs w:val="false"/>
              </w:rPr>
              <w:t xml:space="preserve">Correct</w:t>
            </w:r>
          </w:p>
        </w:tc>
      </w:tr>
      <w:tr>
        <w:tc>
          <w:tcPr>
            <w:tcW w:type="dxa" w:w="2400"/>
          </w:tcPr>
          <w:p>
            <w:r>
              <w:rPr>
                <w:b w:val="false"/>
                <w:bCs w:val="false"/>
              </w:rPr>
              <w:t xml:space="preserve">Qwen3-VL-32B AWQ (vision, local)</w:t>
            </w:r>
          </w:p>
        </w:tc>
        <w:tc>
          <w:tcPr>
            <w:tcW w:type="dxa" w:w="5800"/>
          </w:tcPr>
          <w:p>
            <w:r>
              <w:rPr>
                <w:b w:val="false"/>
                <w:bCs w:val="false"/>
              </w:rPr>
              <w:t xml:space="preserve">(said absent)</w:t>
            </w:r>
          </w:p>
        </w:tc>
        <w:tc>
          <w:tcPr>
            <w:tcW w:type="dxa" w:w="1400"/>
            <w:shd w:fill="C6EFCE" w:val="clear"/>
          </w:tcPr>
          <w:p>
            <w:r>
              <w:rPr>
                <w:b w:val="false"/>
                <w:bCs w:val="false"/>
              </w:rPr>
              <w:t xml:space="preserve">Correct</w:t>
            </w:r>
          </w:p>
        </w:tc>
      </w:tr>
    </w:tbl>
    <w:p>
      <w:pPr>
        <w:spacing w:after="80" w:before="260"/>
      </w:pPr>
      <w:r>
        <w:rPr>
          <w:b/>
          <w:bCs/>
          <w:sz w:val="26"/>
          <w:szCs w:val="26"/>
        </w:rPr>
        <w:t xml:space="preserve">17. Vendor Demonstration Requirement</w:t>
      </w:r>
      <w:r>
        <w:rPr>
          <w:i/>
          <w:iCs/>
          <w:color w:val="666666"/>
          <w:sz w:val="20"/>
          <w:szCs w:val="20"/>
        </w:rPr>
        <w:t xml:space="preserve">   [easy]</w:t>
      </w:r>
    </w:p>
    <w:p>
      <w:pPr>
        <w:spacing w:after="60"/>
      </w:pPr>
      <w:r>
        <w:rPr>
          <w:b/>
          <w:bCs/>
        </w:rPr>
        <w:t xml:space="preserve">Ground truth: </w:t>
      </w:r>
      <w:r>
        <w:t xml:space="preserve">True</w:t>
      </w:r>
    </w:p>
    <w:p>
      <w:pPr>
        <w:spacing w:after="100"/>
      </w:pPr>
      <w:r>
        <w:rPr>
          <w:i/>
          <w:iCs/>
          <w:color w:val="555555"/>
          <w:sz w:val="19"/>
          <w:szCs w:val="19"/>
        </w:rPr>
        <w:t xml:space="preserve">Note: Section 1.13 (p7): 'Proponents may be contacted after the RFP closing to arrange for presentations to clarify Proposals, product demonstrations and/or an inspection of their operations. This may or may not be requested.' Conditional/discretionary, not guaranteed - but the field type is boolean 'may a demo be required', so true is correct.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400"/>
      </w:tblGrid>
      <w:tr>
        <w:trPr>
          <w:tblHeader/>
        </w:trPr>
        <w:tc>
          <w:tcPr>
            <w:tcW w:type="dxa" w:w="2400"/>
            <w:shd w:fill="D9D9D9" w:val="clear"/>
          </w:tcPr>
          <w:p>
            <w:r>
              <w:rPr>
                <w:b/>
                <w:bCs/>
              </w:rPr>
              <w:t xml:space="preserve">Model</w:t>
            </w:r>
          </w:p>
        </w:tc>
        <w:tc>
          <w:tcPr>
            <w:tcW w:type="dxa" w:w="5800"/>
            <w:shd w:fill="D9D9D9" w:val="clear"/>
          </w:tcPr>
          <w:p>
            <w:r>
              <w:rPr>
                <w:b/>
                <w:bCs/>
              </w:rPr>
              <w:t xml:space="preserve">Answer</w:t>
            </w:r>
          </w:p>
        </w:tc>
        <w:tc>
          <w:tcPr>
            <w:tcW w:type="dxa" w:w="1400"/>
            <w:shd w:fill="D9D9D9" w:val="clear"/>
          </w:tcPr>
          <w:p>
            <w:r>
              <w:rPr>
                <w:b/>
                <w:bCs/>
              </w:rPr>
              <w:t xml:space="preserve">Verdict</w:t>
            </w:r>
          </w:p>
        </w:tc>
      </w:tr>
      <w:tr>
        <w:tc>
          <w:tcPr>
            <w:tcW w:type="dxa" w:w="2400"/>
          </w:tcPr>
          <w:p>
            <w:r>
              <w:rPr>
                <w:b w:val="false"/>
                <w:bCs w:val="false"/>
              </w:rPr>
              <w:t xml:space="preserve">GPT-4o (text)</w:t>
            </w:r>
          </w:p>
        </w:tc>
        <w:tc>
          <w:tcPr>
            <w:tcW w:type="dxa" w:w="5800"/>
          </w:tcPr>
          <w:p>
            <w:r>
              <w:rPr>
                <w:b w:val="false"/>
                <w:bCs w:val="false"/>
              </w:rPr>
              <w:t xml:space="preserve">True</w:t>
            </w:r>
          </w:p>
        </w:tc>
        <w:tc>
          <w:tcPr>
            <w:tcW w:type="dxa" w:w="1400"/>
            <w:shd w:fill="C6EFCE" w:val="clear"/>
          </w:tcPr>
          <w:p>
            <w:r>
              <w:rPr>
                <w:b w:val="false"/>
                <w:bCs w:val="false"/>
              </w:rPr>
              <w:t xml:space="preserve">Correct</w:t>
            </w:r>
          </w:p>
        </w:tc>
      </w:tr>
      <w:tr>
        <w:tc>
          <w:tcPr>
            <w:tcW w:type="dxa" w:w="2400"/>
          </w:tcPr>
          <w:p>
            <w:r>
              <w:rPr>
                <w:b w:val="false"/>
                <w:bCs w:val="false"/>
              </w:rPr>
              <w:t xml:space="preserve">Llama-3.3-70B AWQ (text, local)</w:t>
            </w:r>
          </w:p>
        </w:tc>
        <w:tc>
          <w:tcPr>
            <w:tcW w:type="dxa" w:w="5800"/>
          </w:tcPr>
          <w:p>
            <w:r>
              <w:rPr>
                <w:b w:val="false"/>
                <w:bCs w:val="false"/>
              </w:rPr>
              <w:t xml:space="preserve">True</w:t>
            </w:r>
          </w:p>
        </w:tc>
        <w:tc>
          <w:tcPr>
            <w:tcW w:type="dxa" w:w="1400"/>
            <w:shd w:fill="C6EFCE" w:val="clear"/>
          </w:tcPr>
          <w:p>
            <w:r>
              <w:rPr>
                <w:b w:val="false"/>
                <w:bCs w:val="false"/>
              </w:rPr>
              <w:t xml:space="preserve">Correct</w:t>
            </w:r>
          </w:p>
        </w:tc>
      </w:tr>
      <w:tr>
        <w:tc>
          <w:tcPr>
            <w:tcW w:type="dxa" w:w="2400"/>
          </w:tcPr>
          <w:p>
            <w:r>
              <w:rPr>
                <w:b w:val="false"/>
                <w:bCs w:val="false"/>
              </w:rPr>
              <w:t xml:space="preserve">Qwen3-VL-32B AWQ (vision, local)</w:t>
            </w:r>
          </w:p>
        </w:tc>
        <w:tc>
          <w:tcPr>
            <w:tcW w:type="dxa" w:w="5800"/>
          </w:tcPr>
          <w:p>
            <w:r>
              <w:rPr>
                <w:b w:val="false"/>
                <w:bCs w:val="false"/>
              </w:rPr>
              <w:t xml:space="preserve">True</w:t>
            </w:r>
          </w:p>
        </w:tc>
        <w:tc>
          <w:tcPr>
            <w:tcW w:type="dxa" w:w="1400"/>
            <w:shd w:fill="C6EFCE" w:val="clear"/>
          </w:tcPr>
          <w:p>
            <w:r>
              <w:rPr>
                <w:b w:val="false"/>
                <w:bCs w:val="false"/>
              </w:rPr>
              <w:t xml:space="preserve">Correct</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2026-09-20T07:45:24.604Z</dcterms:created>
  <dcterms:modified xsi:type="dcterms:W3CDTF">2026-09-20T07:45:24.604Z</dcterms:modified>
</cp:coreProperties>
</file>

<file path=docProps/custom.xml><?xml version="1.0" encoding="utf-8"?>
<Properties xmlns="http://schemas.openxmlformats.org/officeDocument/2006/custom-properties" xmlns:vt="http://schemas.openxmlformats.org/officeDocument/2006/docPropsVTypes"/>
</file>