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1200" w:line="276" w:lineRule="auto"/>
        <w:jc w:val="center"/>
        <w:keepNext w:val="0"/>
        <w:bidi w:val="1"/>
      </w:pPr>
      <w:r>
        <w:rPr>
          <w:rFonts w:ascii="Noto Sans Arabic" w:hAnsi="Noto Sans Arabic" w:cs="Noto Sans Arabic" w:eastAsia="Noto Sans Arabic"/>
          <w:b/>
          <w:color w:val="17365D"/>
          <w:sz w:val="50"/>
          <w:rtl w:val="1"/>
        </w:rPr>
        <w:t>ملخص متطلبات وتحسينات العميل</w:t>
      </w:r>
    </w:p>
    <w:p>
      <w:pPr>
        <w:spacing w:after="240" w:before="0" w:line="276" w:lineRule="auto"/>
        <w:jc w:val="center"/>
        <w:keepNext w:val="0"/>
        <w:bidi w:val="1"/>
      </w:pPr>
      <w:r>
        <w:rPr>
          <w:rFonts w:ascii="Noto Sans Arabic" w:hAnsi="Noto Sans Arabic" w:cs="Noto Sans Arabic" w:eastAsia="Noto Sans Arabic"/>
          <w:b/>
          <w:color w:val="1F7A8C"/>
          <w:sz w:val="28"/>
          <w:rtl w:val="1"/>
        </w:rPr>
        <w:t>مشروع NCC – مصنع SDPF | مرحلة إثبات المفهوم (PoC)</w:t>
      </w:r>
    </w:p>
    <w:tbl>
      <w:tblPr>
        <w:tblW w:type="auto" w:w="0"/>
        <w:jc w:val="center"/>
        <w:tblLayout w:type="fixed"/>
        <w:tblLook w:firstColumn="1" w:firstRow="1" w:lastColumn="0" w:lastRow="0" w:noHBand="0" w:noVBand="1" w:val="04A0"/>
      </w:tblPr>
      <w:tblGrid>
        <w:gridCol w:w="3408"/>
        <w:gridCol w:w="3408"/>
        <w:gridCol w:w="3408"/>
      </w:tblGrid>
      <w:tr>
        <w:trPr>
          <w:cantSplit/>
        </w:trPr>
        <w:tc>
          <w:tcPr>
            <w:tcW w:type="dxa" w:w="3024"/>
            <w:shd w:fill="1F7A8C"/>
          </w:tcPr>
          <w:p>
            <w:r>
              <w:t xml:space="preserve"> </w:t>
            </w:r>
          </w:p>
        </w:tc>
        <w:tc>
          <w:tcPr>
            <w:tcW w:type="dxa" w:w="3024"/>
            <w:shd w:fill="2F75B5"/>
          </w:tcPr>
          <w:p>
            <w:r>
              <w:t xml:space="preserve"> </w:t>
            </w:r>
          </w:p>
        </w:tc>
        <w:tc>
          <w:tcPr>
            <w:tcW w:type="dxa" w:w="3024"/>
            <w:shd w:fill="17365D"/>
          </w:tcPr>
          <w:p>
            <w:r>
              <w:t xml:space="preserve"> </w:t>
            </w:r>
          </w:p>
        </w:tc>
      </w:tr>
    </w:tbl>
    <w:p>
      <w:pPr>
        <w:spacing w:after="280" w:before="0" w:line="276" w:lineRule="auto"/>
        <w:jc w:val="right"/>
        <w:keepNext w:val="0"/>
        <w:bidi w:val="1"/>
      </w:pPr>
    </w:p>
    <w:tbl>
      <w:tblPr>
        <w:tblW w:type="auto" w:w="0"/>
        <w:jc w:val="center"/>
        <w:tblLook w:firstColumn="1" w:firstRow="1" w:lastColumn="0" w:lastRow="0" w:noHBand="0" w:noVBand="1" w:val="04A0"/>
      </w:tblPr>
      <w:tblGrid>
        <w:gridCol w:w="10224"/>
      </w:tblGrid>
      <w:tr>
        <w:trPr>
          <w:cantSplit/>
        </w:trPr>
        <w:tc>
          <w:tcPr>
            <w:tcW w:type="dxa" w:w="10224"/>
            <w:shd w:fill="DDEBF0"/>
            <w:tcMar>
              <w:top w:w="100" w:type="dxa"/>
              <w:start w:w="130" w:type="dxa"/>
              <w:bottom w:w="100" w:type="dxa"/>
              <w:end w:w="130" w:type="dxa"/>
            </w:tcMar>
            <w:tcBorders>
              <w:top w:val="single" w:sz="6" w:color="1F7A8C"/>
              <w:left w:val="single" w:sz="6" w:color="1F7A8C"/>
              <w:bottom w:val="single" w:sz="6" w:color="1F7A8C"/>
              <w:right w:val="single" w:sz="6" w:color="1F7A8C"/>
            </w:tcBorders>
          </w:tcPr>
          <w:p>
            <w:pPr>
              <w:jc w:val="right"/>
              <w:bidi w:val="1"/>
            </w:pPr>
            <w:r>
              <w:rPr>
                <w:rFonts w:ascii="Noto Sans Arabic" w:hAnsi="Noto Sans Arabic" w:cs="Noto Sans Arabic" w:eastAsia="Noto Sans Arabic"/>
                <w:b/>
                <w:color w:val="17365D"/>
                <w:sz w:val="23"/>
                <w:rtl w:val="1"/>
              </w:rPr>
              <w:t>الغرض من المستند</w:t>
            </w:r>
          </w:p>
          <w:p>
            <w:pPr>
              <w:spacing w:after="40"/>
              <w:jc w:val="right"/>
              <w:bidi w:val="1"/>
            </w:pPr>
            <w:r>
              <w:rPr>
                <w:rFonts w:ascii="Noto Sans Arabic" w:hAnsi="Noto Sans Arabic" w:cs="Noto Sans Arabic" w:eastAsia="Noto Sans Arabic"/>
                <w:color w:val="1F1F1F"/>
                <w:sz w:val="21"/>
                <w:rtl w:val="1"/>
              </w:rPr>
              <w:t>• تجميع جميع طلبات العميل الواردة في المراسلات الأخيرة في صورة عربية مبسطة وواضحة.</w:t>
            </w:r>
          </w:p>
          <w:p>
            <w:pPr>
              <w:spacing w:after="40"/>
              <w:jc w:val="right"/>
              <w:bidi w:val="1"/>
            </w:pPr>
            <w:r>
              <w:rPr>
                <w:rFonts w:ascii="Noto Sans Arabic" w:hAnsi="Noto Sans Arabic" w:cs="Noto Sans Arabic" w:eastAsia="Noto Sans Arabic"/>
                <w:color w:val="1F1F1F"/>
                <w:sz w:val="21"/>
                <w:rtl w:val="1"/>
              </w:rPr>
              <w:t>• تحديد ما المطلوب تنفيذه داخل النظام، وما المطلوب شرحه أو مراجعته، وما يحتاج إلى تأكيد إضافي من العميل.</w:t>
            </w:r>
          </w:p>
          <w:p>
            <w:pPr>
              <w:spacing w:after="40"/>
              <w:jc w:val="right"/>
              <w:bidi w:val="1"/>
            </w:pPr>
            <w:r>
              <w:rPr>
                <w:rFonts w:ascii="Noto Sans Arabic" w:hAnsi="Noto Sans Arabic" w:cs="Noto Sans Arabic" w:eastAsia="Noto Sans Arabic"/>
                <w:color w:val="1F1F1F"/>
                <w:sz w:val="21"/>
                <w:rtl w:val="1"/>
              </w:rPr>
              <w:t>• مساعدة فريق التطوير والتنفيذ في تجهيز خطة العمل ونقاط النقاش للزيارة والاجتماع القادم.</w:t>
            </w:r>
          </w:p>
        </w:tc>
      </w:tr>
    </w:tbl>
    <w:p>
      <w:pPr>
        <w:spacing w:after="40" w:before="0" w:line="276" w:lineRule="auto"/>
        <w:jc w:val="right"/>
        <w:keepNext w:val="0"/>
        <w:bidi w:val="1"/>
      </w:pPr>
    </w:p>
    <w:p>
      <w:pPr>
        <w:spacing w:after="80" w:before="360" w:line="276" w:lineRule="auto"/>
        <w:jc w:val="center"/>
        <w:keepNext w:val="0"/>
        <w:bidi w:val="1"/>
      </w:pPr>
      <w:r>
        <w:rPr>
          <w:rFonts w:ascii="Noto Sans Arabic" w:hAnsi="Noto Sans Arabic" w:cs="Noto Sans Arabic" w:eastAsia="Noto Sans Arabic"/>
          <w:b/>
          <w:color w:val="17365D"/>
          <w:sz w:val="22"/>
          <w:rtl w:val="1"/>
        </w:rPr>
        <w:t>إعداد: م. أحمد جمال – IPIC</w:t>
      </w:r>
    </w:p>
    <w:p>
      <w:pPr>
        <w:spacing w:after="80" w:before="0" w:line="276" w:lineRule="auto"/>
        <w:jc w:val="center"/>
        <w:keepNext w:val="0"/>
        <w:bidi w:val="1"/>
      </w:pPr>
      <w:r>
        <w:rPr>
          <w:rFonts w:ascii="Noto Sans Arabic" w:hAnsi="Noto Sans Arabic" w:cs="Noto Sans Arabic" w:eastAsia="Noto Sans Arabic"/>
          <w:b w:val="0"/>
          <w:color w:val="666666"/>
          <w:sz w:val="21"/>
          <w:rtl w:val="1"/>
        </w:rPr>
        <w:t>التاريخ: 4 أغسطس 2026</w:t>
      </w:r>
    </w:p>
    <w:p>
      <w:r>
        <w:br w:type="page"/>
      </w:r>
    </w:p>
    <w:tbl>
      <w:tblPr>
        <w:tblW w:type="auto" w:w="0"/>
        <w:jc w:val="right"/>
        <w:tblLayout w:type="fixed"/>
        <w:tblLook w:firstColumn="1" w:firstRow="1" w:lastColumn="0" w:lastRow="0" w:noHBand="0" w:noVBand="1" w:val="04A0"/>
      </w:tblPr>
      <w:tblGrid>
        <w:gridCol w:w="1008"/>
        <w:gridCol w:w="9072"/>
      </w:tblGrid>
      <w:tr>
        <w:trPr>
          <w:cantSplit/>
        </w:trPr>
        <w:tc>
          <w:tcPr>
            <w:tcW w:type="dxa" w:w="5112"/>
            <w:shd w:fill="1F7A8C"/>
            <w:tcMar>
              <w:top w:w="50" w:type="dxa"/>
              <w:start w:w="80" w:type="dxa"/>
              <w:bottom w:w="50" w:type="dxa"/>
              <w:end w:w="80" w:type="dxa"/>
            </w:tcMar>
            <w:vAlign w:val="center"/>
          </w:tcPr>
          <w:p>
            <w:pPr>
              <w:jc w:val="center"/>
              <w:bidi w:val="1"/>
            </w:pPr>
            <w:r>
              <w:rPr>
                <w:rFonts w:ascii="Noto Sans Arabic" w:hAnsi="Noto Sans Arabic" w:cs="Noto Sans Arabic" w:eastAsia="Noto Sans Arabic"/>
                <w:b/>
                <w:color w:val="FFFFFF"/>
                <w:sz w:val="24"/>
                <w:rtl w:val="1"/>
              </w:rPr>
              <w:t>1</w:t>
            </w:r>
          </w:p>
        </w:tc>
        <w:tc>
          <w:tcPr>
            <w:tcW w:type="dxa" w:w="5112"/>
            <w:shd w:fill="17365D"/>
            <w:tcMar>
              <w:top w:w="50" w:type="dxa"/>
              <w:start w:w="100" w:type="dxa"/>
              <w:bottom w:w="50" w:type="dxa"/>
              <w:end w:w="100" w:type="dxa"/>
            </w:tcMar>
            <w:vAlign w:val="center"/>
          </w:tcPr>
          <w:p>
            <w:pPr>
              <w:jc w:val="right"/>
              <w:bidi w:val="1"/>
            </w:pPr>
            <w:r>
              <w:rPr>
                <w:rFonts w:ascii="Noto Sans Arabic" w:hAnsi="Noto Sans Arabic" w:cs="Noto Sans Arabic" w:eastAsia="Noto Sans Arabic"/>
                <w:b/>
                <w:color w:val="FFFFFF"/>
                <w:sz w:val="26"/>
                <w:rtl w:val="1"/>
              </w:rPr>
              <w:t>الخلاصة التنفيذية: ما الذي يريده العميل؟</w:t>
            </w:r>
          </w:p>
        </w:tc>
      </w:tr>
    </w:tbl>
    <w:p>
      <w:pPr>
        <w:spacing w:after="40" w:before="0" w:line="276" w:lineRule="auto"/>
        <w:jc w:val="right"/>
        <w:keepNext w:val="0"/>
        <w:bidi w:val="1"/>
      </w:pPr>
    </w:p>
    <w:p>
      <w:pPr>
        <w:spacing w:after="120" w:before="0" w:line="276" w:lineRule="auto"/>
        <w:jc w:val="right"/>
        <w:keepNext w:val="0"/>
        <w:bidi w:val="1"/>
      </w:pPr>
      <w:r>
        <w:rPr>
          <w:rFonts w:ascii="Noto Sans Arabic" w:hAnsi="Noto Sans Arabic" w:cs="Noto Sans Arabic" w:eastAsia="Noto Sans Arabic"/>
          <w:b w:val="0"/>
          <w:sz w:val="21"/>
          <w:rtl w:val="1"/>
        </w:rPr>
        <w:t>العميل يريد أن تصبح نتائج الـPoC أكثر واقعية واعتمادًا على إشارات التشغيل الفعلية، بدلًا من الاعتماد الكبير على الإدخال اليدوي أو حساب مؤشرات الأداء بطريقة لا تعكس سلوك خط الإنتاج الحقيقي. الطلبات تتركز في سبعة محاور رئيسية:</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تصحيح الشكل المرئي لخط الإنتاج ومواقع المعدات داخل شاشة Plant Live View.</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أتمتة اكتشاف التوقفات باستخدام إشارات الـStack Light، مع إبقاء اختيار سبب التوقف للمشغل.</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تعديل طريقة حساب OEE للخط بالكامل لتبنى على الماكينة عنق الزجاجة وليس متوسط OEE جميع الماكينات.</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التعرف تلقائيًا على حالات Starved وBlocked للماكينات التابعة حتى لا تُحسب كخسائر أعطال أو أداء.</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إضافة مؤشرات إنتاج جديدة ومراجعة ظهور مؤشرات الجودة داخل التقارير.</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توضيح منهجية MTBF وMTTR وتوحيد النتائج بين تقارير الصيانة ومركز قيادة التوقفات.</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ربط استهلاك الطاقة بالماكينات وأوامر العمل وإضافة مؤشر البصمة الكربونية Scope 2.</w:t>
      </w:r>
    </w:p>
    <w:tbl>
      <w:tblPr>
        <w:tblW w:type="auto" w:w="0"/>
        <w:jc w:val="center"/>
        <w:tblLook w:firstColumn="1" w:firstRow="1" w:lastColumn="0" w:lastRow="0" w:noHBand="0" w:noVBand="1" w:val="04A0"/>
      </w:tblPr>
      <w:tblGrid>
        <w:gridCol w:w="10224"/>
      </w:tblGrid>
      <w:tr>
        <w:trPr>
          <w:cantSplit/>
        </w:trPr>
        <w:tc>
          <w:tcPr>
            <w:tcW w:type="dxa" w:w="10224"/>
            <w:shd w:fill="FFF2CC"/>
            <w:tcMar>
              <w:top w:w="100" w:type="dxa"/>
              <w:start w:w="130" w:type="dxa"/>
              <w:bottom w:w="100" w:type="dxa"/>
              <w:end w:w="130" w:type="dxa"/>
            </w:tcMar>
            <w:tcBorders>
              <w:top w:val="single" w:sz="6" w:color="BF9000"/>
              <w:left w:val="single" w:sz="6" w:color="BF9000"/>
              <w:bottom w:val="single" w:sz="6" w:color="BF9000"/>
              <w:right w:val="single" w:sz="6" w:color="BF9000"/>
            </w:tcBorders>
          </w:tcPr>
          <w:p>
            <w:pPr>
              <w:jc w:val="right"/>
              <w:bidi w:val="1"/>
            </w:pPr>
            <w:r>
              <w:rPr>
                <w:rFonts w:ascii="Noto Sans Arabic" w:hAnsi="Noto Sans Arabic" w:cs="Noto Sans Arabic" w:eastAsia="Noto Sans Arabic"/>
                <w:b/>
                <w:color w:val="17365D"/>
                <w:sz w:val="23"/>
                <w:rtl w:val="1"/>
              </w:rPr>
              <w:t>النقطة الأهم في نطاق الـPoC</w:t>
            </w:r>
          </w:p>
          <w:p>
            <w:pPr>
              <w:spacing w:after="40"/>
              <w:jc w:val="right"/>
              <w:bidi w:val="1"/>
            </w:pPr>
            <w:r>
              <w:rPr>
                <w:rFonts w:ascii="Noto Sans Arabic" w:hAnsi="Noto Sans Arabic" w:cs="Noto Sans Arabic" w:eastAsia="Noto Sans Arabic"/>
                <w:color w:val="1F1F1F"/>
                <w:sz w:val="21"/>
                <w:rtl w:val="1"/>
              </w:rPr>
              <w:t>• العميل لا يطلب إعادة تصميم منطق خط الإنتاج بالكامل في هذه المرحلة.</w:t>
            </w:r>
          </w:p>
          <w:p>
            <w:pPr>
              <w:spacing w:after="40"/>
              <w:jc w:val="right"/>
              <w:bidi w:val="1"/>
            </w:pPr>
            <w:r>
              <w:rPr>
                <w:rFonts w:ascii="Noto Sans Arabic" w:hAnsi="Noto Sans Arabic" w:cs="Noto Sans Arabic" w:eastAsia="Noto Sans Arabic"/>
                <w:color w:val="1F1F1F"/>
                <w:sz w:val="21"/>
                <w:rtl w:val="1"/>
              </w:rPr>
              <w:t>• يكفي إثبات الفكرة على ماكينة واحدة من الماكينات التابعة، مثل Palletizer أو Wrapping Machine، باستخدام إشارات الـStack Light المتاحة.</w:t>
            </w:r>
          </w:p>
          <w:p>
            <w:pPr>
              <w:spacing w:after="40"/>
              <w:jc w:val="right"/>
              <w:bidi w:val="1"/>
            </w:pPr>
            <w:r>
              <w:rPr>
                <w:rFonts w:ascii="Noto Sans Arabic" w:hAnsi="Noto Sans Arabic" w:cs="Noto Sans Arabic" w:eastAsia="Noto Sans Arabic"/>
                <w:color w:val="1F1F1F"/>
                <w:sz w:val="21"/>
                <w:rtl w:val="1"/>
              </w:rPr>
              <w:t>• خلال الزيارة، يتوقع العميل مناقشة منهج التنفيذ والبيانات المطلوبة والقيود، وليس بالضرورة اكتمال جميع البنود قبل الزيارة.</w:t>
            </w:r>
          </w:p>
        </w:tc>
      </w:tr>
    </w:tbl>
    <w:p>
      <w:pPr>
        <w:spacing w:after="40" w:before="0" w:line="276" w:lineRule="auto"/>
        <w:jc w:val="right"/>
        <w:keepNext w:val="0"/>
        <w:bidi w:val="1"/>
      </w:pPr>
    </w:p>
    <w:p>
      <w:r>
        <w:br w:type="page"/>
      </w:r>
    </w:p>
    <w:tbl>
      <w:tblPr>
        <w:tblW w:type="auto" w:w="0"/>
        <w:jc w:val="right"/>
        <w:tblLayout w:type="fixed"/>
        <w:tblLook w:firstColumn="1" w:firstRow="1" w:lastColumn="0" w:lastRow="0" w:noHBand="0" w:noVBand="1" w:val="04A0"/>
      </w:tblPr>
      <w:tblGrid>
        <w:gridCol w:w="1008"/>
        <w:gridCol w:w="9072"/>
      </w:tblGrid>
      <w:tr>
        <w:trPr>
          <w:cantSplit/>
        </w:trPr>
        <w:tc>
          <w:tcPr>
            <w:tcW w:type="dxa" w:w="5112"/>
            <w:shd w:fill="1F7A8C"/>
            <w:tcMar>
              <w:top w:w="50" w:type="dxa"/>
              <w:start w:w="80" w:type="dxa"/>
              <w:bottom w:w="50" w:type="dxa"/>
              <w:end w:w="80" w:type="dxa"/>
            </w:tcMar>
            <w:vAlign w:val="center"/>
          </w:tcPr>
          <w:p>
            <w:pPr>
              <w:jc w:val="center"/>
              <w:bidi w:val="1"/>
            </w:pPr>
            <w:r>
              <w:rPr>
                <w:rFonts w:ascii="Noto Sans Arabic" w:hAnsi="Noto Sans Arabic" w:cs="Noto Sans Arabic" w:eastAsia="Noto Sans Arabic"/>
                <w:b/>
                <w:color w:val="FFFFFF"/>
                <w:sz w:val="24"/>
                <w:rtl w:val="1"/>
              </w:rPr>
              <w:t>2</w:t>
            </w:r>
          </w:p>
        </w:tc>
        <w:tc>
          <w:tcPr>
            <w:tcW w:type="dxa" w:w="5112"/>
            <w:shd w:fill="17365D"/>
            <w:tcMar>
              <w:top w:w="50" w:type="dxa"/>
              <w:start w:w="100" w:type="dxa"/>
              <w:bottom w:w="50" w:type="dxa"/>
              <w:end w:w="100" w:type="dxa"/>
            </w:tcMar>
            <w:vAlign w:val="center"/>
          </w:tcPr>
          <w:p>
            <w:pPr>
              <w:jc w:val="right"/>
              <w:bidi w:val="1"/>
            </w:pPr>
            <w:r>
              <w:rPr>
                <w:rFonts w:ascii="Noto Sans Arabic" w:hAnsi="Noto Sans Arabic" w:cs="Noto Sans Arabic" w:eastAsia="Noto Sans Arabic"/>
                <w:b/>
                <w:color w:val="FFFFFF"/>
                <w:sz w:val="26"/>
                <w:rtl w:val="1"/>
              </w:rPr>
              <w:t>Plant Live Views – شاشة خط الإنتاج</w:t>
            </w:r>
          </w:p>
        </w:tc>
      </w:tr>
    </w:tbl>
    <w:p>
      <w:pPr>
        <w:spacing w:after="40" w:before="0" w:line="276" w:lineRule="auto"/>
        <w:jc w:val="right"/>
        <w:keepNext w:val="0"/>
        <w:bidi w:val="1"/>
      </w:pPr>
    </w:p>
    <w:p>
      <w:pPr>
        <w:spacing w:after="100" w:before="0" w:line="276" w:lineRule="auto"/>
        <w:jc w:val="right"/>
        <w:keepNext w:val="0"/>
        <w:bidi w:val="1"/>
      </w:pPr>
      <w:r>
        <w:rPr>
          <w:rFonts w:ascii="Noto Sans Arabic" w:hAnsi="Noto Sans Arabic" w:cs="Noto Sans Arabic" w:eastAsia="Noto Sans Arabic"/>
          <w:b w:val="0"/>
          <w:rtl w:val="1"/>
        </w:rPr>
        <w:t>يريد العميل أن تعكس الشاشة الحية الواقع الفعلي للمصنع، حتى يمكن استخدامها كواجهة تشغيل ومراقبة موثوقة.</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800"/>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البند</w:t>
            </w:r>
          </w:p>
        </w:tc>
        <w:tc>
          <w:tcPr>
            <w:tcW w:type="dxa" w:w="5400"/>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المطلوب بالتحديد</w:t>
            </w:r>
          </w:p>
        </w:tc>
        <w:tc>
          <w:tcPr>
            <w:tcW w:type="dxa" w:w="2880"/>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المخرج المتوقع</w:t>
            </w:r>
          </w:p>
        </w:tc>
      </w:tr>
      <w:tr>
        <w:trPr>
          <w:cantSplit/>
        </w:trPr>
        <w:tc>
          <w:tcPr>
            <w:tcW w:type="dxa" w:w="180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النموذج ثلاثي الأبعاد</w:t>
            </w:r>
          </w:p>
        </w:tc>
        <w:tc>
          <w:tcPr>
            <w:tcW w:type="dxa" w:w="540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تعديل نموذج خط الإنتاج ليطابق أنواع الماكينات الفعلية، ترتيبها، اتجاهاتها ومسار تدفق المنتج.</w:t>
            </w:r>
          </w:p>
        </w:tc>
        <w:tc>
          <w:tcPr>
            <w:tcW w:type="dxa" w:w="288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نموذج 3D مطابق للـLayout الفعلي بالموقع.</w:t>
            </w:r>
          </w:p>
        </w:tc>
      </w:tr>
      <w:tr>
        <w:trPr>
          <w:cantSplit/>
        </w:trPr>
        <w:tc>
          <w:tcPr>
            <w:tcW w:type="dxa" w:w="180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مواقع الموقع</w:t>
            </w:r>
          </w:p>
        </w:tc>
        <w:tc>
          <w:tcPr>
            <w:tcW w:type="dxa" w:w="540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تحديث إحداثيات Site Locations باستخدام آخر إحداثيات سبق أن شاركها العميل.</w:t>
            </w:r>
          </w:p>
        </w:tc>
        <w:tc>
          <w:tcPr>
            <w:tcW w:type="dxa" w:w="288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ظهور المواقع على الخريطة في أماكنها الصحيحة.</w:t>
            </w:r>
          </w:p>
        </w:tc>
      </w:tr>
    </w:tbl>
    <w:tbl>
      <w:tblPr>
        <w:tblW w:type="auto" w:w="0"/>
        <w:jc w:val="right"/>
        <w:tblLayout w:type="fixed"/>
        <w:tblLook w:firstColumn="1" w:firstRow="1" w:lastColumn="0" w:lastRow="0" w:noHBand="0" w:noVBand="1" w:val="04A0"/>
      </w:tblPr>
      <w:tblGrid>
        <w:gridCol w:w="1008"/>
        <w:gridCol w:w="9072"/>
      </w:tblGrid>
      <w:tr>
        <w:trPr>
          <w:cantSplit/>
        </w:trPr>
        <w:tc>
          <w:tcPr>
            <w:tcW w:type="dxa" w:w="5112"/>
            <w:shd w:fill="1F7A8C"/>
            <w:tcMar>
              <w:top w:w="50" w:type="dxa"/>
              <w:start w:w="80" w:type="dxa"/>
              <w:bottom w:w="50" w:type="dxa"/>
              <w:end w:w="80" w:type="dxa"/>
            </w:tcMar>
            <w:vAlign w:val="center"/>
          </w:tcPr>
          <w:p>
            <w:pPr>
              <w:jc w:val="center"/>
              <w:bidi w:val="1"/>
            </w:pPr>
            <w:r>
              <w:rPr>
                <w:rFonts w:ascii="Noto Sans Arabic" w:hAnsi="Noto Sans Arabic" w:cs="Noto Sans Arabic" w:eastAsia="Noto Sans Arabic"/>
                <w:b/>
                <w:color w:val="FFFFFF"/>
                <w:sz w:val="24"/>
                <w:rtl w:val="1"/>
              </w:rPr>
              <w:t>3</w:t>
            </w:r>
          </w:p>
        </w:tc>
        <w:tc>
          <w:tcPr>
            <w:tcW w:type="dxa" w:w="5112"/>
            <w:shd w:fill="17365D"/>
            <w:tcMar>
              <w:top w:w="50" w:type="dxa"/>
              <w:start w:w="100" w:type="dxa"/>
              <w:bottom w:w="50" w:type="dxa"/>
              <w:end w:w="100" w:type="dxa"/>
            </w:tcMar>
            <w:vAlign w:val="center"/>
          </w:tcPr>
          <w:p>
            <w:pPr>
              <w:jc w:val="right"/>
              <w:bidi w:val="1"/>
            </w:pPr>
            <w:r>
              <w:rPr>
                <w:rFonts w:ascii="Noto Sans Arabic" w:hAnsi="Noto Sans Arabic" w:cs="Noto Sans Arabic" w:eastAsia="Noto Sans Arabic"/>
                <w:b/>
                <w:color w:val="FFFFFF"/>
                <w:sz w:val="26"/>
                <w:rtl w:val="1"/>
              </w:rPr>
              <w:t>Downtime Command Center – أتمتة تسجيل التوقفات</w:t>
            </w:r>
          </w:p>
        </w:tc>
      </w:tr>
    </w:tbl>
    <w:p>
      <w:pPr>
        <w:spacing w:after="40" w:before="0" w:line="276" w:lineRule="auto"/>
        <w:jc w:val="right"/>
        <w:keepNext w:val="0"/>
        <w:bidi w:val="1"/>
      </w:pPr>
    </w:p>
    <w:p>
      <w:pPr>
        <w:spacing w:after="100" w:before="0" w:line="276" w:lineRule="auto"/>
        <w:jc w:val="right"/>
        <w:keepNext w:val="0"/>
        <w:bidi w:val="1"/>
      </w:pPr>
      <w:r>
        <w:rPr>
          <w:rFonts w:ascii="Noto Sans Arabic" w:hAnsi="Noto Sans Arabic" w:cs="Noto Sans Arabic" w:eastAsia="Noto Sans Arabic"/>
          <w:b w:val="0"/>
          <w:rtl w:val="1"/>
        </w:rPr>
        <w:t>الوضع الحالي: التوقفات المخططة وغير المخططة تُسجل يدويًا بالكامل بواسطة المشغل، وهو ما قد يؤدي إلى أخطاء في وقت بداية ونهاية التوقف أو نسيان تسجيل الحدث.</w:t>
      </w:r>
    </w:p>
    <w:p>
      <w:pPr>
        <w:spacing w:after="80" w:before="0" w:line="276" w:lineRule="auto"/>
        <w:jc w:val="right"/>
        <w:keepNext/>
        <w:bidi w:val="1"/>
      </w:pPr>
      <w:r>
        <w:rPr>
          <w:rFonts w:ascii="Noto Sans Arabic" w:hAnsi="Noto Sans Arabic" w:cs="Noto Sans Arabic" w:eastAsia="Noto Sans Arabic"/>
          <w:b/>
          <w:color w:val="17365D"/>
          <w:sz w:val="22"/>
          <w:rtl w:val="1"/>
        </w:rPr>
        <w:t>المطلوب من العميل:</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قراءة إشارات الـStack Light من الماكينة عنق الزجاجة – Big Betti – أو من الماكينة المختارة للتجربة.</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إنشاء حدث التوقف وتسجيل وقت البداية والنهاية تلقائيًا من الإشارة الفعلية.</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يظل دور المشغل فقط اختيار تصنيف وسبب التوقف بعد إنشاء الحدث تلقائيًا.</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تطبيق أسلوب هجين: اكتشاف وتوقيت تلقائي + تصنيف سبب يدوي.</w:t>
      </w:r>
    </w:p>
    <w:p>
      <w:r>
        <w:br w:type="page"/>
      </w:r>
    </w:p>
    <w:tbl>
      <w:tblPr>
        <w:tblW w:type="auto" w:w="0"/>
        <w:jc w:val="center"/>
        <w:tblLook w:firstColumn="1" w:firstRow="1" w:lastColumn="0" w:lastRow="0" w:noHBand="0" w:noVBand="1" w:val="04A0"/>
      </w:tblPr>
      <w:tblGrid>
        <w:gridCol w:w="10224"/>
      </w:tblGrid>
      <w:tr>
        <w:trPr>
          <w:cantSplit/>
        </w:trPr>
        <w:tc>
          <w:tcPr>
            <w:tcW w:type="dxa" w:w="10224"/>
            <w:shd w:fill="E2F0D9"/>
            <w:tcMar>
              <w:top w:w="100" w:type="dxa"/>
              <w:start w:w="130" w:type="dxa"/>
              <w:bottom w:w="100" w:type="dxa"/>
              <w:end w:w="130" w:type="dxa"/>
            </w:tcMar>
            <w:tcBorders>
              <w:top w:val="single" w:sz="6" w:color="70AD47"/>
              <w:left w:val="single" w:sz="6" w:color="70AD47"/>
              <w:bottom w:val="single" w:sz="6" w:color="70AD47"/>
              <w:right w:val="single" w:sz="6" w:color="70AD47"/>
            </w:tcBorders>
          </w:tcPr>
          <w:p>
            <w:pPr>
              <w:jc w:val="right"/>
              <w:bidi w:val="1"/>
            </w:pPr>
            <w:r>
              <w:rPr>
                <w:rFonts w:ascii="Noto Sans Arabic" w:hAnsi="Noto Sans Arabic" w:cs="Noto Sans Arabic" w:eastAsia="Noto Sans Arabic"/>
                <w:b/>
                <w:color w:val="17365D"/>
                <w:sz w:val="23"/>
                <w:rtl w:val="1"/>
              </w:rPr>
              <w:t>النتيجة المطلوبة</w:t>
            </w:r>
          </w:p>
          <w:p>
            <w:pPr>
              <w:spacing w:after="40"/>
              <w:jc w:val="right"/>
              <w:bidi w:val="1"/>
            </w:pPr>
            <w:r>
              <w:rPr>
                <w:rFonts w:ascii="Noto Sans Arabic" w:hAnsi="Noto Sans Arabic" w:cs="Noto Sans Arabic" w:eastAsia="Noto Sans Arabic"/>
                <w:color w:val="1F1F1F"/>
                <w:sz w:val="21"/>
                <w:rtl w:val="1"/>
              </w:rPr>
              <w:t>• دقة أعلى في مدة التوقف ووقت حدوثه.</w:t>
            </w:r>
          </w:p>
          <w:p>
            <w:pPr>
              <w:spacing w:after="40"/>
              <w:jc w:val="right"/>
              <w:bidi w:val="1"/>
            </w:pPr>
            <w:r>
              <w:rPr>
                <w:rFonts w:ascii="Noto Sans Arabic" w:hAnsi="Noto Sans Arabic" w:cs="Noto Sans Arabic" w:eastAsia="Noto Sans Arabic"/>
                <w:color w:val="1F1F1F"/>
                <w:sz w:val="21"/>
                <w:rtl w:val="1"/>
              </w:rPr>
              <w:t>• تقليل الاعتماد على الإدخال اليدوي وتقليل الخطأ البشري.</w:t>
            </w:r>
          </w:p>
          <w:p>
            <w:pPr>
              <w:spacing w:after="40"/>
              <w:jc w:val="right"/>
              <w:bidi w:val="1"/>
            </w:pPr>
            <w:r>
              <w:rPr>
                <w:rFonts w:ascii="Noto Sans Arabic" w:hAnsi="Noto Sans Arabic" w:cs="Noto Sans Arabic" w:eastAsia="Noto Sans Arabic"/>
                <w:color w:val="1F1F1F"/>
                <w:sz w:val="21"/>
                <w:rtl w:val="1"/>
              </w:rPr>
              <w:t>• تحسين دقة Availability وDowntime Analysis وOEE.</w:t>
            </w:r>
          </w:p>
        </w:tc>
      </w:tr>
    </w:tbl>
    <w:p>
      <w:pPr>
        <w:spacing w:after="40" w:before="0" w:line="276" w:lineRule="auto"/>
        <w:jc w:val="right"/>
        <w:keepNext w:val="0"/>
        <w:bidi w:val="1"/>
      </w:pPr>
    </w:p>
    <w:tbl>
      <w:tblPr>
        <w:tblW w:type="auto" w:w="0"/>
        <w:jc w:val="right"/>
        <w:tblLayout w:type="fixed"/>
        <w:tblLook w:firstColumn="1" w:firstRow="1" w:lastColumn="0" w:lastRow="0" w:noHBand="0" w:noVBand="1" w:val="04A0"/>
      </w:tblPr>
      <w:tblGrid>
        <w:gridCol w:w="1008"/>
        <w:gridCol w:w="9072"/>
      </w:tblGrid>
      <w:tr>
        <w:trPr>
          <w:cantSplit/>
        </w:trPr>
        <w:tc>
          <w:tcPr>
            <w:tcW w:type="dxa" w:w="5112"/>
            <w:shd w:fill="1F7A8C"/>
            <w:tcMar>
              <w:top w:w="50" w:type="dxa"/>
              <w:start w:w="80" w:type="dxa"/>
              <w:bottom w:w="50" w:type="dxa"/>
              <w:end w:w="80" w:type="dxa"/>
            </w:tcMar>
            <w:vAlign w:val="center"/>
          </w:tcPr>
          <w:p>
            <w:pPr>
              <w:jc w:val="center"/>
              <w:bidi w:val="1"/>
            </w:pPr>
            <w:r>
              <w:rPr>
                <w:rFonts w:ascii="Noto Sans Arabic" w:hAnsi="Noto Sans Arabic" w:cs="Noto Sans Arabic" w:eastAsia="Noto Sans Arabic"/>
                <w:b/>
                <w:color w:val="FFFFFF"/>
                <w:sz w:val="24"/>
                <w:rtl w:val="1"/>
              </w:rPr>
              <w:t>4</w:t>
            </w:r>
          </w:p>
        </w:tc>
        <w:tc>
          <w:tcPr>
            <w:tcW w:type="dxa" w:w="5112"/>
            <w:shd w:fill="17365D"/>
            <w:tcMar>
              <w:top w:w="50" w:type="dxa"/>
              <w:start w:w="100" w:type="dxa"/>
              <w:bottom w:w="50" w:type="dxa"/>
              <w:end w:w="100" w:type="dxa"/>
            </w:tcMar>
            <w:vAlign w:val="center"/>
          </w:tcPr>
          <w:p>
            <w:pPr>
              <w:jc w:val="right"/>
              <w:bidi w:val="1"/>
            </w:pPr>
            <w:r>
              <w:rPr>
                <w:rFonts w:ascii="Noto Sans Arabic" w:hAnsi="Noto Sans Arabic" w:cs="Noto Sans Arabic" w:eastAsia="Noto Sans Arabic"/>
                <w:b/>
                <w:color w:val="FFFFFF"/>
                <w:sz w:val="26"/>
                <w:rtl w:val="1"/>
              </w:rPr>
              <w:t>OEE – تعديل حساب كفاءة الخط والماكينات</w:t>
            </w:r>
          </w:p>
        </w:tc>
      </w:tr>
    </w:tbl>
    <w:p>
      <w:pPr>
        <w:spacing w:after="40" w:before="0" w:line="276" w:lineRule="auto"/>
        <w:jc w:val="right"/>
        <w:keepNext w:val="0"/>
        <w:bidi w:val="1"/>
      </w:pPr>
    </w:p>
    <w:p>
      <w:pPr>
        <w:spacing w:after="80" w:before="0" w:line="276" w:lineRule="auto"/>
        <w:jc w:val="right"/>
        <w:keepNext/>
        <w:bidi w:val="1"/>
      </w:pPr>
      <w:r>
        <w:rPr>
          <w:rFonts w:ascii="Noto Sans Arabic" w:hAnsi="Noto Sans Arabic" w:cs="Noto Sans Arabic" w:eastAsia="Noto Sans Arabic"/>
          <w:b/>
          <w:color w:val="17365D"/>
          <w:sz w:val="23"/>
          <w:rtl w:val="1"/>
        </w:rPr>
        <w:t>أولًا: حساب OEE للخط بالكامل</w:t>
      </w:r>
    </w:p>
    <w:p>
      <w:pPr>
        <w:spacing w:after="120" w:before="0" w:line="276" w:lineRule="auto"/>
        <w:jc w:val="right"/>
        <w:keepNext w:val="0"/>
        <w:bidi w:val="1"/>
      </w:pPr>
      <w:r>
        <w:rPr>
          <w:rFonts w:ascii="Noto Sans Arabic" w:hAnsi="Noto Sans Arabic" w:cs="Noto Sans Arabic" w:eastAsia="Noto Sans Arabic"/>
          <w:b w:val="0"/>
          <w:rtl w:val="1"/>
        </w:rPr>
        <w:t>المشكلة التي لاحظها العميل: Big Betti وCartomac يظهران OEE مرتفعًا، بينما Palletizer وWrapping يظهران OEE منخفضًا بشكل غير واقعي، رغم عدم وجود أعطال فعلية بهما. السبب أن الماكينات التابعة تنتظر المنتج من Big Betti، لكن النظام يبقيها في حالة Running فتستمر مدة التشغيل في الزيادة دون إنتاج، فتقل قيمة Performance.</w:t>
      </w:r>
    </w:p>
    <w:tbl>
      <w:tblPr>
        <w:tblW w:type="auto" w:w="0"/>
        <w:jc w:val="center"/>
        <w:tblLook w:firstColumn="1" w:firstRow="1" w:lastColumn="0" w:lastRow="0" w:noHBand="0" w:noVBand="1" w:val="04A0"/>
      </w:tblPr>
      <w:tblGrid>
        <w:gridCol w:w="10224"/>
      </w:tblGrid>
      <w:tr>
        <w:trPr>
          <w:cantSplit/>
        </w:trPr>
        <w:tc>
          <w:tcPr>
            <w:tcW w:type="dxa" w:w="10224"/>
            <w:shd w:fill="D9EAF7"/>
            <w:tcMar>
              <w:top w:w="100" w:type="dxa"/>
              <w:start w:w="130" w:type="dxa"/>
              <w:bottom w:w="100" w:type="dxa"/>
              <w:end w:w="130" w:type="dxa"/>
            </w:tcMar>
            <w:tcBorders>
              <w:top w:val="single" w:sz="6" w:color="2F75B5"/>
              <w:left w:val="single" w:sz="6" w:color="2F75B5"/>
              <w:bottom w:val="single" w:sz="6" w:color="2F75B5"/>
              <w:right w:val="single" w:sz="6" w:color="2F75B5"/>
            </w:tcBorders>
          </w:tcPr>
          <w:p>
            <w:pPr>
              <w:jc w:val="right"/>
              <w:bidi w:val="1"/>
            </w:pPr>
            <w:r>
              <w:rPr>
                <w:rFonts w:ascii="Noto Sans Arabic" w:hAnsi="Noto Sans Arabic" w:cs="Noto Sans Arabic" w:eastAsia="Noto Sans Arabic"/>
                <w:b/>
                <w:color w:val="17365D"/>
                <w:sz w:val="23"/>
                <w:rtl w:val="1"/>
              </w:rPr>
              <w:t>طريقة الحساب المطلوبة للخط</w:t>
            </w:r>
          </w:p>
          <w:p>
            <w:pPr>
              <w:spacing w:after="40"/>
              <w:jc w:val="right"/>
              <w:bidi w:val="1"/>
            </w:pPr>
            <w:r>
              <w:rPr>
                <w:rFonts w:ascii="Noto Sans Arabic" w:hAnsi="Noto Sans Arabic" w:cs="Noto Sans Arabic" w:eastAsia="Noto Sans Arabic"/>
                <w:color w:val="1F1F1F"/>
                <w:sz w:val="21"/>
                <w:rtl w:val="1"/>
              </w:rPr>
              <w:t>• Overall Line OEE = Bottleneck Availability × Bottleneck Performance × Final Outfeed Quality</w:t>
            </w:r>
          </w:p>
          <w:p>
            <w:pPr>
              <w:spacing w:after="40"/>
              <w:jc w:val="right"/>
              <w:bidi w:val="1"/>
            </w:pPr>
            <w:r>
              <w:rPr>
                <w:rFonts w:ascii="Noto Sans Arabic" w:hAnsi="Noto Sans Arabic" w:cs="Noto Sans Arabic" w:eastAsia="Noto Sans Arabic"/>
                <w:color w:val="1F1F1F"/>
                <w:sz w:val="21"/>
                <w:rtl w:val="1"/>
              </w:rPr>
              <w:t>• Big Betti تُعامل باعتبارها الماكينة عنق الزجاجة التي تحدد معدل إنتاج الخط.</w:t>
            </w:r>
          </w:p>
          <w:p>
            <w:pPr>
              <w:spacing w:after="40"/>
              <w:jc w:val="right"/>
              <w:bidi w:val="1"/>
            </w:pPr>
            <w:r>
              <w:rPr>
                <w:rFonts w:ascii="Noto Sans Arabic" w:hAnsi="Noto Sans Arabic" w:cs="Noto Sans Arabic" w:eastAsia="Noto Sans Arabic"/>
                <w:color w:val="1F1F1F"/>
                <w:sz w:val="21"/>
                <w:rtl w:val="1"/>
              </w:rPr>
              <w:t>• Final Outfeed Quality يجب أن يأخذ في الاعتبار خسائر الجودة أو الرفض عبر Checkweigher وCartomac وPalletizer وWrapping Machine.</w:t>
            </w:r>
          </w:p>
          <w:p>
            <w:pPr>
              <w:spacing w:after="40"/>
              <w:jc w:val="right"/>
              <w:bidi w:val="1"/>
            </w:pPr>
            <w:r>
              <w:rPr>
                <w:rFonts w:ascii="Noto Sans Arabic" w:hAnsi="Noto Sans Arabic" w:cs="Noto Sans Arabic" w:eastAsia="Noto Sans Arabic"/>
                <w:color w:val="1F1F1F"/>
                <w:sz w:val="21"/>
                <w:rtl w:val="1"/>
              </w:rPr>
              <w:t>• لا يرغب العميل في استخدام متوسط OEE لجميع الماكينات لتمثيل OEE الخط.</w:t>
            </w:r>
          </w:p>
        </w:tc>
      </w:tr>
    </w:tbl>
    <w:p>
      <w:pPr>
        <w:spacing w:after="40" w:before="0" w:line="276" w:lineRule="auto"/>
        <w:jc w:val="right"/>
        <w:keepNext w:val="0"/>
        <w:bidi w:val="1"/>
      </w:pPr>
    </w:p>
    <w:p>
      <w:pPr>
        <w:spacing w:after="80" w:before="0" w:line="276" w:lineRule="auto"/>
        <w:jc w:val="right"/>
        <w:keepNext/>
        <w:bidi w:val="1"/>
      </w:pPr>
      <w:r>
        <w:rPr>
          <w:rFonts w:ascii="Noto Sans Arabic" w:hAnsi="Noto Sans Arabic" w:cs="Noto Sans Arabic" w:eastAsia="Noto Sans Arabic"/>
          <w:b/>
          <w:color w:val="17365D"/>
          <w:sz w:val="23"/>
          <w:rtl w:val="1"/>
        </w:rPr>
        <w:t>ثانيًا: OEE لكل ماكينة – حالات Starved وBlocked</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656"/>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الحالة</w:t>
            </w:r>
          </w:p>
        </w:tc>
        <w:tc>
          <w:tcPr>
            <w:tcW w:type="dxa" w:w="3816"/>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معناها</w:t>
            </w:r>
          </w:p>
        </w:tc>
        <w:tc>
          <w:tcPr>
            <w:tcW w:type="dxa" w:w="4608"/>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المعالجة المطلوبة</w:t>
            </w:r>
          </w:p>
        </w:tc>
      </w:tr>
      <w:tr>
        <w:trPr>
          <w:cantSplit/>
        </w:trPr>
        <w:tc>
          <w:tcPr>
            <w:tcW w:type="dxa" w:w="1656"/>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Starved</w:t>
            </w:r>
          </w:p>
        </w:tc>
        <w:tc>
          <w:tcPr>
            <w:tcW w:type="dxa" w:w="3816"/>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الماكينة جاهزة لكن لا يصل إليها منتج من الماكينة السابقة.</w:t>
            </w:r>
          </w:p>
        </w:tc>
        <w:tc>
          <w:tcPr>
            <w:tcW w:type="dxa" w:w="460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تُصنف كخسارة خارجية External Loss بدلًا من Running أو Downtime خاص بالماكينة.</w:t>
            </w:r>
          </w:p>
        </w:tc>
      </w:tr>
      <w:tr>
        <w:trPr>
          <w:cantSplit/>
        </w:trPr>
        <w:tc>
          <w:tcPr>
            <w:tcW w:type="dxa" w:w="1656"/>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Blocked</w:t>
            </w:r>
          </w:p>
        </w:tc>
        <w:tc>
          <w:tcPr>
            <w:tcW w:type="dxa" w:w="3816"/>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الماكينة لا تستطيع إخراج المنتج بسبب قيد أو امتلاء في المرحلة التالية.</w:t>
            </w:r>
          </w:p>
        </w:tc>
        <w:tc>
          <w:tcPr>
            <w:tcW w:type="dxa" w:w="4608"/>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تُصنف كحالة Process Constraint وليست عطلًا داخليًا بالماكينة.</w:t>
            </w:r>
          </w:p>
        </w:tc>
      </w:tr>
      <w:tr>
        <w:trPr>
          <w:cantSplit/>
        </w:trPr>
        <w:tc>
          <w:tcPr>
            <w:tcW w:type="dxa" w:w="1656"/>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الاستبعاد من الحساب</w:t>
            </w:r>
          </w:p>
        </w:tc>
        <w:tc>
          <w:tcPr>
            <w:tcW w:type="dxa" w:w="3816"/>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فترات Starved وBlocked لا تمثل ضعف أداء أو عطلًا بالماكينة نفسها.</w:t>
            </w:r>
          </w:p>
        </w:tc>
        <w:tc>
          <w:tcPr>
            <w:tcW w:type="dxa" w:w="460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تُستبعد من خسائر Availability وPerformance وفق المنطق المعتمد للنظام.</w:t>
            </w:r>
          </w:p>
        </w:tc>
      </w:tr>
    </w:tbl>
    <w:p>
      <w:pPr>
        <w:spacing w:after="40" w:before="0" w:line="276" w:lineRule="auto"/>
        <w:jc w:val="right"/>
        <w:keepNext w:val="0"/>
        <w:bidi w:val="1"/>
      </w:pPr>
    </w:p>
    <w:tbl>
      <w:tblPr>
        <w:tblW w:type="auto" w:w="0"/>
        <w:jc w:val="center"/>
        <w:tblLook w:firstColumn="1" w:firstRow="1" w:lastColumn="0" w:lastRow="0" w:noHBand="0" w:noVBand="1" w:val="04A0"/>
      </w:tblPr>
      <w:tblGrid>
        <w:gridCol w:w="10224"/>
      </w:tblGrid>
      <w:tr>
        <w:trPr>
          <w:cantSplit/>
        </w:trPr>
        <w:tc>
          <w:tcPr>
            <w:tcW w:type="dxa" w:w="10224"/>
            <w:shd w:fill="FFF2CC"/>
            <w:tcMar>
              <w:top w:w="100" w:type="dxa"/>
              <w:start w:w="130" w:type="dxa"/>
              <w:bottom w:w="100" w:type="dxa"/>
              <w:end w:w="130" w:type="dxa"/>
            </w:tcMar>
            <w:tcBorders>
              <w:top w:val="single" w:sz="6" w:color="BF9000"/>
              <w:left w:val="single" w:sz="6" w:color="BF9000"/>
              <w:bottom w:val="single" w:sz="6" w:color="BF9000"/>
              <w:right w:val="single" w:sz="6" w:color="BF9000"/>
            </w:tcBorders>
          </w:tcPr>
          <w:p>
            <w:pPr>
              <w:jc w:val="right"/>
              <w:bidi w:val="1"/>
            </w:pPr>
            <w:r>
              <w:rPr>
                <w:rFonts w:ascii="Noto Sans Arabic" w:hAnsi="Noto Sans Arabic" w:cs="Noto Sans Arabic" w:eastAsia="Noto Sans Arabic"/>
                <w:b/>
                <w:color w:val="17365D"/>
                <w:sz w:val="23"/>
                <w:rtl w:val="1"/>
              </w:rPr>
              <w:t>نطاق الإثبات المطلوب في الـPoC</w:t>
            </w:r>
          </w:p>
          <w:p>
            <w:pPr>
              <w:spacing w:after="40"/>
              <w:jc w:val="right"/>
              <w:bidi w:val="1"/>
            </w:pPr>
            <w:r>
              <w:rPr>
                <w:rFonts w:ascii="Noto Sans Arabic" w:hAnsi="Noto Sans Arabic" w:cs="Noto Sans Arabic" w:eastAsia="Noto Sans Arabic"/>
                <w:color w:val="1F1F1F"/>
                <w:sz w:val="21"/>
                <w:rtl w:val="1"/>
              </w:rPr>
              <w:t>• تنفيذ وعرض المنطق على Palletizer أو Wrapping Machine فقط يكفي لإثبات الفكرة.</w:t>
            </w:r>
          </w:p>
          <w:p>
            <w:pPr>
              <w:spacing w:after="40"/>
              <w:jc w:val="right"/>
              <w:bidi w:val="1"/>
            </w:pPr>
            <w:r>
              <w:rPr>
                <w:rFonts w:ascii="Noto Sans Arabic" w:hAnsi="Noto Sans Arabic" w:cs="Noto Sans Arabic" w:eastAsia="Noto Sans Arabic"/>
                <w:color w:val="1F1F1F"/>
                <w:sz w:val="21"/>
                <w:rtl w:val="1"/>
              </w:rPr>
              <w:t>• يمكن استخدام إشارات الـStack Light المتاحة لاكتشاف الانتظار أو توقف المعالجة.</w:t>
            </w:r>
          </w:p>
          <w:p>
            <w:pPr>
              <w:spacing w:after="40"/>
              <w:jc w:val="right"/>
              <w:bidi w:val="1"/>
            </w:pPr>
            <w:r>
              <w:rPr>
                <w:rFonts w:ascii="Noto Sans Arabic" w:hAnsi="Noto Sans Arabic" w:cs="Noto Sans Arabic" w:eastAsia="Noto Sans Arabic"/>
                <w:color w:val="1F1F1F"/>
                <w:sz w:val="21"/>
                <w:rtl w:val="1"/>
              </w:rPr>
              <w:t>• لا يشترط في هذه المرحلة إعادة بناء Sequence Logic كامل لكل خط الإنتاج.</w:t>
            </w:r>
          </w:p>
        </w:tc>
      </w:tr>
    </w:tbl>
    <w:p>
      <w:pPr>
        <w:spacing w:after="40" w:before="0" w:line="276" w:lineRule="auto"/>
        <w:jc w:val="right"/>
        <w:keepNext w:val="0"/>
        <w:bidi w:val="1"/>
      </w:pPr>
    </w:p>
    <w:tbl>
      <w:tblPr>
        <w:tblW w:type="auto" w:w="0"/>
        <w:jc w:val="right"/>
        <w:tblLayout w:type="fixed"/>
        <w:tblLook w:firstColumn="1" w:firstRow="1" w:lastColumn="0" w:lastRow="0" w:noHBand="0" w:noVBand="1" w:val="04A0"/>
      </w:tblPr>
      <w:tblGrid>
        <w:gridCol w:w="1008"/>
        <w:gridCol w:w="9072"/>
      </w:tblGrid>
      <w:tr>
        <w:trPr>
          <w:cantSplit/>
        </w:trPr>
        <w:tc>
          <w:tcPr>
            <w:tcW w:type="dxa" w:w="5112"/>
            <w:shd w:fill="1F7A8C"/>
            <w:tcMar>
              <w:top w:w="50" w:type="dxa"/>
              <w:start w:w="80" w:type="dxa"/>
              <w:bottom w:w="50" w:type="dxa"/>
              <w:end w:w="80" w:type="dxa"/>
            </w:tcMar>
            <w:vAlign w:val="center"/>
          </w:tcPr>
          <w:p>
            <w:pPr>
              <w:jc w:val="center"/>
              <w:bidi w:val="1"/>
            </w:pPr>
            <w:r>
              <w:rPr>
                <w:rFonts w:ascii="Noto Sans Arabic" w:hAnsi="Noto Sans Arabic" w:cs="Noto Sans Arabic" w:eastAsia="Noto Sans Arabic"/>
                <w:b/>
                <w:color w:val="FFFFFF"/>
                <w:sz w:val="24"/>
                <w:rtl w:val="1"/>
              </w:rPr>
              <w:t>5</w:t>
            </w:r>
          </w:p>
        </w:tc>
        <w:tc>
          <w:tcPr>
            <w:tcW w:type="dxa" w:w="5112"/>
            <w:shd w:fill="17365D"/>
            <w:tcMar>
              <w:top w:w="50" w:type="dxa"/>
              <w:start w:w="100" w:type="dxa"/>
              <w:bottom w:w="50" w:type="dxa"/>
              <w:end w:w="100" w:type="dxa"/>
            </w:tcMar>
            <w:vAlign w:val="center"/>
          </w:tcPr>
          <w:p>
            <w:pPr>
              <w:jc w:val="right"/>
              <w:bidi w:val="1"/>
            </w:pPr>
            <w:r>
              <w:rPr>
                <w:rFonts w:ascii="Noto Sans Arabic" w:hAnsi="Noto Sans Arabic" w:cs="Noto Sans Arabic" w:eastAsia="Noto Sans Arabic"/>
                <w:b/>
                <w:color w:val="FFFFFF"/>
                <w:sz w:val="26"/>
                <w:rtl w:val="1"/>
              </w:rPr>
              <w:t>Analytics &amp; Reports – مؤشرات الإنتاج والجودة</w:t>
            </w:r>
          </w:p>
        </w:tc>
      </w:tr>
    </w:tbl>
    <w:p>
      <w:pPr>
        <w:spacing w:after="40" w:before="0" w:line="276" w:lineRule="auto"/>
        <w:jc w:val="right"/>
        <w:keepNext w:val="0"/>
        <w:bidi w:val="1"/>
      </w:pPr>
    </w:p>
    <w:p>
      <w:pPr>
        <w:spacing w:after="80" w:before="0" w:line="276" w:lineRule="auto"/>
        <w:jc w:val="right"/>
        <w:keepNext/>
        <w:bidi w:val="1"/>
      </w:pPr>
      <w:r>
        <w:rPr>
          <w:rFonts w:ascii="Noto Sans Arabic" w:hAnsi="Noto Sans Arabic" w:cs="Noto Sans Arabic" w:eastAsia="Noto Sans Arabic"/>
          <w:b/>
          <w:color w:val="17365D"/>
          <w:sz w:val="23"/>
          <w:rtl w:val="1"/>
        </w:rPr>
        <w:t>أ) مؤشرات إنتاج جديدة</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376"/>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المؤشر</w:t>
            </w:r>
          </w:p>
        </w:tc>
        <w:tc>
          <w:tcPr>
            <w:tcW w:type="dxa" w:w="4320"/>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ما يريده العميل</w:t>
            </w:r>
          </w:p>
        </w:tc>
        <w:tc>
          <w:tcPr>
            <w:tcW w:type="dxa" w:w="3384"/>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نقطة تحتاج تأكيد</w:t>
            </w:r>
          </w:p>
        </w:tc>
      </w:tr>
      <w:tr>
        <w:trPr>
          <w:cantSplit/>
        </w:trPr>
        <w:tc>
          <w:tcPr>
            <w:tcW w:type="dxa" w:w="2376"/>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Master Schedule Attainment (MSA)</w:t>
            </w:r>
          </w:p>
        </w:tc>
        <w:tc>
          <w:tcPr>
            <w:tcW w:type="dxa" w:w="432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إضافة KPI يوضح مدى الالتزام بالخطة أو الجدول الرئيسي للإنتاج مقارنة بما تم تنفيذه فعليًا.</w:t>
            </w:r>
          </w:p>
        </w:tc>
        <w:tc>
          <w:tcPr>
            <w:tcW w:type="dxa" w:w="3384"/>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صيغة الحساب لم تظهر في نص البريد؛ يجب تأكيد هل القياس بالكمية، أو أوامر العمل المكتملة، أو الالتزام بتاريخ الإكمال.</w:t>
            </w:r>
          </w:p>
        </w:tc>
      </w:tr>
      <w:tr>
        <w:trPr>
          <w:cantSplit/>
        </w:trPr>
        <w:tc>
          <w:tcPr>
            <w:tcW w:type="dxa" w:w="2376"/>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Volume-Based Capacity Utilization</w:t>
            </w:r>
          </w:p>
        </w:tc>
        <w:tc>
          <w:tcPr>
            <w:tcW w:type="dxa" w:w="432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إضافة KPI يوضح نسبة حجم الإنتاج الفعلي إلى الطاقة الإنتاجية المتاحة خلال فترة محددة.</w:t>
            </w:r>
          </w:p>
        </w:tc>
        <w:tc>
          <w:tcPr>
            <w:tcW w:type="dxa" w:w="3384"/>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يجب تأكيد نوع الطاقة المرجعية: Rated / Design / Available / Scheduled Capacity، ووحدة القياس: كجم، كرتون، أو وحدة.</w:t>
            </w:r>
          </w:p>
        </w:tc>
      </w:tr>
    </w:tbl>
    <w:p>
      <w:pPr>
        <w:spacing w:after="40" w:before="0" w:line="276" w:lineRule="auto"/>
        <w:jc w:val="right"/>
        <w:keepNext w:val="0"/>
        <w:bidi w:val="1"/>
      </w:pPr>
    </w:p>
    <w:p>
      <w:pPr>
        <w:spacing w:after="80" w:before="0" w:line="276" w:lineRule="auto"/>
        <w:jc w:val="right"/>
        <w:keepNext w:val="0"/>
        <w:bidi w:val="1"/>
      </w:pPr>
      <w:r>
        <w:rPr>
          <w:rFonts w:ascii="Noto Sans Arabic" w:hAnsi="Noto Sans Arabic" w:cs="Noto Sans Arabic" w:eastAsia="Noto Sans Arabic"/>
          <w:b/>
          <w:color w:val="1F7A8C"/>
          <w:sz w:val="21"/>
          <w:rtl w:val="1"/>
        </w:rPr>
        <w:t>صيغ مقترحة للمناقشة فقط – وليست اعتمادًا نهائيًا:</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MSA = الإنتاج المنفذ طبقًا للجدول الرئيسي ÷ الإنتاج المخطط بالجدول الرئيسي × 100.</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Volume-Based Capacity Utilization = حجم الإنتاج الفعلي ÷ الطاقة الإنتاجية المتاحة لنفس الفترة × 100.</w:t>
      </w:r>
    </w:p>
    <w:p>
      <w:pPr>
        <w:spacing w:after="80" w:before="120" w:line="276" w:lineRule="auto"/>
        <w:jc w:val="right"/>
        <w:keepNext/>
        <w:bidi w:val="1"/>
      </w:pPr>
      <w:r>
        <w:rPr>
          <w:rFonts w:ascii="Noto Sans Arabic" w:hAnsi="Noto Sans Arabic" w:cs="Noto Sans Arabic" w:eastAsia="Noto Sans Arabic"/>
          <w:b/>
          <w:color w:val="17365D"/>
          <w:sz w:val="23"/>
          <w:rtl w:val="1"/>
        </w:rPr>
        <w:t>ب) مؤشرات الجودة داخل التقارير</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مراجعة سبب عدم ظهور القيم المحسوبة لمؤشر First Pass Yield (FPY) داخل Quality Reports.</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مراجعة سبب عدم ظهور Defect Rate داخل تقارير الجودة.</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التأكد من أن نفس مصدر البيانات والفلاتر والفترة الزمنية المستخدمة في الـKPI تُستخدم داخل التقرير.</w:t>
      </w:r>
    </w:p>
    <w:p>
      <w:pPr>
        <w:spacing w:after="4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التحقق من عدم وجود اختلاف بين قيمة الـDashboard وقيمة التقرير بعد تطبيق نفس الـScope.</w:t>
      </w:r>
    </w:p>
    <w:tbl>
      <w:tblPr>
        <w:tblW w:type="auto" w:w="0"/>
        <w:jc w:val="right"/>
        <w:tblLayout w:type="fixed"/>
        <w:tblLook w:firstColumn="1" w:firstRow="1" w:lastColumn="0" w:lastRow="0" w:noHBand="0" w:noVBand="1" w:val="04A0"/>
      </w:tblPr>
      <w:tblGrid>
        <w:gridCol w:w="1008"/>
        <w:gridCol w:w="9072"/>
      </w:tblGrid>
      <w:tr>
        <w:trPr>
          <w:cantSplit/>
        </w:trPr>
        <w:tc>
          <w:tcPr>
            <w:tcW w:type="dxa" w:w="5112"/>
            <w:shd w:fill="1F7A8C"/>
            <w:tcMar>
              <w:top w:w="50" w:type="dxa"/>
              <w:start w:w="80" w:type="dxa"/>
              <w:bottom w:w="50" w:type="dxa"/>
              <w:end w:w="80" w:type="dxa"/>
            </w:tcMar>
            <w:vAlign w:val="center"/>
          </w:tcPr>
          <w:p>
            <w:pPr>
              <w:jc w:val="center"/>
              <w:bidi w:val="1"/>
            </w:pPr>
            <w:r>
              <w:rPr>
                <w:rFonts w:ascii="Noto Sans Arabic" w:hAnsi="Noto Sans Arabic" w:cs="Noto Sans Arabic" w:eastAsia="Noto Sans Arabic"/>
                <w:b/>
                <w:color w:val="FFFFFF"/>
                <w:sz w:val="24"/>
                <w:rtl w:val="1"/>
              </w:rPr>
              <w:t>6</w:t>
            </w:r>
          </w:p>
        </w:tc>
        <w:tc>
          <w:tcPr>
            <w:tcW w:type="dxa" w:w="5112"/>
            <w:shd w:fill="17365D"/>
            <w:tcMar>
              <w:top w:w="50" w:type="dxa"/>
              <w:start w:w="100" w:type="dxa"/>
              <w:bottom w:w="50" w:type="dxa"/>
              <w:end w:w="100" w:type="dxa"/>
            </w:tcMar>
            <w:vAlign w:val="center"/>
          </w:tcPr>
          <w:p>
            <w:pPr>
              <w:jc w:val="right"/>
              <w:bidi w:val="1"/>
            </w:pPr>
            <w:r>
              <w:rPr>
                <w:rFonts w:ascii="Noto Sans Arabic" w:hAnsi="Noto Sans Arabic" w:cs="Noto Sans Arabic" w:eastAsia="Noto Sans Arabic"/>
                <w:b/>
                <w:color w:val="FFFFFF"/>
                <w:sz w:val="26"/>
                <w:rtl w:val="1"/>
              </w:rPr>
              <w:t>Maintenance Reports – توضيح MTBF وMTTR</w:t>
            </w:r>
          </w:p>
        </w:tc>
      </w:tr>
    </w:tbl>
    <w:p>
      <w:pPr>
        <w:spacing w:after="40" w:before="0" w:line="276" w:lineRule="auto"/>
        <w:jc w:val="right"/>
        <w:keepNext w:val="0"/>
        <w:bidi w:val="1"/>
      </w:pPr>
    </w:p>
    <w:p>
      <w:pPr>
        <w:spacing w:after="100" w:before="0" w:line="276" w:lineRule="auto"/>
        <w:jc w:val="right"/>
        <w:keepNext w:val="0"/>
        <w:bidi w:val="1"/>
      </w:pPr>
      <w:r>
        <w:rPr>
          <w:rFonts w:ascii="Noto Sans Arabic" w:hAnsi="Noto Sans Arabic" w:cs="Noto Sans Arabic" w:eastAsia="Noto Sans Arabic"/>
          <w:b w:val="0"/>
          <w:rtl w:val="1"/>
        </w:rPr>
        <w:t>العميل لا يطلب إضافة المؤشرين فقط؛ بل يريد وثيقة واضحة تشرح كيف يحسبهما النظام ولماذا تختلف القيم بين Maintenance Reports وDowntime Command Center.</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592"/>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المطلوب توضيحه</w:t>
            </w:r>
          </w:p>
        </w:tc>
        <w:tc>
          <w:tcPr>
            <w:tcW w:type="dxa" w:w="7488"/>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التفاصيل</w:t>
            </w:r>
          </w:p>
        </w:tc>
      </w:tr>
      <w:tr>
        <w:trPr>
          <w:cantSplit/>
        </w:trPr>
        <w:tc>
          <w:tcPr>
            <w:tcW w:type="dxa" w:w="2592"/>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المعادلة الرياضية</w:t>
            </w:r>
          </w:p>
        </w:tc>
        <w:tc>
          <w:tcPr>
            <w:tcW w:type="dxa" w:w="748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تقديم المعادلات الفعلية المطبقة في الكود لكل من MTBF وMTTR.</w:t>
            </w:r>
          </w:p>
        </w:tc>
      </w:tr>
      <w:tr>
        <w:trPr>
          <w:cantSplit/>
        </w:trPr>
        <w:tc>
          <w:tcPr>
            <w:tcW w:type="dxa" w:w="2592"/>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تصنيفات التوقف</w:t>
            </w:r>
          </w:p>
        </w:tc>
        <w:tc>
          <w:tcPr>
            <w:tcW w:type="dxa" w:w="7488"/>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تحديد أنواع التوقفات التي تدخل في الحساب: Breakdown، Unplanned، Planned، Setup، Starved، Blocked وغيرها.</w:t>
            </w:r>
          </w:p>
        </w:tc>
      </w:tr>
      <w:tr>
        <w:trPr>
          <w:cantSplit/>
        </w:trPr>
        <w:tc>
          <w:tcPr>
            <w:tcW w:type="dxa" w:w="2592"/>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قواعد الإدراج والاستبعاد</w:t>
            </w:r>
          </w:p>
        </w:tc>
        <w:tc>
          <w:tcPr>
            <w:tcW w:type="dxa" w:w="748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توضيح الأحداث المستبعدة، الأحداث المكررة، الأحداث المفتوحة، التوقفات القصيرة، وأي حد أدنى للمدة.</w:t>
            </w:r>
          </w:p>
        </w:tc>
      </w:tr>
      <w:tr>
        <w:trPr>
          <w:cantSplit/>
        </w:trPr>
        <w:tc>
          <w:tcPr>
            <w:tcW w:type="dxa" w:w="2592"/>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نطاق الحساب</w:t>
            </w:r>
          </w:p>
        </w:tc>
        <w:tc>
          <w:tcPr>
            <w:tcW w:type="dxa" w:w="7488"/>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تحديد الماكينة، الخط، الفترة الزمنية، الوردية والفلاتر المستخدمة.</w:t>
            </w:r>
          </w:p>
        </w:tc>
      </w:tr>
      <w:tr>
        <w:trPr>
          <w:cantSplit/>
        </w:trPr>
        <w:tc>
          <w:tcPr>
            <w:tcW w:type="dxa" w:w="2592"/>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فرق النتائج</w:t>
            </w:r>
          </w:p>
        </w:tc>
        <w:tc>
          <w:tcPr>
            <w:tcW w:type="dxa" w:w="748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تفسير ومعالجة سبب اختلاف الأرقام بين تقارير الصيانة ومركز قيادة التوقفات.</w:t>
            </w:r>
          </w:p>
        </w:tc>
      </w:tr>
    </w:tbl>
    <w:p>
      <w:pPr>
        <w:spacing w:after="40" w:before="0" w:line="276" w:lineRule="auto"/>
        <w:jc w:val="right"/>
        <w:keepNext w:val="0"/>
        <w:bidi w:val="1"/>
      </w:pPr>
    </w:p>
    <w:tbl>
      <w:tblPr>
        <w:tblW w:type="auto" w:w="0"/>
        <w:jc w:val="center"/>
        <w:tblLook w:firstColumn="1" w:firstRow="1" w:lastColumn="0" w:lastRow="0" w:noHBand="0" w:noVBand="1" w:val="04A0"/>
      </w:tblPr>
      <w:tblGrid>
        <w:gridCol w:w="10224"/>
      </w:tblGrid>
      <w:tr>
        <w:trPr>
          <w:cantSplit/>
        </w:trPr>
        <w:tc>
          <w:tcPr>
            <w:tcW w:type="dxa" w:w="10224"/>
            <w:shd w:fill="DDEBF0"/>
            <w:tcMar>
              <w:top w:w="100" w:type="dxa"/>
              <w:start w:w="130" w:type="dxa"/>
              <w:bottom w:w="100" w:type="dxa"/>
              <w:end w:w="130" w:type="dxa"/>
            </w:tcMar>
            <w:tcBorders>
              <w:top w:val="single" w:sz="6" w:color="1F7A8C"/>
              <w:left w:val="single" w:sz="6" w:color="1F7A8C"/>
              <w:bottom w:val="single" w:sz="6" w:color="1F7A8C"/>
              <w:right w:val="single" w:sz="6" w:color="1F7A8C"/>
            </w:tcBorders>
          </w:tcPr>
          <w:p>
            <w:pPr>
              <w:jc w:val="right"/>
              <w:bidi w:val="1"/>
            </w:pPr>
            <w:r>
              <w:rPr>
                <w:rFonts w:ascii="Noto Sans Arabic" w:hAnsi="Noto Sans Arabic" w:cs="Noto Sans Arabic" w:eastAsia="Noto Sans Arabic"/>
                <w:b/>
                <w:color w:val="17365D"/>
                <w:sz w:val="23"/>
                <w:rtl w:val="1"/>
              </w:rPr>
              <w:t>مرجع المراجعة الفني المعتاد</w:t>
            </w:r>
          </w:p>
          <w:p>
            <w:pPr>
              <w:spacing w:after="40"/>
              <w:jc w:val="right"/>
              <w:bidi w:val="1"/>
            </w:pPr>
            <w:r>
              <w:rPr>
                <w:rFonts w:ascii="Noto Sans Arabic" w:hAnsi="Noto Sans Arabic" w:cs="Noto Sans Arabic" w:eastAsia="Noto Sans Arabic"/>
                <w:color w:val="1F1F1F"/>
                <w:sz w:val="21"/>
                <w:rtl w:val="1"/>
              </w:rPr>
              <w:t>• MTBF عادةً = إجمالي وقت التشغيل الفعلي ÷ عدد الأعطال المؤهلة للحساب.</w:t>
            </w:r>
          </w:p>
          <w:p>
            <w:pPr>
              <w:spacing w:after="40"/>
              <w:jc w:val="right"/>
              <w:bidi w:val="1"/>
            </w:pPr>
            <w:r>
              <w:rPr>
                <w:rFonts w:ascii="Noto Sans Arabic" w:hAnsi="Noto Sans Arabic" w:cs="Noto Sans Arabic" w:eastAsia="Noto Sans Arabic"/>
                <w:color w:val="1F1F1F"/>
                <w:sz w:val="21"/>
                <w:rtl w:val="1"/>
              </w:rPr>
              <w:t>• MTTR عادةً = إجمالي زمن الإصلاح للأعطال ÷ عدد أحداث الإصلاح.</w:t>
            </w:r>
          </w:p>
          <w:p>
            <w:pPr>
              <w:spacing w:after="40"/>
              <w:jc w:val="right"/>
              <w:bidi w:val="1"/>
            </w:pPr>
            <w:r>
              <w:rPr>
                <w:rFonts w:ascii="Noto Sans Arabic" w:hAnsi="Noto Sans Arabic" w:cs="Noto Sans Arabic" w:eastAsia="Noto Sans Arabic"/>
                <w:color w:val="1F1F1F"/>
                <w:sz w:val="21"/>
                <w:rtl w:val="1"/>
              </w:rPr>
              <w:t>• يجب مقارنة هذه الصيغ بالمنطق الفعلي المطبق داخل النظام، وليس اعتمادها تلقائيًا دون مراجعة الكود والتصنيفات.</w:t>
            </w:r>
          </w:p>
        </w:tc>
      </w:tr>
    </w:tbl>
    <w:p>
      <w:pPr>
        <w:spacing w:after="40" w:before="0" w:line="276" w:lineRule="auto"/>
        <w:jc w:val="right"/>
        <w:keepNext w:val="0"/>
        <w:bidi w:val="1"/>
      </w:pPr>
    </w:p>
    <w:tbl>
      <w:tblPr>
        <w:tblW w:type="auto" w:w="0"/>
        <w:jc w:val="right"/>
        <w:tblLayout w:type="fixed"/>
        <w:tblLook w:firstColumn="1" w:firstRow="1" w:lastColumn="0" w:lastRow="0" w:noHBand="0" w:noVBand="1" w:val="04A0"/>
      </w:tblPr>
      <w:tblGrid>
        <w:gridCol w:w="1008"/>
        <w:gridCol w:w="9072"/>
      </w:tblGrid>
      <w:tr>
        <w:trPr>
          <w:cantSplit/>
        </w:trPr>
        <w:tc>
          <w:tcPr>
            <w:tcW w:type="dxa" w:w="5112"/>
            <w:shd w:fill="1F7A8C"/>
            <w:tcMar>
              <w:top w:w="50" w:type="dxa"/>
              <w:start w:w="80" w:type="dxa"/>
              <w:bottom w:w="50" w:type="dxa"/>
              <w:end w:w="80" w:type="dxa"/>
            </w:tcMar>
            <w:vAlign w:val="center"/>
          </w:tcPr>
          <w:p>
            <w:pPr>
              <w:jc w:val="center"/>
              <w:bidi w:val="1"/>
            </w:pPr>
            <w:r>
              <w:rPr>
                <w:rFonts w:ascii="Noto Sans Arabic" w:hAnsi="Noto Sans Arabic" w:cs="Noto Sans Arabic" w:eastAsia="Noto Sans Arabic"/>
                <w:b/>
                <w:color w:val="FFFFFF"/>
                <w:sz w:val="24"/>
                <w:rtl w:val="1"/>
              </w:rPr>
              <w:t>7</w:t>
            </w:r>
          </w:p>
        </w:tc>
        <w:tc>
          <w:tcPr>
            <w:tcW w:type="dxa" w:w="5112"/>
            <w:shd w:fill="17365D"/>
            <w:tcMar>
              <w:top w:w="50" w:type="dxa"/>
              <w:start w:w="100" w:type="dxa"/>
              <w:bottom w:w="50" w:type="dxa"/>
              <w:end w:w="100" w:type="dxa"/>
            </w:tcMar>
            <w:vAlign w:val="center"/>
          </w:tcPr>
          <w:p>
            <w:pPr>
              <w:jc w:val="right"/>
              <w:bidi w:val="1"/>
            </w:pPr>
            <w:r>
              <w:rPr>
                <w:rFonts w:ascii="Noto Sans Arabic" w:hAnsi="Noto Sans Arabic" w:cs="Noto Sans Arabic" w:eastAsia="Noto Sans Arabic"/>
                <w:b/>
                <w:color w:val="FFFFFF"/>
                <w:sz w:val="26"/>
                <w:rtl w:val="1"/>
              </w:rPr>
              <w:t>Energy Module – الطاقة والبصمة الكربونية</w:t>
            </w:r>
          </w:p>
        </w:tc>
      </w:tr>
    </w:tbl>
    <w:p>
      <w:pPr>
        <w:spacing w:after="40" w:before="0" w:line="276" w:lineRule="auto"/>
        <w:jc w:val="right"/>
        <w:keepNext w:val="0"/>
        <w:bidi w:val="1"/>
      </w:pPr>
    </w:p>
    <w:p>
      <w:pPr>
        <w:spacing w:after="100" w:before="0" w:line="276" w:lineRule="auto"/>
        <w:jc w:val="right"/>
        <w:keepNext w:val="0"/>
        <w:bidi w:val="1"/>
      </w:pPr>
      <w:r>
        <w:rPr>
          <w:rFonts w:ascii="Noto Sans Arabic" w:hAnsi="Noto Sans Arabic" w:cs="Noto Sans Arabic" w:eastAsia="Noto Sans Arabic"/>
          <w:b w:val="0"/>
          <w:rtl w:val="1"/>
        </w:rPr>
        <w:t>يريد العميل تحويل قراءات الطاقة إلى مؤشرات مرتبطة بالإنتاج، وليس عرض إجمالي الاستهلاك فقط.</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880"/>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البند</w:t>
            </w:r>
          </w:p>
        </w:tc>
        <w:tc>
          <w:tcPr>
            <w:tcW w:type="dxa" w:w="7200"/>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المطلوب</w:t>
            </w:r>
          </w:p>
        </w:tc>
      </w:tr>
      <w:tr>
        <w:trPr>
          <w:cantSplit/>
        </w:trPr>
        <w:tc>
          <w:tcPr>
            <w:tcW w:type="dxa" w:w="288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ربط الطاقة بالماكينة</w:t>
            </w:r>
          </w:p>
        </w:tc>
        <w:tc>
          <w:tcPr>
            <w:tcW w:type="dxa" w:w="720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عرض استهلاك الطاقة لكل ماكينة منفردة خلال فترة أو وردية محددة.</w:t>
            </w:r>
          </w:p>
        </w:tc>
      </w:tr>
      <w:tr>
        <w:trPr>
          <w:cantSplit/>
        </w:trPr>
        <w:tc>
          <w:tcPr>
            <w:tcW w:type="dxa" w:w="288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ربط الطاقة بأمر العمل</w:t>
            </w:r>
          </w:p>
        </w:tc>
        <w:tc>
          <w:tcPr>
            <w:tcW w:type="dxa" w:w="720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احتساب الطاقة المستهلكة أثناء تنفيذ Work Order محدد وربطها بكمية الإنتاج الخاصة به.</w:t>
            </w:r>
          </w:p>
        </w:tc>
      </w:tr>
      <w:tr>
        <w:trPr>
          <w:cantSplit/>
        </w:trPr>
        <w:tc>
          <w:tcPr>
            <w:tcW w:type="dxa" w:w="288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Energy Ratio KPI</w:t>
            </w:r>
          </w:p>
        </w:tc>
        <w:tc>
          <w:tcPr>
            <w:tcW w:type="dxa" w:w="720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إظهار استهلاك نسبي مثل kWh/طن أو kWh/كرتون أو kWh/وحدة. وحدة النسبة تحتاج تأكيدًا حسب بيانات المنتج.</w:t>
            </w:r>
          </w:p>
        </w:tc>
      </w:tr>
      <w:tr>
        <w:trPr>
          <w:cantSplit/>
        </w:trPr>
        <w:tc>
          <w:tcPr>
            <w:tcW w:type="dxa" w:w="288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Scope 2 Carbon Footprint</w:t>
            </w:r>
          </w:p>
        </w:tc>
        <w:tc>
          <w:tcPr>
            <w:tcW w:type="dxa" w:w="720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حساب الانبعاثات غير المباشرة الناتجة عن الكهرباء المستهلكة وعرضها حسب الزمن والماكينة وأمر العمل.</w:t>
            </w:r>
          </w:p>
        </w:tc>
      </w:tr>
    </w:tbl>
    <w:p>
      <w:pPr>
        <w:spacing w:after="40" w:before="0" w:line="276" w:lineRule="auto"/>
        <w:jc w:val="right"/>
        <w:keepNext w:val="0"/>
        <w:bidi w:val="1"/>
      </w:pPr>
    </w:p>
    <w:tbl>
      <w:tblPr>
        <w:tblW w:type="auto" w:w="0"/>
        <w:jc w:val="center"/>
        <w:tblLook w:firstColumn="1" w:firstRow="1" w:lastColumn="0" w:lastRow="0" w:noHBand="0" w:noVBand="1" w:val="04A0"/>
      </w:tblPr>
      <w:tblGrid>
        <w:gridCol w:w="10224"/>
      </w:tblGrid>
      <w:tr>
        <w:trPr>
          <w:cantSplit/>
        </w:trPr>
        <w:tc>
          <w:tcPr>
            <w:tcW w:type="dxa" w:w="10224"/>
            <w:shd w:fill="E2F0D9"/>
            <w:tcMar>
              <w:top w:w="100" w:type="dxa"/>
              <w:start w:w="130" w:type="dxa"/>
              <w:bottom w:w="100" w:type="dxa"/>
              <w:end w:w="130" w:type="dxa"/>
            </w:tcMar>
            <w:tcBorders>
              <w:top w:val="single" w:sz="6" w:color="70AD47"/>
              <w:left w:val="single" w:sz="6" w:color="70AD47"/>
              <w:bottom w:val="single" w:sz="6" w:color="70AD47"/>
              <w:right w:val="single" w:sz="6" w:color="70AD47"/>
            </w:tcBorders>
          </w:tcPr>
          <w:p>
            <w:pPr>
              <w:jc w:val="right"/>
              <w:bidi w:val="1"/>
            </w:pPr>
            <w:r>
              <w:rPr>
                <w:rFonts w:ascii="Noto Sans Arabic" w:hAnsi="Noto Sans Arabic" w:cs="Noto Sans Arabic" w:eastAsia="Noto Sans Arabic"/>
                <w:b/>
                <w:color w:val="17365D"/>
                <w:sz w:val="23"/>
                <w:rtl w:val="1"/>
              </w:rPr>
              <w:t>معادلة Scope 2 المطلوبة من العميل</w:t>
            </w:r>
          </w:p>
          <w:p>
            <w:pPr>
              <w:spacing w:after="40"/>
              <w:jc w:val="right"/>
              <w:bidi w:val="1"/>
            </w:pPr>
            <w:r>
              <w:rPr>
                <w:rFonts w:ascii="Noto Sans Arabic" w:hAnsi="Noto Sans Arabic" w:cs="Noto Sans Arabic" w:eastAsia="Noto Sans Arabic"/>
                <w:color w:val="1F1F1F"/>
                <w:sz w:val="21"/>
                <w:rtl w:val="1"/>
              </w:rPr>
              <w:t>• إجمالي البصمة الكربونية (kg CO₂e) = إجمالي استهلاك الكهرباء (kWh) × معامل انبعاث الشبكة (kg CO₂e/kWh).</w:t>
            </w:r>
          </w:p>
          <w:p>
            <w:pPr>
              <w:spacing w:after="40"/>
              <w:jc w:val="right"/>
              <w:bidi w:val="1"/>
            </w:pPr>
            <w:r>
              <w:rPr>
                <w:rFonts w:ascii="Noto Sans Arabic" w:hAnsi="Noto Sans Arabic" w:cs="Noto Sans Arabic" w:eastAsia="Noto Sans Arabic"/>
                <w:color w:val="1F1F1F"/>
                <w:sz w:val="21"/>
                <w:rtl w:val="1"/>
              </w:rPr>
              <w:t>• القيمة المحددة من العميل لمعامل شبكة السعودية داخل الـPoC: 0.568 kg CO₂e/kWh.</w:t>
            </w:r>
          </w:p>
          <w:p>
            <w:pPr>
              <w:spacing w:after="40"/>
              <w:jc w:val="right"/>
              <w:bidi w:val="1"/>
            </w:pPr>
            <w:r>
              <w:rPr>
                <w:rFonts w:ascii="Noto Sans Arabic" w:hAnsi="Noto Sans Arabic" w:cs="Noto Sans Arabic" w:eastAsia="Noto Sans Arabic"/>
                <w:color w:val="1F1F1F"/>
                <w:sz w:val="21"/>
                <w:rtl w:val="1"/>
              </w:rPr>
              <w:t>• يجب حفظ معامل الانبعاث كقيمة إعداد قابلة للتعديل مستقبلًا، وليس رقمًا ثابتًا داخل الكود.</w:t>
            </w:r>
          </w:p>
        </w:tc>
      </w:tr>
    </w:tbl>
    <w:p>
      <w:pPr>
        <w:spacing w:after="40" w:before="0" w:line="276" w:lineRule="auto"/>
        <w:jc w:val="right"/>
        <w:keepNext w:val="0"/>
        <w:bidi w:val="1"/>
      </w:pPr>
    </w:p>
    <w:tbl>
      <w:tblPr>
        <w:tblW w:type="auto" w:w="0"/>
        <w:jc w:val="right"/>
        <w:tblLayout w:type="fixed"/>
        <w:tblLook w:firstColumn="1" w:firstRow="1" w:lastColumn="0" w:lastRow="0" w:noHBand="0" w:noVBand="1" w:val="04A0"/>
      </w:tblPr>
      <w:tblGrid>
        <w:gridCol w:w="1008"/>
        <w:gridCol w:w="9072"/>
      </w:tblGrid>
      <w:tr>
        <w:trPr>
          <w:cantSplit/>
        </w:trPr>
        <w:tc>
          <w:tcPr>
            <w:tcW w:type="dxa" w:w="5112"/>
            <w:shd w:fill="1F7A8C"/>
            <w:tcMar>
              <w:top w:w="50" w:type="dxa"/>
              <w:start w:w="80" w:type="dxa"/>
              <w:bottom w:w="50" w:type="dxa"/>
              <w:end w:w="80" w:type="dxa"/>
            </w:tcMar>
            <w:vAlign w:val="center"/>
          </w:tcPr>
          <w:p>
            <w:pPr>
              <w:jc w:val="center"/>
              <w:bidi w:val="1"/>
            </w:pPr>
            <w:r>
              <w:rPr>
                <w:rFonts w:ascii="Noto Sans Arabic" w:hAnsi="Noto Sans Arabic" w:cs="Noto Sans Arabic" w:eastAsia="Noto Sans Arabic"/>
                <w:b/>
                <w:color w:val="FFFFFF"/>
                <w:sz w:val="24"/>
                <w:rtl w:val="1"/>
              </w:rPr>
              <w:t>8</w:t>
            </w:r>
          </w:p>
        </w:tc>
        <w:tc>
          <w:tcPr>
            <w:tcW w:type="dxa" w:w="5112"/>
            <w:shd w:fill="17365D"/>
            <w:tcMar>
              <w:top w:w="50" w:type="dxa"/>
              <w:start w:w="100" w:type="dxa"/>
              <w:bottom w:w="50" w:type="dxa"/>
              <w:end w:w="100" w:type="dxa"/>
            </w:tcMar>
            <w:vAlign w:val="center"/>
          </w:tcPr>
          <w:p>
            <w:pPr>
              <w:jc w:val="right"/>
              <w:bidi w:val="1"/>
            </w:pPr>
            <w:r>
              <w:rPr>
                <w:rFonts w:ascii="Noto Sans Arabic" w:hAnsi="Noto Sans Arabic" w:cs="Noto Sans Arabic" w:eastAsia="Noto Sans Arabic"/>
                <w:b/>
                <w:color w:val="FFFFFF"/>
                <w:sz w:val="26"/>
                <w:rtl w:val="1"/>
              </w:rPr>
              <w:t>المخرجات المتوقعة من فريق التنفيذ</w:t>
            </w:r>
          </w:p>
        </w:tc>
      </w:tr>
    </w:tbl>
    <w:p>
      <w:pPr>
        <w:spacing w:after="40" w:before="0" w:line="276" w:lineRule="auto"/>
        <w:jc w:val="right"/>
        <w:keepNext w:val="0"/>
        <w:bidi w:val="1"/>
      </w:pPr>
    </w:p>
    <w:p>
      <w:pPr>
        <w:spacing w:after="100" w:before="0" w:line="276" w:lineRule="auto"/>
        <w:jc w:val="right"/>
        <w:keepNext w:val="0"/>
        <w:bidi w:val="1"/>
      </w:pPr>
      <w:r>
        <w:rPr>
          <w:rFonts w:ascii="Noto Sans Arabic" w:hAnsi="Noto Sans Arabic" w:cs="Noto Sans Arabic" w:eastAsia="Noto Sans Arabic"/>
          <w:b w:val="0"/>
          <w:rtl w:val="1"/>
        </w:rPr>
        <w:t>حتى يعتبر ردنا على العميل مكتملًا، يجب أن يخرج الفريق بالمخرجات التالية:</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648"/>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w:t>
            </w:r>
          </w:p>
        </w:tc>
        <w:tc>
          <w:tcPr>
            <w:tcW w:type="dxa" w:w="2232"/>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المخرج</w:t>
            </w:r>
          </w:p>
        </w:tc>
        <w:tc>
          <w:tcPr>
            <w:tcW w:type="dxa" w:w="7200"/>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الشرح</w:t>
            </w:r>
          </w:p>
        </w:tc>
      </w:tr>
      <w:tr>
        <w:trPr>
          <w:cantSplit/>
        </w:trPr>
        <w:tc>
          <w:tcPr>
            <w:tcW w:type="dxa" w:w="64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1</w:t>
            </w:r>
          </w:p>
        </w:tc>
        <w:tc>
          <w:tcPr>
            <w:tcW w:type="dxa" w:w="2232"/>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تحديث مرئي</w:t>
            </w:r>
          </w:p>
        </w:tc>
        <w:tc>
          <w:tcPr>
            <w:tcW w:type="dxa" w:w="720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نسخة محدثة من 3D Line Model وإحداثيات المواقع.</w:t>
            </w:r>
          </w:p>
        </w:tc>
      </w:tr>
      <w:tr>
        <w:trPr>
          <w:cantSplit/>
        </w:trPr>
        <w:tc>
          <w:tcPr>
            <w:tcW w:type="dxa" w:w="648"/>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2</w:t>
            </w:r>
          </w:p>
        </w:tc>
        <w:tc>
          <w:tcPr>
            <w:tcW w:type="dxa" w:w="2232"/>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تصميم فني</w:t>
            </w:r>
          </w:p>
        </w:tc>
        <w:tc>
          <w:tcPr>
            <w:tcW w:type="dxa" w:w="720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شرح إشارات Stack Light التي ستُقرأ وطريقة تحويلها إلى Events وحالات الماكينة.</w:t>
            </w:r>
          </w:p>
        </w:tc>
      </w:tr>
      <w:tr>
        <w:trPr>
          <w:cantSplit/>
        </w:trPr>
        <w:tc>
          <w:tcPr>
            <w:tcW w:type="dxa" w:w="64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3</w:t>
            </w:r>
          </w:p>
        </w:tc>
        <w:tc>
          <w:tcPr>
            <w:tcW w:type="dxa" w:w="2232"/>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تجربة PoC</w:t>
            </w:r>
          </w:p>
        </w:tc>
        <w:tc>
          <w:tcPr>
            <w:tcW w:type="dxa" w:w="720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عرض تلقائي لتسجيل Downtime أو Starved/Blocked على Palletizer أو Wrapper.</w:t>
            </w:r>
          </w:p>
        </w:tc>
      </w:tr>
      <w:tr>
        <w:trPr>
          <w:cantSplit/>
        </w:trPr>
        <w:tc>
          <w:tcPr>
            <w:tcW w:type="dxa" w:w="648"/>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4</w:t>
            </w:r>
          </w:p>
        </w:tc>
        <w:tc>
          <w:tcPr>
            <w:tcW w:type="dxa" w:w="2232"/>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مراجعة OEE</w:t>
            </w:r>
          </w:p>
        </w:tc>
        <w:tc>
          <w:tcPr>
            <w:tcW w:type="dxa" w:w="720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تأكيد وتطبيق منهج Bottleneck-based Line OEE وتوضيح Final Outfeed Quality.</w:t>
            </w:r>
          </w:p>
        </w:tc>
      </w:tr>
      <w:tr>
        <w:trPr>
          <w:cantSplit/>
        </w:trPr>
        <w:tc>
          <w:tcPr>
            <w:tcW w:type="dxa" w:w="64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5</w:t>
            </w:r>
          </w:p>
        </w:tc>
        <w:tc>
          <w:tcPr>
            <w:tcW w:type="dxa" w:w="2232"/>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إصلاح تقارير</w:t>
            </w:r>
          </w:p>
        </w:tc>
        <w:tc>
          <w:tcPr>
            <w:tcW w:type="dxa" w:w="720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إظهار FPY وDefect Rate بصورة متسقة داخل Quality Reports.</w:t>
            </w:r>
          </w:p>
        </w:tc>
      </w:tr>
      <w:tr>
        <w:trPr>
          <w:cantSplit/>
        </w:trPr>
        <w:tc>
          <w:tcPr>
            <w:tcW w:type="dxa" w:w="648"/>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6</w:t>
            </w:r>
          </w:p>
        </w:tc>
        <w:tc>
          <w:tcPr>
            <w:tcW w:type="dxa" w:w="2232"/>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وثيقة حسابات</w:t>
            </w:r>
          </w:p>
        </w:tc>
        <w:tc>
          <w:tcPr>
            <w:tcW w:type="dxa" w:w="720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تقديم منهجية MTBF وMTTR وقواعد الإدراج والاستبعاد وسبب اختلاف النتائج.</w:t>
            </w:r>
          </w:p>
        </w:tc>
      </w:tr>
      <w:tr>
        <w:trPr>
          <w:cantSplit/>
        </w:trPr>
        <w:tc>
          <w:tcPr>
            <w:tcW w:type="dxa" w:w="64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7</w:t>
            </w:r>
          </w:p>
        </w:tc>
        <w:tc>
          <w:tcPr>
            <w:tcW w:type="dxa" w:w="2232"/>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KPIs جديدة</w:t>
            </w:r>
          </w:p>
        </w:tc>
        <w:tc>
          <w:tcPr>
            <w:tcW w:type="dxa" w:w="720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إضافة MSA وCapacity Utilization بعد اعتماد تعريفاتهما وصيغهما.</w:t>
            </w:r>
          </w:p>
        </w:tc>
      </w:tr>
      <w:tr>
        <w:trPr>
          <w:cantSplit/>
        </w:trPr>
        <w:tc>
          <w:tcPr>
            <w:tcW w:type="dxa" w:w="648"/>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8</w:t>
            </w:r>
          </w:p>
        </w:tc>
        <w:tc>
          <w:tcPr>
            <w:tcW w:type="dxa" w:w="2232"/>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طاقة وكربون</w:t>
            </w:r>
          </w:p>
        </w:tc>
        <w:tc>
          <w:tcPr>
            <w:tcW w:type="dxa" w:w="7200"/>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إضافة Energy Ratios حسب الماكينة وأمر العمل، وإضافة Scope 2 KPI.</w:t>
            </w:r>
          </w:p>
        </w:tc>
      </w:tr>
      <w:tr>
        <w:trPr>
          <w:cantSplit/>
        </w:trPr>
        <w:tc>
          <w:tcPr>
            <w:tcW w:type="dxa" w:w="64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9</w:t>
            </w:r>
          </w:p>
        </w:tc>
        <w:tc>
          <w:tcPr>
            <w:tcW w:type="dxa" w:w="2232"/>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خطة عمل</w:t>
            </w:r>
          </w:p>
        </w:tc>
        <w:tc>
          <w:tcPr>
            <w:tcW w:type="dxa" w:w="7200"/>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تحديد ما يمكن تنفيذه داخل الـPoC، وما يحتاج بيانات أو أجهزة أو وقتًا إضافيًا، مع تواريخ مستهدفة.</w:t>
            </w:r>
          </w:p>
        </w:tc>
      </w:tr>
    </w:tbl>
    <w:tbl>
      <w:tblPr>
        <w:tblW w:type="auto" w:w="0"/>
        <w:jc w:val="right"/>
        <w:tblLayout w:type="fixed"/>
        <w:tblLook w:firstColumn="1" w:firstRow="1" w:lastColumn="0" w:lastRow="0" w:noHBand="0" w:noVBand="1" w:val="04A0"/>
      </w:tblPr>
      <w:tblGrid>
        <w:gridCol w:w="1008"/>
        <w:gridCol w:w="9072"/>
      </w:tblGrid>
      <w:tr>
        <w:trPr>
          <w:cantSplit/>
        </w:trPr>
        <w:tc>
          <w:tcPr>
            <w:tcW w:type="dxa" w:w="5112"/>
            <w:shd w:fill="1F7A8C"/>
            <w:tcMar>
              <w:top w:w="50" w:type="dxa"/>
              <w:start w:w="80" w:type="dxa"/>
              <w:bottom w:w="50" w:type="dxa"/>
              <w:end w:w="80" w:type="dxa"/>
            </w:tcMar>
            <w:vAlign w:val="center"/>
          </w:tcPr>
          <w:p>
            <w:pPr>
              <w:jc w:val="center"/>
              <w:bidi w:val="1"/>
            </w:pPr>
            <w:r>
              <w:rPr>
                <w:rFonts w:ascii="Noto Sans Arabic" w:hAnsi="Noto Sans Arabic" w:cs="Noto Sans Arabic" w:eastAsia="Noto Sans Arabic"/>
                <w:b/>
                <w:color w:val="FFFFFF"/>
                <w:sz w:val="24"/>
                <w:rtl w:val="1"/>
              </w:rPr>
              <w:t>9</w:t>
            </w:r>
          </w:p>
        </w:tc>
        <w:tc>
          <w:tcPr>
            <w:tcW w:type="dxa" w:w="5112"/>
            <w:shd w:fill="17365D"/>
            <w:tcMar>
              <w:top w:w="50" w:type="dxa"/>
              <w:start w:w="100" w:type="dxa"/>
              <w:bottom w:w="50" w:type="dxa"/>
              <w:end w:w="100" w:type="dxa"/>
            </w:tcMar>
            <w:vAlign w:val="center"/>
          </w:tcPr>
          <w:p>
            <w:pPr>
              <w:jc w:val="right"/>
              <w:bidi w:val="1"/>
            </w:pPr>
            <w:r>
              <w:rPr>
                <w:rFonts w:ascii="Noto Sans Arabic" w:hAnsi="Noto Sans Arabic" w:cs="Noto Sans Arabic" w:eastAsia="Noto Sans Arabic"/>
                <w:b/>
                <w:color w:val="FFFFFF"/>
                <w:sz w:val="26"/>
                <w:rtl w:val="1"/>
              </w:rPr>
              <w:t>الأولويات المقترحة للتنفيذ</w:t>
            </w:r>
          </w:p>
        </w:tc>
      </w:tr>
    </w:tbl>
    <w:p>
      <w:pPr>
        <w:spacing w:after="40" w:before="0" w:line="276" w:lineRule="auto"/>
        <w:jc w:val="right"/>
        <w:keepNext w:val="0"/>
        <w:bidi w:val="1"/>
      </w:pP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448"/>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الأولوية</w:t>
            </w:r>
          </w:p>
        </w:tc>
        <w:tc>
          <w:tcPr>
            <w:tcW w:type="dxa" w:w="4608"/>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البنود</w:t>
            </w:r>
          </w:p>
        </w:tc>
        <w:tc>
          <w:tcPr>
            <w:tcW w:type="dxa" w:w="3024"/>
            <w:shd w:fill="17365D"/>
            <w:tcMar>
              <w:top w:w="70" w:type="dxa"/>
              <w:start w:w="80" w:type="dxa"/>
              <w:bottom w:w="70" w:type="dxa"/>
              <w:end w:w="80" w:type="dxa"/>
            </w:tcMar>
          </w:tcPr>
          <w:p>
            <w:pPr>
              <w:jc w:val="center"/>
              <w:bidi w:val="1"/>
            </w:pPr>
            <w:r>
              <w:rPr>
                <w:rFonts w:ascii="Noto Sans Arabic" w:hAnsi="Noto Sans Arabic" w:cs="Noto Sans Arabic" w:eastAsia="Noto Sans Arabic"/>
                <w:b/>
                <w:color w:val="FFFFFF"/>
                <w:sz w:val="19"/>
                <w:rtl w:val="1"/>
              </w:rPr>
              <w:t>سبب التصنيف</w:t>
            </w:r>
          </w:p>
        </w:tc>
      </w:tr>
      <w:tr>
        <w:trPr>
          <w:cantSplit/>
        </w:trPr>
        <w:tc>
          <w:tcPr>
            <w:tcW w:type="dxa" w:w="244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أولوية عاجلة – إثبات الـPoC</w:t>
            </w:r>
          </w:p>
        </w:tc>
        <w:tc>
          <w:tcPr>
            <w:tcW w:type="dxa" w:w="460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تحديث 3D، تحديث الإحداثيات، اكتشاف التوقف تلقائيًا، إثبات Starved/Blocked، مراجعة Line OEE.</w:t>
            </w:r>
          </w:p>
        </w:tc>
        <w:tc>
          <w:tcPr>
            <w:tcW w:type="dxa" w:w="3024"/>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هذه البنود تمس مصداقية العرض الحي ودقة OEE مباشرة.</w:t>
            </w:r>
          </w:p>
        </w:tc>
      </w:tr>
      <w:tr>
        <w:trPr>
          <w:cantSplit/>
        </w:trPr>
        <w:tc>
          <w:tcPr>
            <w:tcW w:type="dxa" w:w="2448"/>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أولوية عالية – تصحيح النتائج</w:t>
            </w:r>
          </w:p>
        </w:tc>
        <w:tc>
          <w:tcPr>
            <w:tcW w:type="dxa" w:w="4608"/>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FPY، Defect Rate، توحيد MTBF/MTTR بين الشاشات والتقارير.</w:t>
            </w:r>
          </w:p>
        </w:tc>
        <w:tc>
          <w:tcPr>
            <w:tcW w:type="dxa" w:w="3024"/>
            <w:shd w:fill="F2F2F2"/>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العميل لاحظ اختلافات فعلية في النتائج الحالية.</w:t>
            </w:r>
          </w:p>
        </w:tc>
      </w:tr>
      <w:tr>
        <w:trPr>
          <w:cantSplit/>
        </w:trPr>
        <w:tc>
          <w:tcPr>
            <w:tcW w:type="dxa" w:w="244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أولوية متوسطة – توسعة التحليلات</w:t>
            </w:r>
          </w:p>
        </w:tc>
        <w:tc>
          <w:tcPr>
            <w:tcW w:type="dxa" w:w="4608"/>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MSA، Volume Capacity Utilization، Energy Ratios، Scope 2.</w:t>
            </w:r>
          </w:p>
        </w:tc>
        <w:tc>
          <w:tcPr>
            <w:tcW w:type="dxa" w:w="3024"/>
            <w:shd w:fill="FFFFFF"/>
            <w:tcMar>
              <w:top w:w="65" w:type="dxa"/>
              <w:start w:w="80" w:type="dxa"/>
              <w:bottom w:w="65" w:type="dxa"/>
              <w:end w:w="80" w:type="dxa"/>
            </w:tcMar>
            <w:vAlign w:val="center"/>
          </w:tcPr>
          <w:p>
            <w:pPr>
              <w:jc w:val="right"/>
              <w:bidi w:val="1"/>
            </w:pPr>
            <w:r>
              <w:rPr>
                <w:rFonts w:ascii="Noto Sans Arabic" w:hAnsi="Noto Sans Arabic" w:cs="Noto Sans Arabic" w:eastAsia="Noto Sans Arabic"/>
                <w:color w:val="1F1F1F"/>
                <w:sz w:val="18"/>
                <w:rtl w:val="1"/>
              </w:rPr>
              <w:t>تحتاج تعريفات ومدخلات واتفاقًا على وحدات القياس والفلاتر.</w:t>
            </w:r>
          </w:p>
        </w:tc>
      </w:tr>
    </w:tbl>
    <w:tbl>
      <w:tblPr>
        <w:tblW w:type="auto" w:w="0"/>
        <w:jc w:val="right"/>
        <w:tblLayout w:type="fixed"/>
        <w:tblLook w:firstColumn="1" w:firstRow="1" w:lastColumn="0" w:lastRow="0" w:noHBand="0" w:noVBand="1" w:val="04A0"/>
      </w:tblPr>
      <w:tblGrid>
        <w:gridCol w:w="1008"/>
        <w:gridCol w:w="9072"/>
      </w:tblGrid>
      <w:tr>
        <w:trPr>
          <w:cantSplit/>
        </w:trPr>
        <w:tc>
          <w:tcPr>
            <w:tcW w:type="dxa" w:w="5112"/>
            <w:shd w:fill="1F7A8C"/>
            <w:tcMar>
              <w:top w:w="50" w:type="dxa"/>
              <w:start w:w="80" w:type="dxa"/>
              <w:bottom w:w="50" w:type="dxa"/>
              <w:end w:w="80" w:type="dxa"/>
            </w:tcMar>
            <w:vAlign w:val="center"/>
          </w:tcPr>
          <w:p>
            <w:pPr>
              <w:jc w:val="center"/>
              <w:bidi w:val="1"/>
            </w:pPr>
            <w:r>
              <w:rPr>
                <w:rFonts w:ascii="Noto Sans Arabic" w:hAnsi="Noto Sans Arabic" w:cs="Noto Sans Arabic" w:eastAsia="Noto Sans Arabic"/>
                <w:b/>
                <w:color w:val="FFFFFF"/>
                <w:sz w:val="24"/>
                <w:rtl w:val="1"/>
              </w:rPr>
              <w:t>10</w:t>
            </w:r>
          </w:p>
        </w:tc>
        <w:tc>
          <w:tcPr>
            <w:tcW w:type="dxa" w:w="5112"/>
            <w:shd w:fill="17365D"/>
            <w:tcMar>
              <w:top w:w="50" w:type="dxa"/>
              <w:start w:w="100" w:type="dxa"/>
              <w:bottom w:w="50" w:type="dxa"/>
              <w:end w:w="100" w:type="dxa"/>
            </w:tcMar>
            <w:vAlign w:val="center"/>
          </w:tcPr>
          <w:p>
            <w:pPr>
              <w:jc w:val="right"/>
              <w:bidi w:val="1"/>
            </w:pPr>
            <w:r>
              <w:rPr>
                <w:rFonts w:ascii="Noto Sans Arabic" w:hAnsi="Noto Sans Arabic" w:cs="Noto Sans Arabic" w:eastAsia="Noto Sans Arabic"/>
                <w:b/>
                <w:color w:val="FFFFFF"/>
                <w:sz w:val="26"/>
                <w:rtl w:val="1"/>
              </w:rPr>
              <w:t>النقاط التي يجب تأكيدها مع العميل</w:t>
            </w:r>
          </w:p>
        </w:tc>
      </w:tr>
    </w:tbl>
    <w:p>
      <w:pPr>
        <w:spacing w:after="40" w:before="0" w:line="276" w:lineRule="auto"/>
        <w:jc w:val="right"/>
        <w:keepNext w:val="0"/>
        <w:bidi w:val="1"/>
      </w:pPr>
    </w:p>
    <w:p>
      <w:pPr>
        <w:spacing w:after="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اعتماد المعادلة النهائية لـMSA؛ إذ لم تظهر في نص البريد.</w:t>
      </w:r>
    </w:p>
    <w:p>
      <w:pPr>
        <w:spacing w:after="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تحديد مرجع Capacity Utilization: Design أم Available أم Scheduled Capacity.</w:t>
      </w:r>
    </w:p>
    <w:p>
      <w:pPr>
        <w:spacing w:after="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اعتماد وحدة Energy Ratio: kWh/طن أو كرتون أو وحدة إنتاج.</w:t>
      </w:r>
    </w:p>
    <w:p>
      <w:pPr>
        <w:spacing w:after="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تحديد Final Outfeed Quality: رفض كل ماكينة أم نقطة الخروج النهائية.</w:t>
      </w:r>
    </w:p>
    <w:p>
      <w:pPr>
        <w:spacing w:after="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تأكيد إشارات Stack Light ومعنى كل لون أو Combination.</w:t>
      </w:r>
    </w:p>
    <w:p>
      <w:pPr>
        <w:spacing w:after="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اعتماد استبعاد Starved/Blocked من Availability وPerformance والفلاتر.</w:t>
      </w:r>
    </w:p>
    <w:p>
      <w:pPr>
        <w:spacing w:after="0" w:line="276" w:lineRule="auto"/>
        <w:ind w:left="72" w:right="259" w:hanging="173"/>
        <w:jc w:val="right"/>
        <w:bidi w:val="1"/>
      </w:pPr>
      <w:r>
        <w:rPr>
          <w:rFonts w:ascii="Noto Sans Arabic" w:hAnsi="Noto Sans Arabic" w:cs="Noto Sans Arabic" w:eastAsia="Noto Sans Arabic"/>
          <w:b/>
          <w:color w:val="1F7A8C"/>
          <w:sz w:val="21"/>
          <w:rtl w:val="1"/>
        </w:rPr>
        <w:t xml:space="preserve">• </w:t>
      </w:r>
      <w:r>
        <w:rPr>
          <w:rFonts w:ascii="Noto Sans Arabic" w:hAnsi="Noto Sans Arabic" w:cs="Noto Sans Arabic" w:eastAsia="Noto Sans Arabic"/>
          <w:color w:val="1F1F1F"/>
          <w:sz w:val="21"/>
          <w:rtl w:val="1"/>
        </w:rPr>
        <w:t>تأكيد استخدام معامل 0.568 للـPoC فقط أم كقيمة قابلة للتحديث.</w:t>
      </w:r>
    </w:p>
    <w:tbl>
      <w:tblPr>
        <w:tblW w:type="auto" w:w="0"/>
        <w:jc w:val="center"/>
        <w:tblLook w:firstColumn="1" w:firstRow="1" w:lastColumn="0" w:lastRow="0" w:noHBand="0" w:noVBand="1" w:val="04A0"/>
      </w:tblPr>
      <w:tblGrid>
        <w:gridCol w:w="10224"/>
      </w:tblGrid>
      <w:tr>
        <w:trPr>
          <w:cantSplit/>
        </w:trPr>
        <w:tc>
          <w:tcPr>
            <w:tcW w:type="dxa" w:w="10224"/>
            <w:shd w:fill="DDEBF0"/>
            <w:tcMar>
              <w:top w:w="100" w:type="dxa"/>
              <w:start w:w="130" w:type="dxa"/>
              <w:bottom w:w="100" w:type="dxa"/>
              <w:end w:w="130" w:type="dxa"/>
            </w:tcMar>
            <w:tcBorders>
              <w:top w:val="single" w:sz="6" w:color="1F7A8C"/>
              <w:left w:val="single" w:sz="6" w:color="1F7A8C"/>
              <w:bottom w:val="single" w:sz="6" w:color="1F7A8C"/>
              <w:right w:val="single" w:sz="6" w:color="1F7A8C"/>
            </w:tcBorders>
          </w:tcPr>
          <w:p>
            <w:pPr>
              <w:jc w:val="right"/>
              <w:bidi w:val="1"/>
            </w:pPr>
            <w:r>
              <w:rPr>
                <w:rFonts w:ascii="Noto Sans Arabic" w:hAnsi="Noto Sans Arabic" w:cs="Noto Sans Arabic" w:eastAsia="Noto Sans Arabic"/>
                <w:b/>
                <w:color w:val="17365D"/>
                <w:sz w:val="23"/>
                <w:rtl w:val="1"/>
              </w:rPr>
              <w:t>الخلاصة في جملة واحدة</w:t>
            </w:r>
          </w:p>
          <w:p>
            <w:pPr>
              <w:spacing w:after="40"/>
              <w:jc w:val="right"/>
              <w:bidi w:val="1"/>
            </w:pPr>
            <w:r>
              <w:rPr>
                <w:rFonts w:ascii="Noto Sans Arabic" w:hAnsi="Noto Sans Arabic" w:cs="Noto Sans Arabic" w:eastAsia="Noto Sans Arabic"/>
                <w:color w:val="1F1F1F"/>
                <w:sz w:val="21"/>
                <w:rtl w:val="1"/>
              </w:rPr>
              <w:t>• العميل يريد PoC يعكس التشغيل الحقيقي تلقائيًا: نموذج صحيح، توقفات دقيقة، OEE مبني على عنق الزجاجة، حالات Starved/Blocked واقعية، وتقارير ومؤشرات إنتاج وطاقة وكربون متسقة.</w:t>
            </w:r>
          </w:p>
        </w:tc>
      </w:tr>
    </w:tbl>
    <w:p>
      <w:pPr>
        <w:spacing w:after="40" w:before="0" w:line="276" w:lineRule="auto"/>
        <w:jc w:val="right"/>
        <w:keepNext w:val="0"/>
        <w:bidi w:val="1"/>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cs="Noto Sans Arabic" w:eastAsia="Noto Sans Arabic"/>
        <w:color w:val="666666"/>
        <w:sz w:val="16"/>
        <w:rtl w:val="1"/>
      </w:rPr>
      <w:t xml:space="preserve">صفحة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Bdr>
        <w:bottom w:val="single" w:sz="8" w:color="1F7A8C"/>
      </w:pBdr>
    </w:pPr>
    <w:r>
      <w:rPr>
        <w:rFonts w:ascii="Noto Sans Arabic" w:hAnsi="Noto Sans Arabic" w:cs="Noto Sans Arabic" w:eastAsia="Noto Sans Arabic"/>
        <w:b/>
        <w:color w:val="17365D"/>
        <w:sz w:val="17"/>
        <w:rtl w:val="1"/>
      </w:rPr>
      <w:t>IPIC | مشروع NCC – SDPF | ملخص متطلبات العميل للـ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AR">
    <w:name w:val="TitleAR"/>
    <w:rPr>
      <w:rFonts w:ascii="Noto Sans Arabic" w:hAnsi="Noto Sans Arabic" w:cs="Noto Sans Arabic"/>
      <w:b/>
      <w:color w:val="17365D"/>
      <w:sz w:val="48"/>
    </w:rPr>
  </w:style>
  <w:style w:type="paragraph" w:customStyle="1" w:styleId="SubtitleAR">
    <w:name w:val="SubtitleAR"/>
    <w:rPr>
      <w:rFonts w:ascii="Noto Sans Arabic" w:hAnsi="Noto Sans Arabic" w:cs="Noto Sans Arabic"/>
      <w:b/>
      <w:color w:val="1F7A8C"/>
      <w:sz w:val="26"/>
    </w:rPr>
  </w:style>
  <w:style w:type="paragraph" w:customStyle="1" w:styleId="HeadingAR">
    <w:name w:val="HeadingAR"/>
    <w:rPr>
      <w:rFonts w:ascii="Noto Sans Arabic" w:hAnsi="Noto Sans Arabic" w:cs="Noto Sans Arabic"/>
      <w:b/>
      <w:color w:val="17365D"/>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ملخص متطلبات وتحسينات العميل - مشروع NCC SDPF PoC</dc:title>
  <dc:subject>شرح عربي موحد لمتطلبات العميل الواردة في المراسلات</dc:subject>
  <dc:creator>IPIC</dc:creator>
  <cp:keywords>NCC, SDPF, PoC, MES, OEE, Downtime, Energy, KPI</cp:keywords>
  <dc:description>generated by python-docx</dc:description>
  <cp:lastModifiedBy/>
  <cp:revision>1</cp:revision>
  <dcterms:created xsi:type="dcterms:W3CDTF">2013-12-23T23:15:00Z</dcterms:created>
  <dcterms:modified xsi:type="dcterms:W3CDTF">2013-12-23T23:15:00Z</dcterms:modified>
  <cp:category/>
</cp:coreProperties>
</file>