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Grid>
        <w:gridCol w:w="9360"/>
      </w:tblGrid>
      <w:tblPr>
        <w:tblW w:type="dxa" w:w="9360"/>
        <w:jc w:val="center"/>
        <w:tblLayout w:type="fixed"/>
        <w:tblLook w:firstColumn="1" w:firstRow="1" w:lastColumn="0" w:lastRow="0" w:noHBand="0" w:noVBand="1" w:val="04A0"/>
        <w:tblInd w:w="0" w:type="dxa"/>
      </w:tblPr>
      <w:tr>
        <w:tc>
          <w:tcPr>
            <w:tcW w:type="dxa" w:w="9360"/>
            <w:tcBorders>
              <w:top w:val="single" w:sz="0" w:space="0" w:color="0F3D2E"/>
              <w:start w:val="single" w:sz="0" w:space="0" w:color="0F3D2E"/>
              <w:bottom w:val="single" w:sz="0" w:space="0" w:color="0F3D2E"/>
              <w:end w:val="single" w:sz="0" w:space="0" w:color="0F3D2E"/>
              <w:insideH w:val="single" w:sz="0" w:space="0" w:color="0F3D2E"/>
              <w:insideV w:val="single" w:sz="0" w:space="0" w:color="0F3D2E"/>
            </w:tcBorders>
            <w:shd w:fill="0F3D2E"/>
            <w:tcMar>
              <w:top w:w="420" w:type="dxa"/>
              <w:start w:w="360" w:type="dxa"/>
              <w:bottom w:w="420" w:type="dxa"/>
              <w:end w:w="360" w:type="dxa"/>
            </w:tcMar>
          </w:tcPr>
          <w:p>
            <w:pPr>
              <w:jc w:val="center"/>
              <w:bidi/>
            </w:pPr>
            <w:r>
              <w:rPr>
                <w:rFonts w:cs="Readex Pro"/>
                <w:lang w:bidi="ar-SA"/>
              </w:rP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favicon-180x180.png"/>
                          <pic:cNvPicPr/>
                        </pic:nvPicPr>
                        <pic:blipFill>
                          <a:blip r:embed="rId11"/>
                          <a:stretch>
                            <a:fillRect/>
                          </a:stretch>
                        </pic:blipFill>
                        <pic:spPr>
                          <a:xfrm>
                            <a:off x="0" y="0"/>
                            <a:ext cx="1097280" cy="1097280"/>
                          </a:xfrm>
                          <a:prstGeom prst="rect"/>
                        </pic:spPr>
                      </pic:pic>
                    </a:graphicData>
                  </a:graphic>
                </wp:inline>
              </w:drawing>
            </w:r>
          </w:p>
          <w:p>
            <w:pPr>
              <w:bidi/>
              <w:spacing w:before="280" w:after="40" w:line="240" w:lineRule="auto"/>
              <w:jc w:val="center"/>
            </w:pPr>
            <w:r>
              <w:rPr>
                <w:rFonts w:ascii="Instrument Serif" w:hAnsi="Instrument Serif" w:cs="Amiri" w:eastAsia="Amiri"/>
                <w:b/>
                <w:i w:val="0"/>
                <w:color w:val="FFFFFF"/>
                <w:sz w:val="64"/>
                <w:lang w:val="en-US" w:bidi="ar-SA"/>
              </w:rPr>
              <w:t>INDUSTRY360°</w:t>
            </w:r>
          </w:p>
          <w:p>
            <w:pPr>
              <w:bidi/>
              <w:spacing w:before="0" w:after="240" w:line="240" w:lineRule="auto"/>
              <w:jc w:val="center"/>
            </w:pPr>
            <w:r>
              <w:rPr>
                <w:rFonts w:ascii="Inter Tight" w:hAnsi="Inter Tight" w:cs="Readex Pro" w:eastAsia="Readex Pro"/>
                <w:b/>
                <w:i w:val="0"/>
                <w:color w:val="C9A961"/>
                <w:sz w:val="32"/>
                <w:lang w:val="en-US" w:bidi="ar-SA"/>
              </w:rPr>
              <w:t>The Industrial Intelligence Platform</w:t>
            </w:r>
          </w:p>
          <w:p>
            <w:pPr>
              <w:bidi/>
              <w:spacing w:before="0" w:after="360" w:line="276" w:lineRule="auto"/>
              <w:jc w:val="center"/>
            </w:pPr>
            <w:r>
              <w:rPr>
                <w:rFonts w:ascii="Instrument Serif" w:hAnsi="Instrument Serif" w:cs="Amiri" w:eastAsia="Amiri"/>
                <w:b/>
                <w:i w:val="0"/>
                <w:color w:val="FFFFFF"/>
                <w:sz w:val="34"/>
                <w:lang w:val="en-US" w:bidi="ar-SA"/>
              </w:rPr>
              <w:t>منصة التحول الرقمي والذكاء الصناعي للمصانع</w:t>
            </w:r>
          </w:p>
          <w:p>
            <w:pPr>
              <w:bidi/>
              <w:spacing w:before="0" w:after="0" w:line="324" w:lineRule="auto"/>
              <w:jc w:val="center"/>
            </w:pPr>
            <w:r>
              <w:rPr>
                <w:rFonts w:ascii="Inter Tight" w:hAnsi="Inter Tight" w:cs="Readex Pro" w:eastAsia="Readex Pro"/>
                <w:b w:val="0"/>
                <w:i w:val="0"/>
                <w:color w:val="FFFFFF"/>
                <w:sz w:val="23"/>
                <w:lang w:val="en-US" w:bidi="ar-SA"/>
              </w:rPr>
              <w:t>منصة موحدة تربط الاتصال الصناعي، إدارة العمليات، التوأم الرقمي، والتحليلات الذكية داخل رحلة واحدة قابلة للتوسع.</w:t>
            </w:r>
          </w:p>
        </w:tc>
      </w:tr>
    </w:tbl>
    <w:p>
      <w:pPr>
        <w:bidi/>
      </w:pPr>
    </w:p>
    <w:tbl>
      <w:tblGrid>
        <w:gridCol w:w="2340"/>
        <w:gridCol w:w="2340"/>
        <w:gridCol w:w="2340"/>
        <w:gridCol w:w="2340"/>
      </w:tblGrid>
      <w:tblPr>
        <w:tblW w:type="dxa" w:w="9360"/>
        <w:jc w:val="center"/>
        <w:tblLayout w:type="fixed"/>
        <w:tblLook w:firstColumn="1" w:firstRow="1" w:lastColumn="0" w:lastRow="0" w:noHBand="0" w:noVBand="1" w:val="04A0"/>
        <w:tblInd w:w="0" w:type="dxa"/>
      </w:tblPr>
      <w:tr>
        <w:tc>
          <w:tcPr>
            <w:tcW w:type="dxa" w:w="23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40" w:type="dxa"/>
              <w:bottom w:w="160" w:type="dxa"/>
              <w:end w:w="140" w:type="dxa"/>
            </w:tcMar>
          </w:tcPr>
          <w:p>
            <w:pPr>
              <w:bidi/>
              <w:spacing w:before="0" w:after="0" w:line="240" w:lineRule="auto"/>
              <w:jc w:val="center"/>
            </w:pPr>
            <w:r>
              <w:rPr>
                <w:rFonts w:ascii="Instrument Serif" w:hAnsi="Instrument Serif" w:cs="Amiri" w:eastAsia="Amiri"/>
                <w:b/>
                <w:i w:val="0"/>
                <w:color w:val="0F3D2E"/>
                <w:sz w:val="40"/>
                <w:lang w:val="en-US" w:bidi="ar-SA"/>
              </w:rPr>
              <w:t>3</w:t>
            </w:r>
          </w:p>
          <w:p>
            <w:pPr>
              <w:bidi/>
              <w:spacing w:before="0" w:after="0" w:line="240" w:lineRule="auto"/>
              <w:jc w:val="center"/>
            </w:pPr>
            <w:r>
              <w:rPr>
                <w:rFonts w:ascii="Inter Tight" w:hAnsi="Inter Tight" w:cs="Readex Pro" w:eastAsia="Readex Pro"/>
                <w:b/>
                <w:i w:val="0"/>
                <w:color w:val="5F665F"/>
                <w:sz w:val="19"/>
                <w:lang w:val="en-US" w:bidi="ar-SA"/>
              </w:rPr>
              <w:t>خيارات نشر</w:t>
            </w:r>
          </w:p>
        </w:tc>
        <w:tc>
          <w:tcPr>
            <w:tcW w:type="dxa" w:w="23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40" w:type="dxa"/>
              <w:bottom w:w="160" w:type="dxa"/>
              <w:end w:w="140" w:type="dxa"/>
            </w:tcMar>
          </w:tcPr>
          <w:p>
            <w:pPr>
              <w:bidi/>
              <w:spacing w:before="0" w:after="0" w:line="240" w:lineRule="auto"/>
              <w:jc w:val="center"/>
            </w:pPr>
            <w:r>
              <w:rPr>
                <w:rFonts w:ascii="Instrument Serif" w:hAnsi="Instrument Serif" w:cs="Amiri" w:eastAsia="Amiri"/>
                <w:b/>
                <w:i w:val="0"/>
                <w:color w:val="0F3D2E"/>
                <w:sz w:val="40"/>
                <w:lang w:val="en-US" w:bidi="ar-SA"/>
              </w:rPr>
              <w:t>10+</w:t>
            </w:r>
          </w:p>
          <w:p>
            <w:pPr>
              <w:bidi/>
              <w:spacing w:before="0" w:after="0" w:line="240" w:lineRule="auto"/>
              <w:jc w:val="center"/>
            </w:pPr>
            <w:r>
              <w:rPr>
                <w:rFonts w:ascii="Inter Tight" w:hAnsi="Inter Tight" w:cs="Readex Pro" w:eastAsia="Readex Pro"/>
                <w:b/>
                <w:i w:val="0"/>
                <w:color w:val="5F665F"/>
                <w:sz w:val="19"/>
                <w:lang w:val="en-US" w:bidi="ar-SA"/>
              </w:rPr>
              <w:t>قدرات صناعية</w:t>
            </w:r>
          </w:p>
        </w:tc>
        <w:tc>
          <w:tcPr>
            <w:tcW w:type="dxa" w:w="23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40" w:type="dxa"/>
              <w:bottom w:w="160" w:type="dxa"/>
              <w:end w:w="140" w:type="dxa"/>
            </w:tcMar>
          </w:tcPr>
          <w:p>
            <w:pPr>
              <w:bidi/>
              <w:spacing w:before="0" w:after="0" w:line="240" w:lineRule="auto"/>
              <w:jc w:val="center"/>
            </w:pPr>
            <w:r>
              <w:rPr>
                <w:rFonts w:ascii="Instrument Serif" w:hAnsi="Instrument Serif" w:cs="Amiri" w:eastAsia="Amiri"/>
                <w:b/>
                <w:i w:val="0"/>
                <w:color w:val="0F3D2E"/>
                <w:sz w:val="40"/>
                <w:lang w:val="en-US" w:bidi="ar-SA"/>
              </w:rPr>
              <w:t>6</w:t>
            </w:r>
          </w:p>
          <w:p>
            <w:pPr>
              <w:bidi/>
              <w:spacing w:before="0" w:after="0" w:line="240" w:lineRule="auto"/>
              <w:jc w:val="center"/>
            </w:pPr>
            <w:r>
              <w:rPr>
                <w:rFonts w:ascii="Inter Tight" w:hAnsi="Inter Tight" w:cs="Readex Pro" w:eastAsia="Readex Pro"/>
                <w:b/>
                <w:i w:val="0"/>
                <w:color w:val="5F665F"/>
                <w:sz w:val="19"/>
                <w:lang w:val="en-US" w:bidi="ar-SA"/>
              </w:rPr>
              <w:t>مراحل تحول</w:t>
            </w:r>
          </w:p>
        </w:tc>
        <w:tc>
          <w:tcPr>
            <w:tcW w:type="dxa" w:w="23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40" w:type="dxa"/>
              <w:bottom w:w="160" w:type="dxa"/>
              <w:end w:w="140" w:type="dxa"/>
            </w:tcMar>
          </w:tcPr>
          <w:p>
            <w:pPr>
              <w:bidi/>
              <w:spacing w:before="0" w:after="0" w:line="240" w:lineRule="auto"/>
              <w:jc w:val="center"/>
            </w:pPr>
            <w:r>
              <w:rPr>
                <w:rFonts w:ascii="Instrument Serif" w:hAnsi="Instrument Serif" w:cs="Amiri" w:eastAsia="Amiri"/>
                <w:b/>
                <w:i w:val="0"/>
                <w:color w:val="0F3D2E"/>
                <w:sz w:val="40"/>
                <w:lang w:val="en-US" w:bidi="ar-SA"/>
              </w:rPr>
              <w:t>4</w:t>
            </w:r>
          </w:p>
          <w:p>
            <w:pPr>
              <w:bidi/>
              <w:spacing w:before="0" w:after="0" w:line="240" w:lineRule="auto"/>
              <w:jc w:val="center"/>
            </w:pPr>
            <w:r>
              <w:rPr>
                <w:rFonts w:ascii="Inter Tight" w:hAnsi="Inter Tight" w:cs="Readex Pro" w:eastAsia="Readex Pro"/>
                <w:b/>
                <w:i w:val="0"/>
                <w:color w:val="5F665F"/>
                <w:sz w:val="19"/>
                <w:lang w:val="en-US" w:bidi="ar-SA"/>
              </w:rPr>
              <w:t>طبقات تشغيلية</w:t>
            </w:r>
          </w:p>
        </w:tc>
      </w:tr>
    </w:tbl>
    <w:p>
      <w:pPr>
        <w:bidi/>
        <w:spacing w:before="360" w:after="0" w:line="240" w:lineRule="auto"/>
        <w:jc w:val="center"/>
      </w:pPr>
      <w:r>
        <w:rPr>
          <w:rFonts w:ascii="Inter Tight" w:hAnsi="Inter Tight" w:cs="Readex Pro" w:eastAsia="Readex Pro"/>
          <w:b w:val="0"/>
          <w:i/>
          <w:color w:val="5F665F"/>
          <w:sz w:val="18"/>
          <w:lang w:val="en-US" w:bidi="ar-SA"/>
        </w:rPr>
        <w:t>Prepared as a branded executive overview</w:t>
      </w:r>
    </w:p>
    <w:p>
      <w:pPr>
        <w:bidi/>
      </w:pPr>
      <w:r>
        <w:rPr>
          <w:rFonts w:cs="Readex Pro"/>
          <w:lang w:bidi="ar-SA"/>
        </w:rPr>
        <w:br w:type="page"/>
      </w:r>
    </w:p>
    <w:p>
      <w:pPr>
        <w:bidi/>
        <w:spacing w:before="80" w:after="40" w:line="240" w:lineRule="auto"/>
        <w:keepNext/>
      </w:pPr>
      <w:r>
        <w:rPr>
          <w:rFonts w:ascii="Instrument Serif" w:hAnsi="Instrument Serif" w:cs="Amiri" w:eastAsia="Amiri"/>
          <w:b/>
          <w:i w:val="0"/>
          <w:color w:val="0F3D2E"/>
          <w:sz w:val="40"/>
          <w:lang w:val="en-US" w:bidi="ar-SA"/>
        </w:rPr>
        <w:t>الملخص التنفيذي</w:t>
      </w:r>
    </w:p>
    <w:p>
      <w:pPr>
        <w:bidi/>
        <w:spacing w:before="0" w:after="160" w:line="240" w:lineRule="auto"/>
        <w:keepNext/>
      </w:pPr>
      <w:r>
        <w:rPr>
          <w:rFonts w:ascii="Inter Tight" w:hAnsi="Inter Tight" w:cs="Readex Pro" w:eastAsia="Readex Pro"/>
          <w:b/>
          <w:i w:val="0"/>
          <w:color w:val="1A4D5C"/>
          <w:sz w:val="21"/>
          <w:lang w:val="en-US" w:bidi="ar-SA"/>
        </w:rPr>
        <w:t>Executive Snapshot</w:t>
      </w:r>
    </w:p>
    <w:p>
      <w:pPr>
        <w:bidi/>
        <w:spacing w:before="0" w:after="200"/>
        <w:pBdr>
          <w:bottom w:val="single" w:sz="10" w:space="2" w:color="C9A961"/>
        </w:pBdr>
      </w:pPr>
    </w:p>
    <w:tbl>
      <w:tblGrid>
        <w:gridCol w:w="9360"/>
      </w:tblGrid>
      <w:tblPr>
        <w:tblW w:type="dxa" w:w="9360"/>
        <w:jc w:val="center"/>
        <w:tblLayout w:type="fixed"/>
        <w:tblLook w:firstColumn="1" w:firstRow="1" w:lastColumn="0" w:lastRow="0" w:noHBand="0" w:noVBand="1" w:val="04A0"/>
        <w:tblInd w:w="0" w:type="dxa"/>
      </w:tblPr>
      <w:tr>
        <w:tc>
          <w:tcPr>
            <w:tcW w:type="dxa" w:w="9360"/>
            <w:tcBorders>
              <w:top w:val="single" w:sz="8" w:space="0" w:color="C9A961"/>
              <w:start w:val="single" w:sz="8" w:space="0" w:color="C9A961"/>
              <w:bottom w:val="single" w:sz="8" w:space="0" w:color="C9A961"/>
              <w:end w:val="single" w:sz="8" w:space="0" w:color="C9A961"/>
              <w:insideH w:val="single" w:sz="8" w:space="0" w:color="C9A961"/>
              <w:insideV w:val="single" w:sz="8" w:space="0" w:color="C9A961"/>
            </w:tcBorders>
            <w:shd w:fill="F7F4EC"/>
            <w:tcMar>
              <w:top w:w="180" w:type="dxa"/>
              <w:start w:w="220" w:type="dxa"/>
              <w:bottom w:w="180" w:type="dxa"/>
              <w:end w:w="220" w:type="dxa"/>
            </w:tcMar>
            <w:vAlign w:val="center"/>
          </w:tcPr>
          <w:p>
            <w:pPr>
              <w:bidi/>
              <w:spacing w:before="0" w:after="80" w:line="252" w:lineRule="auto"/>
            </w:pPr>
            <w:r>
              <w:rPr>
                <w:rFonts w:ascii="Instrument Serif" w:hAnsi="Instrument Serif" w:cs="Amiri" w:eastAsia="Amiri"/>
                <w:b/>
                <w:i w:val="0"/>
                <w:color w:val="0F3D2E"/>
                <w:sz w:val="26"/>
                <w:lang w:val="en-US" w:bidi="ar-SA"/>
              </w:rPr>
              <w:t>منصة واحدة تربط المصنع من الإشارة إلى القرار</w:t>
            </w:r>
          </w:p>
          <w:p>
            <w:pPr>
              <w:bidi/>
              <w:spacing w:before="0" w:after="0" w:line="300" w:lineRule="auto"/>
            </w:pPr>
            <w:r>
              <w:rPr>
                <w:rFonts w:ascii="Inter Tight" w:hAnsi="Inter Tight" w:cs="Readex Pro" w:eastAsia="Readex Pro"/>
                <w:b w:val="0"/>
                <w:i w:val="0"/>
                <w:color w:val="17251F"/>
                <w:sz w:val="21"/>
                <w:lang w:val="en-US" w:bidi="ar-SA"/>
              </w:rPr>
              <w:t>في بيئة صناعية تتزايد فيها المنافسة وتتسارع فيها وتيرة التطور، تحتاج المصانع إلى أكثر من أنظمة تشغيل منفصلة. تقدم المنصة حلًا صناعيًا متكاملًا للتحول الرقمي يجمع بين الاتصال الصناعي، وأنظمة MES، والتوأم الرقمي، والذكاء الاصطناعي، والتحليلات التنفيذية لتوفير رؤية تشغيلية شاملة وتحويل البيانات إلى قرارات قابلة للتنفيذ.</w:t>
            </w:r>
          </w:p>
        </w:tc>
      </w:tr>
    </w:tbl>
    <w:p>
      <w:pPr>
        <w:bidi/>
      </w:pPr>
    </w:p>
    <w:tbl>
      <w:tblGrid>
        <w:gridCol w:w="3119"/>
        <w:gridCol w:w="3120"/>
        <w:gridCol w:w="3120"/>
      </w:tblGrid>
      <w:tblPr>
        <w:tblW w:type="dxa" w:w="9359"/>
        <w:jc w:val="center"/>
        <w:tblLayout w:type="fixed"/>
        <w:tblLook w:firstColumn="1" w:firstRow="1" w:lastColumn="0" w:lastRow="0" w:noHBand="0" w:noVBand="1" w:val="04A0"/>
        <w:tblInd w:w="0" w:type="dxa"/>
      </w:tblPr>
      <w:tr>
        <w:tc>
          <w:tcPr>
            <w:tcW w:type="dxa" w:w="3119"/>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60" w:type="dxa"/>
              <w:bottom w:w="160" w:type="dxa"/>
              <w:end w:w="160" w:type="dxa"/>
            </w:tcMar>
          </w:tcPr>
          <w:p>
            <w:pPr>
              <w:bidi/>
              <w:spacing w:before="0" w:after="100" w:line="240" w:lineRule="auto"/>
              <w:jc w:val="center"/>
            </w:pPr>
            <w:r>
              <w:rPr>
                <w:rFonts w:ascii="Instrument Serif" w:hAnsi="Instrument Serif" w:cs="Amiri" w:eastAsia="Amiri"/>
                <w:b/>
                <w:i w:val="0"/>
                <w:color w:val="1A4D5C"/>
                <w:sz w:val="24"/>
                <w:lang w:val="en-US" w:bidi="ar-SA"/>
              </w:rPr>
              <w:t>ربط صناعي آمن</w:t>
            </w:r>
          </w:p>
          <w:p>
            <w:pPr>
              <w:bidi/>
              <w:spacing w:before="0" w:after="0" w:line="288" w:lineRule="auto"/>
              <w:jc w:val="center"/>
            </w:pPr>
            <w:r>
              <w:rPr>
                <w:rFonts w:ascii="Inter Tight" w:hAnsi="Inter Tight" w:cs="Readex Pro" w:eastAsia="Readex Pro"/>
                <w:b w:val="0"/>
                <w:i w:val="0"/>
                <w:color w:val="17251F"/>
                <w:sz w:val="18"/>
                <w:lang w:val="en-US" w:bidi="ar-SA"/>
              </w:rPr>
              <w:t>IIoT، PLCs، SCADA، Historian، وبروتوكولات صناعية قياسية.</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60" w:type="dxa"/>
              <w:bottom w:w="160" w:type="dxa"/>
              <w:end w:w="160" w:type="dxa"/>
            </w:tcMar>
          </w:tcPr>
          <w:p>
            <w:pPr>
              <w:bidi/>
              <w:spacing w:before="0" w:after="100" w:line="240" w:lineRule="auto"/>
              <w:jc w:val="center"/>
            </w:pPr>
            <w:r>
              <w:rPr>
                <w:rFonts w:ascii="Instrument Serif" w:hAnsi="Instrument Serif" w:cs="Amiri" w:eastAsia="Amiri"/>
                <w:b/>
                <w:i w:val="0"/>
                <w:color w:val="2D6B4F"/>
                <w:sz w:val="24"/>
                <w:lang w:val="en-US" w:bidi="ar-SA"/>
              </w:rPr>
              <w:t>تشغيل وإنتاج</w:t>
            </w:r>
          </w:p>
          <w:p>
            <w:pPr>
              <w:bidi/>
              <w:spacing w:before="0" w:after="0" w:line="288" w:lineRule="auto"/>
              <w:jc w:val="center"/>
            </w:pPr>
            <w:r>
              <w:rPr>
                <w:rFonts w:ascii="Inter Tight" w:hAnsi="Inter Tight" w:cs="Readex Pro" w:eastAsia="Readex Pro"/>
                <w:b w:val="0"/>
                <w:i w:val="0"/>
                <w:color w:val="17251F"/>
                <w:sz w:val="18"/>
                <w:lang w:val="en-US" w:bidi="ar-SA"/>
              </w:rPr>
              <w:t>MES، الجدولة، الجودة، الصيانة، الطاقة، وتتبع العمليات.</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60" w:type="dxa"/>
              <w:bottom w:w="160" w:type="dxa"/>
              <w:end w:w="160" w:type="dxa"/>
            </w:tcMar>
          </w:tcPr>
          <w:p>
            <w:pPr>
              <w:bidi/>
              <w:spacing w:before="0" w:after="100" w:line="240" w:lineRule="auto"/>
              <w:jc w:val="center"/>
            </w:pPr>
            <w:r>
              <w:rPr>
                <w:rFonts w:ascii="Instrument Serif" w:hAnsi="Instrument Serif" w:cs="Amiri" w:eastAsia="Amiri"/>
                <w:b/>
                <w:i w:val="0"/>
                <w:color w:val="0F3D2E"/>
                <w:sz w:val="24"/>
                <w:lang w:val="en-US" w:bidi="ar-SA"/>
              </w:rPr>
              <w:t>ذكاء وتحليلات</w:t>
            </w:r>
          </w:p>
          <w:p>
            <w:pPr>
              <w:bidi/>
              <w:spacing w:before="0" w:after="0" w:line="288" w:lineRule="auto"/>
              <w:jc w:val="center"/>
            </w:pPr>
            <w:r>
              <w:rPr>
                <w:rFonts w:ascii="Inter Tight" w:hAnsi="Inter Tight" w:cs="Readex Pro" w:eastAsia="Readex Pro"/>
                <w:b w:val="0"/>
                <w:i w:val="0"/>
                <w:color w:val="17251F"/>
                <w:sz w:val="18"/>
                <w:lang w:val="en-US" w:bidi="ar-SA"/>
              </w:rPr>
              <w:t>توأم رقمي، محاكاة، تنبؤ، دعم قرار، ولوحات تنفيذية.</w:t>
            </w:r>
          </w:p>
        </w:tc>
      </w:tr>
      <w:tr>
        <w:tc>
          <w:tcPr>
            <w:tcW w:type="dxa" w:w="3119"/>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60" w:type="dxa"/>
              <w:bottom w:w="160" w:type="dxa"/>
              <w:end w:w="160" w:type="dxa"/>
            </w:tcMar>
          </w:tcPr>
          <w:p>
            <w:pPr>
              <w:bidi/>
              <w:spacing w:before="0" w:after="100" w:line="240" w:lineRule="auto"/>
              <w:jc w:val="center"/>
            </w:pPr>
            <w:r>
              <w:rPr>
                <w:rFonts w:ascii="Instrument Serif" w:hAnsi="Instrument Serif" w:cs="Amiri" w:eastAsia="Amiri"/>
                <w:b/>
                <w:i w:val="0"/>
                <w:color w:val="C9A961"/>
                <w:sz w:val="24"/>
                <w:lang w:val="en-US" w:bidi="ar-SA"/>
              </w:rPr>
              <w:t>تكامل مفتوح</w:t>
            </w:r>
          </w:p>
          <w:p>
            <w:pPr>
              <w:bidi/>
              <w:spacing w:before="0" w:after="0" w:line="288" w:lineRule="auto"/>
              <w:jc w:val="center"/>
            </w:pPr>
            <w:r>
              <w:rPr>
                <w:rFonts w:ascii="Inter Tight" w:hAnsi="Inter Tight" w:cs="Readex Pro" w:eastAsia="Readex Pro"/>
                <w:b w:val="0"/>
                <w:i w:val="0"/>
                <w:color w:val="17251F"/>
                <w:sz w:val="18"/>
                <w:lang w:val="en-US" w:bidi="ar-SA"/>
              </w:rPr>
              <w:t>ERP، PLM، WMS، CMMS، REST APIs، وقواعد البيانات الصناعية.</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60" w:type="dxa"/>
              <w:bottom w:w="160" w:type="dxa"/>
              <w:end w:w="160" w:type="dxa"/>
            </w:tcMar>
          </w:tcPr>
          <w:p>
            <w:pPr>
              <w:bidi/>
              <w:spacing w:before="0" w:after="100" w:line="240" w:lineRule="auto"/>
              <w:jc w:val="center"/>
            </w:pPr>
            <w:r>
              <w:rPr>
                <w:rFonts w:ascii="Instrument Serif" w:hAnsi="Instrument Serif" w:cs="Amiri" w:eastAsia="Amiri"/>
                <w:b/>
                <w:i w:val="0"/>
                <w:color w:val="1A4D5C"/>
                <w:sz w:val="24"/>
                <w:lang w:val="en-US" w:bidi="ar-SA"/>
              </w:rPr>
              <w:t>نشر مرن</w:t>
            </w:r>
          </w:p>
          <w:p>
            <w:pPr>
              <w:bidi/>
              <w:spacing w:before="0" w:after="0" w:line="288" w:lineRule="auto"/>
              <w:jc w:val="center"/>
            </w:pPr>
            <w:r>
              <w:rPr>
                <w:rFonts w:ascii="Inter Tight" w:hAnsi="Inter Tight" w:cs="Readex Pro" w:eastAsia="Readex Pro"/>
                <w:b w:val="0"/>
                <w:i w:val="0"/>
                <w:color w:val="17251F"/>
                <w:sz w:val="18"/>
                <w:lang w:val="en-US" w:bidi="ar-SA"/>
              </w:rPr>
              <w:t>On-Premises، Cloud، Hybrid، وEdge Computing حسب احتياج المنشأة.</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60" w:type="dxa"/>
              <w:start w:w="160" w:type="dxa"/>
              <w:bottom w:w="160" w:type="dxa"/>
              <w:end w:w="160" w:type="dxa"/>
            </w:tcMar>
          </w:tcPr>
          <w:p>
            <w:pPr>
              <w:bidi/>
              <w:spacing w:before="0" w:after="100" w:line="240" w:lineRule="auto"/>
              <w:jc w:val="center"/>
            </w:pPr>
            <w:r>
              <w:rPr>
                <w:rFonts w:ascii="Instrument Serif" w:hAnsi="Instrument Serif" w:cs="Amiri" w:eastAsia="Amiri"/>
                <w:b/>
                <w:i w:val="0"/>
                <w:color w:val="2D6B4F"/>
                <w:sz w:val="24"/>
                <w:lang w:val="en-US" w:bidi="ar-SA"/>
              </w:rPr>
              <w:t>نتائج قابلة للقياس</w:t>
            </w:r>
          </w:p>
          <w:p>
            <w:pPr>
              <w:bidi/>
              <w:spacing w:before="0" w:after="0" w:line="288" w:lineRule="auto"/>
              <w:jc w:val="center"/>
            </w:pPr>
            <w:r>
              <w:rPr>
                <w:rFonts w:ascii="Inter Tight" w:hAnsi="Inter Tight" w:cs="Readex Pro" w:eastAsia="Readex Pro"/>
                <w:b w:val="0"/>
                <w:i w:val="0"/>
                <w:color w:val="17251F"/>
                <w:sz w:val="18"/>
                <w:lang w:val="en-US" w:bidi="ar-SA"/>
              </w:rPr>
              <w:t>رفع OEE، تقليل التوقفات، تحسين الجودة والطاقة وتسريع القرار.</w:t>
            </w:r>
          </w:p>
        </w:tc>
      </w:tr>
    </w:tbl>
    <w:p>
      <w:pPr>
        <w:bidi/>
      </w:pPr>
      <w:r>
        <w:rPr>
          <w:rFonts w:cs="Readex Pro"/>
          <w:lang w:bidi="ar-SA"/>
        </w:rPr>
        <w:br w:type="page"/>
      </w:r>
    </w:p>
    <w:p>
      <w:pPr>
        <w:bidi/>
        <w:spacing w:before="80" w:after="40" w:line="240" w:lineRule="auto"/>
        <w:keepNext/>
      </w:pPr>
      <w:r>
        <w:rPr>
          <w:rFonts w:ascii="Instrument Serif" w:hAnsi="Instrument Serif" w:cs="Amiri" w:eastAsia="Amiri"/>
          <w:b/>
          <w:i w:val="0"/>
          <w:color w:val="0F3D2E"/>
          <w:sz w:val="40"/>
          <w:lang w:val="en-US" w:bidi="ar-SA"/>
        </w:rPr>
        <w:t>المنصة الصناعية</w:t>
      </w:r>
    </w:p>
    <w:p>
      <w:pPr>
        <w:bidi/>
        <w:spacing w:before="0" w:after="160" w:line="240" w:lineRule="auto"/>
        <w:keepNext/>
      </w:pPr>
      <w:r>
        <w:rPr>
          <w:rFonts w:ascii="Inter Tight" w:hAnsi="Inter Tight" w:cs="Readex Pro" w:eastAsia="Readex Pro"/>
          <w:b/>
          <w:i w:val="0"/>
          <w:color w:val="1A4D5C"/>
          <w:sz w:val="21"/>
          <w:lang w:val="en-US" w:bidi="ar-SA"/>
        </w:rPr>
        <w:t>Layered Industrial Architecture</w:t>
      </w:r>
    </w:p>
    <w:p>
      <w:pPr>
        <w:bidi/>
        <w:spacing w:before="0" w:after="200"/>
        <w:pBdr>
          <w:bottom w:val="single" w:sz="10" w:space="2" w:color="C9A961"/>
        </w:pBdr>
      </w:pPr>
    </w:p>
    <w:p>
      <w:pPr>
        <w:bidi/>
        <w:spacing w:before="0" w:after="200" w:line="300" w:lineRule="auto"/>
      </w:pPr>
      <w:r>
        <w:rPr>
          <w:rFonts w:ascii="Inter Tight" w:hAnsi="Inter Tight" w:cs="Readex Pro" w:eastAsia="Readex Pro"/>
          <w:b w:val="0"/>
          <w:i w:val="0"/>
          <w:color w:val="17251F"/>
          <w:sz w:val="21"/>
          <w:lang w:val="en-US" w:bidi="ar-SA"/>
        </w:rPr>
        <w:t>تعتمد المنصة على أربع طبقات مترابطة، تشكل معًا رحلة البيانات الصناعية من أرض المصنع وحتى دعم القرار التنفيذي.</w:t>
      </w:r>
    </w:p>
    <w:tbl>
      <w:tblGrid>
        <w:gridCol w:w="1728"/>
        <w:gridCol w:w="3528"/>
        <w:gridCol w:w="4104"/>
      </w:tblGrid>
      <w:tblPr>
        <w:tblW w:type="dxa" w:w="9360"/>
        <w:jc w:val="center"/>
        <w:tblLayout w:type="fixed"/>
        <w:tblLook w:firstColumn="1" w:firstRow="1" w:lastColumn="0" w:lastRow="0" w:noHBand="0" w:noVBand="1" w:val="04A0"/>
        <w:tblInd w:w="0" w:type="dxa"/>
      </w:tblPr>
      <w:tr>
        <w:trPr>
          <w:cantSplit/>
        </w:trPr>
        <w:tc>
          <w:tcPr>
            <w:tcW w:type="dxa" w:w="17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0F3D2E"/>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36"/>
                <w:lang w:val="en-US" w:bidi="ar-SA"/>
              </w:rPr>
              <w:t>04</w:t>
            </w:r>
          </w:p>
        </w:tc>
        <w:tc>
          <w:tcPr>
            <w:tcW w:type="dxa" w:w="35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0F3D2E"/>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4"/>
                <w:lang w:val="en-US" w:bidi="ar-SA"/>
              </w:rPr>
              <w:t>الذكاء الصناعي والتحليلات المتقدمة</w:t>
            </w:r>
          </w:p>
        </w:tc>
        <w:tc>
          <w:tcPr>
            <w:tcW w:type="dxa" w:w="4104"/>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0F3D2E"/>
            <w:tcMar>
              <w:top w:w="130" w:type="dxa"/>
              <w:start w:w="170" w:type="dxa"/>
              <w:bottom w:w="130" w:type="dxa"/>
              <w:end w:w="170" w:type="dxa"/>
            </w:tcMar>
            <w:vAlign w:val="center"/>
          </w:tcPr>
          <w:p>
            <w:pPr>
              <w:bidi/>
              <w:spacing w:before="0" w:after="40" w:line="259" w:lineRule="auto"/>
              <w:jc w:val="center"/>
            </w:pPr>
            <w:r>
              <w:rPr>
                <w:rFonts w:ascii="Inter Tight" w:hAnsi="Inter Tight" w:cs="Readex Pro" w:eastAsia="Readex Pro"/>
                <w:b/>
                <w:i w:val="0"/>
                <w:color w:val="FFFFFF"/>
                <w:sz w:val="21"/>
                <w:lang w:val="en-US" w:bidi="ar-SA"/>
              </w:rPr>
              <w:t>Industrial Intelligence</w:t>
            </w:r>
          </w:p>
          <w:p>
            <w:pPr>
              <w:bidi/>
              <w:spacing w:before="0" w:after="0" w:line="259" w:lineRule="auto"/>
              <w:jc w:val="center"/>
            </w:pPr>
            <w:r>
              <w:rPr>
                <w:rFonts w:ascii="Inter Tight" w:hAnsi="Inter Tight" w:cs="Readex Pro" w:eastAsia="Readex Pro"/>
                <w:b w:val="0"/>
                <w:i w:val="0"/>
                <w:color w:val="FFFFFF"/>
                <w:sz w:val="18"/>
                <w:lang w:val="en-US" w:bidi="ar-SA"/>
              </w:rPr>
              <w:t>AI, ML, Predictive Analytics, Decision Support</w:t>
            </w:r>
          </w:p>
        </w:tc>
      </w:tr>
      <w:tr>
        <w:trPr>
          <w:cantSplit/>
        </w:trPr>
        <w:tc>
          <w:tcPr>
            <w:tcW w:type="dxa" w:w="17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1A4D5C"/>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36"/>
                <w:lang w:val="en-US" w:bidi="ar-SA"/>
              </w:rPr>
              <w:t>03</w:t>
            </w:r>
          </w:p>
        </w:tc>
        <w:tc>
          <w:tcPr>
            <w:tcW w:type="dxa" w:w="35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1A4D5C"/>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4"/>
                <w:lang w:val="en-US" w:bidi="ar-SA"/>
              </w:rPr>
              <w:t>المحاكاة والتوأم الرقمي</w:t>
            </w:r>
          </w:p>
        </w:tc>
        <w:tc>
          <w:tcPr>
            <w:tcW w:type="dxa" w:w="4104"/>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1A4D5C"/>
            <w:tcMar>
              <w:top w:w="130" w:type="dxa"/>
              <w:start w:w="170" w:type="dxa"/>
              <w:bottom w:w="130" w:type="dxa"/>
              <w:end w:w="170" w:type="dxa"/>
            </w:tcMar>
            <w:vAlign w:val="center"/>
          </w:tcPr>
          <w:p>
            <w:pPr>
              <w:bidi/>
              <w:spacing w:before="0" w:after="40" w:line="259" w:lineRule="auto"/>
              <w:jc w:val="center"/>
            </w:pPr>
            <w:r>
              <w:rPr>
                <w:rFonts w:ascii="Inter Tight" w:hAnsi="Inter Tight" w:cs="Readex Pro" w:eastAsia="Readex Pro"/>
                <w:b/>
                <w:i w:val="0"/>
                <w:color w:val="FFFFFF"/>
                <w:sz w:val="21"/>
                <w:lang w:val="en-US" w:bidi="ar-SA"/>
              </w:rPr>
              <w:t>Digital Twin &amp; Optimization</w:t>
            </w:r>
          </w:p>
          <w:p>
            <w:pPr>
              <w:bidi/>
              <w:spacing w:before="0" w:after="0" w:line="259" w:lineRule="auto"/>
              <w:jc w:val="center"/>
            </w:pPr>
            <w:r>
              <w:rPr>
                <w:rFonts w:ascii="Inter Tight" w:hAnsi="Inter Tight" w:cs="Readex Pro" w:eastAsia="Readex Pro"/>
                <w:b w:val="0"/>
                <w:i w:val="0"/>
                <w:color w:val="FFFFFF"/>
                <w:sz w:val="18"/>
                <w:lang w:val="en-US" w:bidi="ar-SA"/>
              </w:rPr>
              <w:t>Simulation, What-if, Bottleneck Analysis</w:t>
            </w:r>
          </w:p>
        </w:tc>
      </w:tr>
      <w:tr>
        <w:trPr>
          <w:cantSplit/>
        </w:trPr>
        <w:tc>
          <w:tcPr>
            <w:tcW w:type="dxa" w:w="17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2D6B4F"/>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36"/>
                <w:lang w:val="en-US" w:bidi="ar-SA"/>
              </w:rPr>
              <w:t>02</w:t>
            </w:r>
          </w:p>
        </w:tc>
        <w:tc>
          <w:tcPr>
            <w:tcW w:type="dxa" w:w="35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2D6B4F"/>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4"/>
                <w:lang w:val="en-US" w:bidi="ar-SA"/>
              </w:rPr>
              <w:t>تنفيذ وإدارة العمليات الصناعية</w:t>
            </w:r>
          </w:p>
        </w:tc>
        <w:tc>
          <w:tcPr>
            <w:tcW w:type="dxa" w:w="4104"/>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2D6B4F"/>
            <w:tcMar>
              <w:top w:w="130" w:type="dxa"/>
              <w:start w:w="170" w:type="dxa"/>
              <w:bottom w:w="130" w:type="dxa"/>
              <w:end w:w="170" w:type="dxa"/>
            </w:tcMar>
            <w:vAlign w:val="center"/>
          </w:tcPr>
          <w:p>
            <w:pPr>
              <w:bidi/>
              <w:spacing w:before="0" w:after="40" w:line="259" w:lineRule="auto"/>
              <w:jc w:val="center"/>
            </w:pPr>
            <w:r>
              <w:rPr>
                <w:rFonts w:ascii="Inter Tight" w:hAnsi="Inter Tight" w:cs="Readex Pro" w:eastAsia="Readex Pro"/>
                <w:b/>
                <w:i w:val="0"/>
                <w:color w:val="FFFFFF"/>
                <w:sz w:val="21"/>
                <w:lang w:val="en-US" w:bidi="ar-SA"/>
              </w:rPr>
              <w:t>Manufacturing Operations Platform</w:t>
            </w:r>
          </w:p>
          <w:p>
            <w:pPr>
              <w:bidi/>
              <w:spacing w:before="0" w:after="0" w:line="259" w:lineRule="auto"/>
              <w:jc w:val="center"/>
            </w:pPr>
            <w:r>
              <w:rPr>
                <w:rFonts w:ascii="Inter Tight" w:hAnsi="Inter Tight" w:cs="Readex Pro" w:eastAsia="Readex Pro"/>
                <w:b w:val="0"/>
                <w:i w:val="0"/>
                <w:color w:val="FFFFFF"/>
                <w:sz w:val="18"/>
                <w:lang w:val="en-US" w:bidi="ar-SA"/>
              </w:rPr>
              <w:t>MES, Production, Quality, Maintenance, Energy</w:t>
            </w:r>
          </w:p>
        </w:tc>
      </w:tr>
      <w:tr>
        <w:trPr>
          <w:cantSplit/>
        </w:trPr>
        <w:tc>
          <w:tcPr>
            <w:tcW w:type="dxa" w:w="17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C9A961"/>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17251F"/>
                <w:sz w:val="36"/>
                <w:lang w:val="en-US" w:bidi="ar-SA"/>
              </w:rPr>
              <w:t>01</w:t>
            </w:r>
          </w:p>
        </w:tc>
        <w:tc>
          <w:tcPr>
            <w:tcW w:type="dxa" w:w="3528"/>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C9A961"/>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17251F"/>
                <w:sz w:val="24"/>
                <w:lang w:val="en-US" w:bidi="ar-SA"/>
              </w:rPr>
              <w:t>الاتصال والبنية الرقمية للمصنع</w:t>
            </w:r>
          </w:p>
        </w:tc>
        <w:tc>
          <w:tcPr>
            <w:tcW w:type="dxa" w:w="4104"/>
            <w:tcBorders>
              <w:top w:val="single" w:sz="6" w:space="0" w:color="FFFFFF"/>
              <w:start w:val="single" w:sz="6" w:space="0" w:color="FFFFFF"/>
              <w:bottom w:val="single" w:sz="6" w:space="0" w:color="FFFFFF"/>
              <w:end w:val="single" w:sz="6" w:space="0" w:color="FFFFFF"/>
              <w:insideH w:val="single" w:sz="6" w:space="0" w:color="FFFFFF"/>
              <w:insideV w:val="single" w:sz="6" w:space="0" w:color="FFFFFF"/>
            </w:tcBorders>
            <w:shd w:fill="C9A961"/>
            <w:tcMar>
              <w:top w:w="130" w:type="dxa"/>
              <w:start w:w="170" w:type="dxa"/>
              <w:bottom w:w="130" w:type="dxa"/>
              <w:end w:w="170" w:type="dxa"/>
            </w:tcMar>
            <w:vAlign w:val="center"/>
          </w:tcPr>
          <w:p>
            <w:pPr>
              <w:bidi/>
              <w:spacing w:before="0" w:after="40" w:line="259" w:lineRule="auto"/>
              <w:jc w:val="center"/>
            </w:pPr>
            <w:r>
              <w:rPr>
                <w:rFonts w:ascii="Inter Tight" w:hAnsi="Inter Tight" w:cs="Readex Pro" w:eastAsia="Readex Pro"/>
                <w:b/>
                <w:i w:val="0"/>
                <w:color w:val="17251F"/>
                <w:sz w:val="21"/>
                <w:lang w:val="en-US" w:bidi="ar-SA"/>
              </w:rPr>
              <w:t>Connected Factory Foundation</w:t>
            </w:r>
          </w:p>
          <w:p>
            <w:pPr>
              <w:bidi/>
              <w:spacing w:before="0" w:after="0" w:line="259" w:lineRule="auto"/>
              <w:jc w:val="center"/>
            </w:pPr>
            <w:r>
              <w:rPr>
                <w:rFonts w:ascii="Inter Tight" w:hAnsi="Inter Tight" w:cs="Readex Pro" w:eastAsia="Readex Pro"/>
                <w:b w:val="0"/>
                <w:i w:val="0"/>
                <w:color w:val="17251F"/>
                <w:sz w:val="18"/>
                <w:lang w:val="en-US" w:bidi="ar-SA"/>
              </w:rPr>
              <w:t>IIoT, Edge, SCADA, Historian, Secure Collection</w:t>
            </w:r>
          </w:p>
        </w:tc>
      </w:tr>
    </w:tbl>
    <w:p>
      <w:pPr>
        <w:bidi/>
        <w:spacing w:before="0" w:after="200"/>
        <w:pBdr>
          <w:bottom w:val="single" w:sz="6" w:space="2" w:color="D8D0BF"/>
        </w:pBdr>
      </w:pPr>
    </w:p>
    <w:p>
      <w:pPr>
        <w:bidi/>
        <w:spacing w:before="0" w:after="0" w:line="300" w:lineRule="auto"/>
      </w:pPr>
      <w:r>
        <w:rPr>
          <w:rFonts w:ascii="Inter Tight" w:hAnsi="Inter Tight" w:cs="Readex Pro" w:eastAsia="Readex Pro"/>
          <w:b w:val="0"/>
          <w:i w:val="0"/>
          <w:color w:val="17251F"/>
          <w:sz w:val="21"/>
          <w:lang w:val="en-US" w:bidi="ar-SA"/>
        </w:rPr>
        <w:t>كل طبقة تضيف قيمة عملية: جمع بيانات موثوق، تنفيذ تشغيلي منضبط، محاكاة دقيقة، ثم ذكاء صناعي يدعم القرارات.</w:t>
      </w:r>
    </w:p>
    <w:p>
      <w:pPr>
        <w:bidi/>
      </w:pPr>
      <w:r>
        <w:rPr>
          <w:rFonts w:cs="Readex Pro"/>
          <w:lang w:bidi="ar-SA"/>
        </w:rPr>
        <w:br w:type="page"/>
      </w:r>
    </w:p>
    <w:p>
      <w:pPr>
        <w:bidi/>
        <w:spacing w:before="80" w:after="40" w:line="240" w:lineRule="auto"/>
        <w:keepNext/>
      </w:pPr>
      <w:r>
        <w:rPr>
          <w:rFonts w:ascii="Instrument Serif" w:hAnsi="Instrument Serif" w:cs="Amiri" w:eastAsia="Amiri"/>
          <w:b/>
          <w:i w:val="0"/>
          <w:color w:val="0F3D2E"/>
          <w:sz w:val="40"/>
          <w:lang w:val="en-US" w:bidi="ar-SA"/>
        </w:rPr>
        <w:t>تدفق البيانات والتكامل</w:t>
      </w:r>
    </w:p>
    <w:p>
      <w:pPr>
        <w:bidi/>
        <w:spacing w:before="0" w:after="160" w:line="240" w:lineRule="auto"/>
        <w:keepNext/>
      </w:pPr>
      <w:r>
        <w:rPr>
          <w:rFonts w:ascii="Inter Tight" w:hAnsi="Inter Tight" w:cs="Readex Pro" w:eastAsia="Readex Pro"/>
          <w:b/>
          <w:i w:val="0"/>
          <w:color w:val="1A4D5C"/>
          <w:sz w:val="21"/>
          <w:lang w:val="en-US" w:bidi="ar-SA"/>
        </w:rPr>
        <w:t>Industrial Data Flow &amp; Integration</w:t>
      </w:r>
    </w:p>
    <w:p>
      <w:pPr>
        <w:bidi/>
        <w:spacing w:before="0" w:after="200"/>
        <w:pBdr>
          <w:bottom w:val="single" w:sz="10" w:space="2" w:color="C9A961"/>
        </w:pBdr>
      </w:pPr>
    </w:p>
    <w:tbl>
      <w:tblGrid>
        <w:gridCol w:w="9360"/>
      </w:tblGrid>
      <w:tblPr>
        <w:tblW w:type="dxa" w:w="9360"/>
        <w:jc w:val="center"/>
        <w:tblLayout w:type="fixed"/>
        <w:tblLook w:firstColumn="1" w:firstRow="1" w:lastColumn="0" w:lastRow="0" w:noHBand="0" w:noVBand="1" w:val="04A0"/>
        <w:tblInd w:w="0" w:type="dxa"/>
      </w:tblPr>
      <w:tr>
        <w:tc>
          <w:tcPr>
            <w:tcW w:type="dxa" w:w="936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8EFEA"/>
            <w:tcMar>
              <w:top w:w="105" w:type="dxa"/>
              <w:start w:w="180" w:type="dxa"/>
              <w:bottom w:w="105" w:type="dxa"/>
              <w:end w:w="180" w:type="dxa"/>
            </w:tcMar>
          </w:tcPr>
          <w:p>
            <w:pPr>
              <w:bidi/>
              <w:spacing w:before="0" w:after="0" w:line="252" w:lineRule="auto"/>
              <w:jc w:val="center"/>
            </w:pPr>
            <w:r>
              <w:rPr>
                <w:rFonts w:ascii="Instrument Serif" w:hAnsi="Instrument Serif" w:cs="Amiri" w:eastAsia="Amiri"/>
                <w:b/>
                <w:i w:val="0"/>
                <w:color w:val="C9A961"/>
                <w:sz w:val="24"/>
                <w:lang w:val="en-US" w:bidi="ar-SA"/>
              </w:rPr>
              <w:t xml:space="preserve">01  </w:t>
            </w:r>
            <w:r>
              <w:rPr>
                <w:rFonts w:ascii="Instrument Serif" w:hAnsi="Instrument Serif" w:cs="Amiri" w:eastAsia="Amiri"/>
                <w:b/>
                <w:i w:val="0"/>
                <w:color w:val="0F3D2E"/>
                <w:sz w:val="22"/>
                <w:lang w:val="en-US" w:bidi="ar-SA"/>
              </w:rPr>
              <w:t>الآلات وأجهزة الاستشعار</w:t>
            </w:r>
            <w:r>
              <w:rPr>
                <w:rFonts w:ascii="Inter Tight" w:hAnsi="Inter Tight" w:cs="Readex Pro" w:eastAsia="Readex Pro"/>
                <w:b w:val="0"/>
                <w:i w:val="0"/>
                <w:color w:val="5F665F"/>
                <w:sz w:val="19"/>
                <w:lang w:val="en-US" w:bidi="ar-SA"/>
              </w:rPr>
              <w:t xml:space="preserve">   |   </w:t>
            </w:r>
            <w:r>
              <w:rPr>
                <w:rFonts w:ascii="Inter Tight" w:hAnsi="Inter Tight" w:cs="Readex Pro" w:eastAsia="Readex Pro"/>
                <w:b/>
                <w:i w:val="0"/>
                <w:color w:val="1A4D5C"/>
                <w:sz w:val="18"/>
                <w:lang w:val="en-US" w:bidi="ar-SA"/>
              </w:rPr>
              <w:t>PLC / Sensors / Production Lines</w:t>
            </w:r>
          </w:p>
        </w:tc>
      </w:tr>
      <w:tr>
        <w:tc>
          <w:tcPr>
            <w:tcW w:type="dxa" w:w="936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7F0F2"/>
            <w:tcMar>
              <w:top w:w="105" w:type="dxa"/>
              <w:start w:w="180" w:type="dxa"/>
              <w:bottom w:w="105" w:type="dxa"/>
              <w:end w:w="180" w:type="dxa"/>
            </w:tcMar>
          </w:tcPr>
          <w:p>
            <w:pPr>
              <w:bidi/>
              <w:spacing w:before="0" w:after="0" w:line="252" w:lineRule="auto"/>
              <w:jc w:val="center"/>
            </w:pPr>
            <w:r>
              <w:rPr>
                <w:rFonts w:ascii="Instrument Serif" w:hAnsi="Instrument Serif" w:cs="Amiri" w:eastAsia="Amiri"/>
                <w:b/>
                <w:i w:val="0"/>
                <w:color w:val="C9A961"/>
                <w:sz w:val="24"/>
                <w:lang w:val="en-US" w:bidi="ar-SA"/>
              </w:rPr>
              <w:t xml:space="preserve">02  </w:t>
            </w:r>
            <w:r>
              <w:rPr>
                <w:rFonts w:ascii="Instrument Serif" w:hAnsi="Instrument Serif" w:cs="Amiri" w:eastAsia="Amiri"/>
                <w:b/>
                <w:i w:val="0"/>
                <w:color w:val="0F3D2E"/>
                <w:sz w:val="22"/>
                <w:lang w:val="en-US" w:bidi="ar-SA"/>
              </w:rPr>
              <w:t>الحافة الصناعية والاتصال</w:t>
            </w:r>
            <w:r>
              <w:rPr>
                <w:rFonts w:ascii="Inter Tight" w:hAnsi="Inter Tight" w:cs="Readex Pro" w:eastAsia="Readex Pro"/>
                <w:b w:val="0"/>
                <w:i w:val="0"/>
                <w:color w:val="5F665F"/>
                <w:sz w:val="19"/>
                <w:lang w:val="en-US" w:bidi="ar-SA"/>
              </w:rPr>
              <w:t xml:space="preserve">   |   </w:t>
            </w:r>
            <w:r>
              <w:rPr>
                <w:rFonts w:ascii="Inter Tight" w:hAnsi="Inter Tight" w:cs="Readex Pro" w:eastAsia="Readex Pro"/>
                <w:b/>
                <w:i w:val="0"/>
                <w:color w:val="1A4D5C"/>
                <w:sz w:val="18"/>
                <w:lang w:val="en-US" w:bidi="ar-SA"/>
              </w:rPr>
              <w:t>IIoT / Edge Computing / Device Management</w:t>
            </w:r>
          </w:p>
        </w:tc>
      </w:tr>
      <w:tr>
        <w:tc>
          <w:tcPr>
            <w:tcW w:type="dxa" w:w="936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5" w:type="dxa"/>
              <w:start w:w="180" w:type="dxa"/>
              <w:bottom w:w="105" w:type="dxa"/>
              <w:end w:w="180" w:type="dxa"/>
            </w:tcMar>
          </w:tcPr>
          <w:p>
            <w:pPr>
              <w:bidi/>
              <w:spacing w:before="0" w:after="0" w:line="252" w:lineRule="auto"/>
              <w:jc w:val="center"/>
            </w:pPr>
            <w:r>
              <w:rPr>
                <w:rFonts w:ascii="Instrument Serif" w:hAnsi="Instrument Serif" w:cs="Amiri" w:eastAsia="Amiri"/>
                <w:b/>
                <w:i w:val="0"/>
                <w:color w:val="C9A961"/>
                <w:sz w:val="24"/>
                <w:lang w:val="en-US" w:bidi="ar-SA"/>
              </w:rPr>
              <w:t xml:space="preserve">03  </w:t>
            </w:r>
            <w:r>
              <w:rPr>
                <w:rFonts w:ascii="Instrument Serif" w:hAnsi="Instrument Serif" w:cs="Amiri" w:eastAsia="Amiri"/>
                <w:b/>
                <w:i w:val="0"/>
                <w:color w:val="0F3D2E"/>
                <w:sz w:val="22"/>
                <w:lang w:val="en-US" w:bidi="ar-SA"/>
              </w:rPr>
              <w:t>المراقبة والتاريخ التشغيلي</w:t>
            </w:r>
            <w:r>
              <w:rPr>
                <w:rFonts w:ascii="Inter Tight" w:hAnsi="Inter Tight" w:cs="Readex Pro" w:eastAsia="Readex Pro"/>
                <w:b w:val="0"/>
                <w:i w:val="0"/>
                <w:color w:val="5F665F"/>
                <w:sz w:val="19"/>
                <w:lang w:val="en-US" w:bidi="ar-SA"/>
              </w:rPr>
              <w:t xml:space="preserve">   |   </w:t>
            </w:r>
            <w:r>
              <w:rPr>
                <w:rFonts w:ascii="Inter Tight" w:hAnsi="Inter Tight" w:cs="Readex Pro" w:eastAsia="Readex Pro"/>
                <w:b/>
                <w:i w:val="0"/>
                <w:color w:val="1A4D5C"/>
                <w:sz w:val="18"/>
                <w:lang w:val="en-US" w:bidi="ar-SA"/>
              </w:rPr>
              <w:t>SCADA / Historian / Secure Data Collection</w:t>
            </w:r>
          </w:p>
        </w:tc>
      </w:tr>
      <w:tr>
        <w:tc>
          <w:tcPr>
            <w:tcW w:type="dxa" w:w="936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8EFEA"/>
            <w:tcMar>
              <w:top w:w="105" w:type="dxa"/>
              <w:start w:w="180" w:type="dxa"/>
              <w:bottom w:w="105" w:type="dxa"/>
              <w:end w:w="180" w:type="dxa"/>
            </w:tcMar>
          </w:tcPr>
          <w:p>
            <w:pPr>
              <w:bidi/>
              <w:spacing w:before="0" w:after="0" w:line="252" w:lineRule="auto"/>
              <w:jc w:val="center"/>
            </w:pPr>
            <w:r>
              <w:rPr>
                <w:rFonts w:ascii="Instrument Serif" w:hAnsi="Instrument Serif" w:cs="Amiri" w:eastAsia="Amiri"/>
                <w:b/>
                <w:i w:val="0"/>
                <w:color w:val="C9A961"/>
                <w:sz w:val="24"/>
                <w:lang w:val="en-US" w:bidi="ar-SA"/>
              </w:rPr>
              <w:t xml:space="preserve">04  </w:t>
            </w:r>
            <w:r>
              <w:rPr>
                <w:rFonts w:ascii="Instrument Serif" w:hAnsi="Instrument Serif" w:cs="Amiri" w:eastAsia="Amiri"/>
                <w:b/>
                <w:i w:val="0"/>
                <w:color w:val="0F3D2E"/>
                <w:sz w:val="22"/>
                <w:lang w:val="en-US" w:bidi="ar-SA"/>
              </w:rPr>
              <w:t>تنفيذ العمليات</w:t>
            </w:r>
            <w:r>
              <w:rPr>
                <w:rFonts w:ascii="Inter Tight" w:hAnsi="Inter Tight" w:cs="Readex Pro" w:eastAsia="Readex Pro"/>
                <w:b w:val="0"/>
                <w:i w:val="0"/>
                <w:color w:val="5F665F"/>
                <w:sz w:val="19"/>
                <w:lang w:val="en-US" w:bidi="ar-SA"/>
              </w:rPr>
              <w:t xml:space="preserve">   |   </w:t>
            </w:r>
            <w:r>
              <w:rPr>
                <w:rFonts w:ascii="Inter Tight" w:hAnsi="Inter Tight" w:cs="Readex Pro" w:eastAsia="Readex Pro"/>
                <w:b/>
                <w:i w:val="0"/>
                <w:color w:val="1A4D5C"/>
                <w:sz w:val="18"/>
                <w:lang w:val="en-US" w:bidi="ar-SA"/>
              </w:rPr>
              <w:t>MES / Scheduling / Quality / Maintenance</w:t>
            </w:r>
          </w:p>
        </w:tc>
      </w:tr>
      <w:tr>
        <w:tc>
          <w:tcPr>
            <w:tcW w:type="dxa" w:w="936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7F0F2"/>
            <w:tcMar>
              <w:top w:w="105" w:type="dxa"/>
              <w:start w:w="180" w:type="dxa"/>
              <w:bottom w:w="105" w:type="dxa"/>
              <w:end w:w="180" w:type="dxa"/>
            </w:tcMar>
          </w:tcPr>
          <w:p>
            <w:pPr>
              <w:bidi/>
              <w:spacing w:before="0" w:after="0" w:line="252" w:lineRule="auto"/>
              <w:jc w:val="center"/>
            </w:pPr>
            <w:r>
              <w:rPr>
                <w:rFonts w:ascii="Instrument Serif" w:hAnsi="Instrument Serif" w:cs="Amiri" w:eastAsia="Amiri"/>
                <w:b/>
                <w:i w:val="0"/>
                <w:color w:val="C9A961"/>
                <w:sz w:val="24"/>
                <w:lang w:val="en-US" w:bidi="ar-SA"/>
              </w:rPr>
              <w:t xml:space="preserve">05  </w:t>
            </w:r>
            <w:r>
              <w:rPr>
                <w:rFonts w:ascii="Instrument Serif" w:hAnsi="Instrument Serif" w:cs="Amiri" w:eastAsia="Amiri"/>
                <w:b/>
                <w:i w:val="0"/>
                <w:color w:val="0F3D2E"/>
                <w:sz w:val="22"/>
                <w:lang w:val="en-US" w:bidi="ar-SA"/>
              </w:rPr>
              <w:t>المحاكاة والتحسين</w:t>
            </w:r>
            <w:r>
              <w:rPr>
                <w:rFonts w:ascii="Inter Tight" w:hAnsi="Inter Tight" w:cs="Readex Pro" w:eastAsia="Readex Pro"/>
                <w:b w:val="0"/>
                <w:i w:val="0"/>
                <w:color w:val="5F665F"/>
                <w:sz w:val="19"/>
                <w:lang w:val="en-US" w:bidi="ar-SA"/>
              </w:rPr>
              <w:t xml:space="preserve">   |   </w:t>
            </w:r>
            <w:r>
              <w:rPr>
                <w:rFonts w:ascii="Inter Tight" w:hAnsi="Inter Tight" w:cs="Readex Pro" w:eastAsia="Readex Pro"/>
                <w:b/>
                <w:i w:val="0"/>
                <w:color w:val="1A4D5C"/>
                <w:sz w:val="18"/>
                <w:lang w:val="en-US" w:bidi="ar-SA"/>
              </w:rPr>
              <w:t>Digital Twin / Process Simulation / Optimization</w:t>
            </w:r>
          </w:p>
        </w:tc>
      </w:tr>
      <w:tr>
        <w:tc>
          <w:tcPr>
            <w:tcW w:type="dxa" w:w="936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4ECD2"/>
            <w:tcMar>
              <w:top w:w="105" w:type="dxa"/>
              <w:start w:w="180" w:type="dxa"/>
              <w:bottom w:w="105" w:type="dxa"/>
              <w:end w:w="180" w:type="dxa"/>
            </w:tcMar>
          </w:tcPr>
          <w:p>
            <w:pPr>
              <w:bidi/>
              <w:spacing w:before="0" w:after="0" w:line="252" w:lineRule="auto"/>
              <w:jc w:val="center"/>
            </w:pPr>
            <w:r>
              <w:rPr>
                <w:rFonts w:ascii="Instrument Serif" w:hAnsi="Instrument Serif" w:cs="Amiri" w:eastAsia="Amiri"/>
                <w:b/>
                <w:i w:val="0"/>
                <w:color w:val="C9A961"/>
                <w:sz w:val="24"/>
                <w:lang w:val="en-US" w:bidi="ar-SA"/>
              </w:rPr>
              <w:t xml:space="preserve">06  </w:t>
            </w:r>
            <w:r>
              <w:rPr>
                <w:rFonts w:ascii="Instrument Serif" w:hAnsi="Instrument Serif" w:cs="Amiri" w:eastAsia="Amiri"/>
                <w:b/>
                <w:i w:val="0"/>
                <w:color w:val="0F3D2E"/>
                <w:sz w:val="22"/>
                <w:lang w:val="en-US" w:bidi="ar-SA"/>
              </w:rPr>
              <w:t>التحليلات والذكاء</w:t>
            </w:r>
            <w:r>
              <w:rPr>
                <w:rFonts w:ascii="Inter Tight" w:hAnsi="Inter Tight" w:cs="Readex Pro" w:eastAsia="Readex Pro"/>
                <w:b w:val="0"/>
                <w:i w:val="0"/>
                <w:color w:val="5F665F"/>
                <w:sz w:val="19"/>
                <w:lang w:val="en-US" w:bidi="ar-SA"/>
              </w:rPr>
              <w:t xml:space="preserve">   |   </w:t>
            </w:r>
            <w:r>
              <w:rPr>
                <w:rFonts w:ascii="Inter Tight" w:hAnsi="Inter Tight" w:cs="Readex Pro" w:eastAsia="Readex Pro"/>
                <w:b/>
                <w:i w:val="0"/>
                <w:color w:val="1A4D5C"/>
                <w:sz w:val="18"/>
                <w:lang w:val="en-US" w:bidi="ar-SA"/>
              </w:rPr>
              <w:t>AI / Predictive Analytics / Decision Support</w:t>
            </w:r>
          </w:p>
        </w:tc>
      </w:tr>
      <w:tr>
        <w:tc>
          <w:tcPr>
            <w:tcW w:type="dxa" w:w="936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5" w:type="dxa"/>
              <w:start w:w="180" w:type="dxa"/>
              <w:bottom w:w="105" w:type="dxa"/>
              <w:end w:w="180" w:type="dxa"/>
            </w:tcMar>
          </w:tcPr>
          <w:p>
            <w:pPr>
              <w:bidi/>
              <w:spacing w:before="0" w:after="0" w:line="252" w:lineRule="auto"/>
              <w:jc w:val="center"/>
            </w:pPr>
            <w:r>
              <w:rPr>
                <w:rFonts w:ascii="Instrument Serif" w:hAnsi="Instrument Serif" w:cs="Amiri" w:eastAsia="Amiri"/>
                <w:b/>
                <w:i w:val="0"/>
                <w:color w:val="C9A961"/>
                <w:sz w:val="24"/>
                <w:lang w:val="en-US" w:bidi="ar-SA"/>
              </w:rPr>
              <w:t xml:space="preserve">07  </w:t>
            </w:r>
            <w:r>
              <w:rPr>
                <w:rFonts w:ascii="Instrument Serif" w:hAnsi="Instrument Serif" w:cs="Amiri" w:eastAsia="Amiri"/>
                <w:b/>
                <w:i w:val="0"/>
                <w:color w:val="0F3D2E"/>
                <w:sz w:val="22"/>
                <w:lang w:val="en-US" w:bidi="ar-SA"/>
              </w:rPr>
              <w:t>القرار التنفيذي والتكامل المؤسسي</w:t>
            </w:r>
            <w:r>
              <w:rPr>
                <w:rFonts w:ascii="Inter Tight" w:hAnsi="Inter Tight" w:cs="Readex Pro" w:eastAsia="Readex Pro"/>
                <w:b w:val="0"/>
                <w:i w:val="0"/>
                <w:color w:val="5F665F"/>
                <w:sz w:val="19"/>
                <w:lang w:val="en-US" w:bidi="ar-SA"/>
              </w:rPr>
              <w:t xml:space="preserve">   |   </w:t>
            </w:r>
            <w:r>
              <w:rPr>
                <w:rFonts w:ascii="Inter Tight" w:hAnsi="Inter Tight" w:cs="Readex Pro" w:eastAsia="Readex Pro"/>
                <w:b/>
                <w:i w:val="0"/>
                <w:color w:val="1A4D5C"/>
                <w:sz w:val="18"/>
                <w:lang w:val="en-US" w:bidi="ar-SA"/>
              </w:rPr>
              <w:t>Dashboards / ERP / Enterprise Apps</w:t>
            </w:r>
          </w:p>
        </w:tc>
      </w:tr>
    </w:tbl>
    <w:p>
      <w:pPr>
        <w:bidi/>
        <w:spacing w:before="80" w:after="40" w:line="240" w:lineRule="auto"/>
        <w:jc w:val="center"/>
      </w:pPr>
      <w:r>
        <w:rPr>
          <w:rFonts w:ascii="Inter Tight" w:hAnsi="Inter Tight" w:cs="Readex Pro" w:eastAsia="Readex Pro"/>
          <w:b/>
          <w:i w:val="0"/>
          <w:color w:val="C9A961"/>
          <w:sz w:val="26"/>
          <w:lang w:val="en-US" w:bidi="ar-SA"/>
        </w:rPr>
        <w:t>↧</w:t>
      </w:r>
    </w:p>
    <w:p>
      <w:pPr>
        <w:bidi/>
        <w:spacing w:before="0" w:after="240" w:line="288" w:lineRule="auto"/>
        <w:jc w:val="center"/>
      </w:pPr>
      <w:r>
        <w:rPr>
          <w:rFonts w:ascii="Inter Tight" w:hAnsi="Inter Tight" w:cs="Readex Pro" w:eastAsia="Readex Pro"/>
          <w:b w:val="0"/>
          <w:i w:val="0"/>
          <w:color w:val="17251F"/>
          <w:sz w:val="20"/>
          <w:lang w:val="en-US" w:bidi="ar-SA"/>
        </w:rPr>
        <w:t>تدفق آمن وموثوق للبيانات عبر جميع مستويات المصنع، مع قابلية التكامل مع الأنظمة الحالية والمستقبلية.</w:t>
      </w:r>
    </w:p>
    <w:tbl>
      <w:tblGrid>
        <w:gridCol w:w="2232"/>
        <w:gridCol w:w="3096"/>
        <w:gridCol w:w="4032"/>
      </w:tblGrid>
      <w:tblPr>
        <w:tblW w:type="dxa" w:w="9360"/>
        <w:jc w:val="center"/>
        <w:tblLayout w:type="fixed"/>
        <w:tblLook w:firstColumn="1" w:firstRow="1" w:lastColumn="0" w:lastRow="0" w:noHBand="0" w:noVBand="1" w:val="04A0"/>
        <w:tblInd w:w="0" w:type="dxa"/>
      </w:tblPr>
      <w:tr>
        <w:tc>
          <w:tcPr>
            <w:tcW w:type="dxa" w:w="223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19"/>
                <w:lang w:val="en-US" w:bidi="ar-SA"/>
              </w:rPr>
              <w:t>القيمة التشغيلية</w:t>
            </w:r>
          </w:p>
        </w:tc>
        <w:tc>
          <w:tcPr>
            <w:tcW w:type="dxa" w:w="3096"/>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19"/>
                <w:lang w:val="en-US" w:bidi="ar-SA"/>
              </w:rPr>
              <w:t>دور التكامل</w:t>
            </w:r>
          </w:p>
        </w:tc>
        <w:tc>
          <w:tcPr>
            <w:tcW w:type="dxa" w:w="403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19"/>
                <w:lang w:val="en-US" w:bidi="ar-SA"/>
              </w:rPr>
              <w:t>النظام / البروتوكول</w:t>
            </w:r>
          </w:p>
        </w:tc>
      </w:tr>
      <w:tr>
        <w:tc>
          <w:tcPr>
            <w:tcW w:type="dxa" w:w="22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رؤية موحدة بين الإنتاج، التخطيط، الجودة، والصيانة</w:t>
            </w:r>
          </w:p>
        </w:tc>
        <w:tc>
          <w:tcPr>
            <w:tcW w:type="dxa" w:w="3096"/>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ربط العمليات التشغيلية بالأنظمة المؤسسية</w:t>
            </w:r>
          </w:p>
        </w:tc>
        <w:tc>
          <w:tcPr>
            <w:tcW w:type="dxa" w:w="40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ERP / PLM / WMS / CMMS</w:t>
            </w:r>
          </w:p>
        </w:tc>
      </w:tr>
      <w:tr>
        <w:tc>
          <w:tcPr>
            <w:tcW w:type="dxa" w:w="22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مراقبة لحظية وبيانات موثوقة من أرض المصنع</w:t>
            </w:r>
          </w:p>
        </w:tc>
        <w:tc>
          <w:tcPr>
            <w:tcW w:type="dxa" w:w="3096"/>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قراءة البيانات الصناعية والتحكمية</w:t>
            </w:r>
          </w:p>
        </w:tc>
        <w:tc>
          <w:tcPr>
            <w:tcW w:type="dxa" w:w="40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SCADA / PLCs / Historian</w:t>
            </w:r>
          </w:p>
        </w:tc>
      </w:tr>
      <w:tr>
        <w:tc>
          <w:tcPr>
            <w:tcW w:type="dxa" w:w="22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تقليل تعقيد الربط مع المصنعين والأنظمة المختلفة</w:t>
            </w:r>
          </w:p>
        </w:tc>
        <w:tc>
          <w:tcPr>
            <w:tcW w:type="dxa" w:w="3096"/>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توحيد الاتصال مع المعدات والبروتوكولات</w:t>
            </w:r>
          </w:p>
        </w:tc>
        <w:tc>
          <w:tcPr>
            <w:tcW w:type="dxa" w:w="40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OPC UA / MQTT / Modbus</w:t>
            </w:r>
          </w:p>
        </w:tc>
      </w:tr>
      <w:tr>
        <w:tc>
          <w:tcPr>
            <w:tcW w:type="dxa" w:w="22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منصة مفتوحة تحفظ الاستثمارات التقنية</w:t>
            </w:r>
          </w:p>
        </w:tc>
        <w:tc>
          <w:tcPr>
            <w:tcW w:type="dxa" w:w="3096"/>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تبادل البيانات مع التطبيقات الحالية والمستقبلية</w:t>
            </w:r>
          </w:p>
        </w:tc>
        <w:tc>
          <w:tcPr>
            <w:tcW w:type="dxa" w:w="4032"/>
            <w:shd w:fill="F7F4EC"/>
            <w:tcMar>
              <w:top w:w="100" w:type="dxa"/>
              <w:start w:w="140" w:type="dxa"/>
              <w:bottom w:w="100" w:type="dxa"/>
              <w:end w:w="140" w:type="dxa"/>
            </w:tcMar>
            <w:vAlign w:val="center"/>
          </w:tcPr>
          <w:p>
            <w:pPr>
              <w:bidi/>
              <w:spacing w:before="0" w:after="0" w:line="276" w:lineRule="auto"/>
              <w:jc w:val="center"/>
            </w:pPr>
            <w:r>
              <w:rPr>
                <w:rFonts w:ascii="Inter Tight" w:hAnsi="Inter Tight" w:cs="Readex Pro" w:eastAsia="Readex Pro"/>
                <w:b w:val="0"/>
                <w:i w:val="0"/>
                <w:color w:val="17251F"/>
                <w:sz w:val="17"/>
                <w:lang w:val="en-US" w:bidi="ar-SA"/>
              </w:rPr>
              <w:t>REST APIs / Databases</w:t>
            </w:r>
          </w:p>
        </w:tc>
      </w:tr>
    </w:tbl>
    <w:p>
      <w:pPr>
        <w:bidi/>
      </w:pPr>
      <w:r>
        <w:rPr>
          <w:rFonts w:cs="Readex Pro"/>
          <w:lang w:bidi="ar-SA"/>
        </w:rPr>
        <w:br w:type="page"/>
      </w:r>
    </w:p>
    <w:p>
      <w:pPr>
        <w:bidi/>
        <w:spacing w:before="80" w:after="40" w:line="240" w:lineRule="auto"/>
        <w:keepNext/>
      </w:pPr>
      <w:r>
        <w:rPr>
          <w:rFonts w:ascii="Instrument Serif" w:hAnsi="Instrument Serif" w:cs="Amiri" w:eastAsia="Amiri"/>
          <w:b/>
          <w:i w:val="0"/>
          <w:color w:val="0F3D2E"/>
          <w:sz w:val="40"/>
          <w:lang w:val="en-US" w:bidi="ar-SA"/>
        </w:rPr>
        <w:t>خارطة طريق التحول الرقمي</w:t>
      </w:r>
    </w:p>
    <w:p>
      <w:pPr>
        <w:bidi/>
        <w:spacing w:before="0" w:after="160" w:line="240" w:lineRule="auto"/>
        <w:keepNext/>
      </w:pPr>
      <w:r>
        <w:rPr>
          <w:rFonts w:ascii="Inter Tight" w:hAnsi="Inter Tight" w:cs="Readex Pro" w:eastAsia="Readex Pro"/>
          <w:b/>
          <w:i w:val="0"/>
          <w:color w:val="1A4D5C"/>
          <w:sz w:val="21"/>
          <w:lang w:val="en-US" w:bidi="ar-SA"/>
        </w:rPr>
        <w:t>Digital Transformation Roadmap</w:t>
      </w:r>
    </w:p>
    <w:p>
      <w:pPr>
        <w:bidi/>
        <w:spacing w:before="0" w:after="200"/>
        <w:pBdr>
          <w:bottom w:val="single" w:sz="10" w:space="2" w:color="C9A961"/>
        </w:pBdr>
      </w:pPr>
    </w:p>
    <w:p>
      <w:pPr>
        <w:bidi/>
        <w:spacing w:before="0" w:after="160" w:line="300" w:lineRule="auto"/>
      </w:pPr>
      <w:r>
        <w:rPr>
          <w:rFonts w:ascii="Inter Tight" w:hAnsi="Inter Tight" w:cs="Readex Pro" w:eastAsia="Readex Pro"/>
          <w:b w:val="0"/>
          <w:i w:val="0"/>
          <w:color w:val="17251F"/>
          <w:sz w:val="21"/>
          <w:lang w:val="en-US" w:bidi="ar-SA"/>
        </w:rPr>
        <w:t>ترتكز الرؤية على تمكين المصنع من الانتقال تدريجيًا خلال رحلة تحول واضحة، تبدأ من الربط الصناعي وتنتهي بمصنع مستقل ومدعوم بالذكاء.</w:t>
      </w:r>
    </w:p>
    <w:tbl>
      <w:tblGrid>
        <w:gridCol w:w="1080"/>
        <w:gridCol w:w="3240"/>
        <w:gridCol w:w="5040"/>
      </w:tblGrid>
      <w:tblPr>
        <w:tblW w:type="dxa" w:w="9360"/>
        <w:jc w:val="center"/>
        <w:tblLayout w:type="fixed"/>
        <w:tblLook w:firstColumn="1" w:firstRow="1" w:lastColumn="0" w:lastRow="0" w:noHBand="0" w:noVBand="1" w:val="04A0"/>
        <w:tblInd w:w="0" w:type="dxa"/>
      </w:tblPr>
      <w:tr>
        <w:trPr>
          <w:cantSplit/>
        </w:trPr>
        <w:tc>
          <w:tcPr>
            <w:tcW w:type="dxa" w:w="10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8"/>
                <w:lang w:val="en-US" w:bidi="ar-SA"/>
              </w:rPr>
              <w:t>01</w:t>
            </w:r>
          </w:p>
        </w:tc>
        <w:tc>
          <w:tcPr>
            <w:tcW w:type="dxa" w:w="32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0F3D2E"/>
                <w:sz w:val="20"/>
                <w:lang w:val="en-US" w:bidi="ar-SA"/>
              </w:rPr>
              <w:t>Connected Factory</w:t>
            </w:r>
          </w:p>
        </w:tc>
        <w:tc>
          <w:tcPr>
            <w:tcW w:type="dxa" w:w="50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8"/>
                <w:lang w:val="en-US" w:bidi="ar-SA"/>
              </w:rPr>
              <w:t>تأسيس الاتصال الصناعي وجمع البيانات من الآلات وخطوط الإنتاج.</w:t>
            </w:r>
          </w:p>
        </w:tc>
      </w:tr>
      <w:tr>
        <w:trPr>
          <w:cantSplit/>
        </w:trPr>
        <w:tc>
          <w:tcPr>
            <w:tcW w:type="dxa" w:w="10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1A4D5C"/>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8"/>
                <w:lang w:val="en-US" w:bidi="ar-SA"/>
              </w:rPr>
              <w:t>02</w:t>
            </w:r>
          </w:p>
        </w:tc>
        <w:tc>
          <w:tcPr>
            <w:tcW w:type="dxa" w:w="32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0F3D2E"/>
                <w:sz w:val="20"/>
                <w:lang w:val="en-US" w:bidi="ar-SA"/>
              </w:rPr>
              <w:t>Digital Operations</w:t>
            </w:r>
          </w:p>
        </w:tc>
        <w:tc>
          <w:tcPr>
            <w:tcW w:type="dxa" w:w="50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8"/>
                <w:lang w:val="en-US" w:bidi="ar-SA"/>
              </w:rPr>
              <w:t>رقمنة العمليات اليومية وربط الإنتاج والجودة والصيانة والطاقة.</w:t>
            </w:r>
          </w:p>
        </w:tc>
      </w:tr>
      <w:tr>
        <w:trPr>
          <w:cantSplit/>
        </w:trPr>
        <w:tc>
          <w:tcPr>
            <w:tcW w:type="dxa" w:w="10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2D6B4F"/>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8"/>
                <w:lang w:val="en-US" w:bidi="ar-SA"/>
              </w:rPr>
              <w:t>03</w:t>
            </w:r>
          </w:p>
        </w:tc>
        <w:tc>
          <w:tcPr>
            <w:tcW w:type="dxa" w:w="32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0F3D2E"/>
                <w:sz w:val="20"/>
                <w:lang w:val="en-US" w:bidi="ar-SA"/>
              </w:rPr>
              <w:t>Smart Manufacturing</w:t>
            </w:r>
          </w:p>
        </w:tc>
        <w:tc>
          <w:tcPr>
            <w:tcW w:type="dxa" w:w="50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8"/>
                <w:lang w:val="en-US" w:bidi="ar-SA"/>
              </w:rPr>
              <w:t>تحسين الأداء باستخدام مؤشرات تشغيلية وتحليلات مترابطة.</w:t>
            </w:r>
          </w:p>
        </w:tc>
      </w:tr>
      <w:tr>
        <w:trPr>
          <w:cantSplit/>
        </w:trPr>
        <w:tc>
          <w:tcPr>
            <w:tcW w:type="dxa" w:w="10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C9A961"/>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17251F"/>
                <w:sz w:val="28"/>
                <w:lang w:val="en-US" w:bidi="ar-SA"/>
              </w:rPr>
              <w:t>04</w:t>
            </w:r>
          </w:p>
        </w:tc>
        <w:tc>
          <w:tcPr>
            <w:tcW w:type="dxa" w:w="32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0F3D2E"/>
                <w:sz w:val="20"/>
                <w:lang w:val="en-US" w:bidi="ar-SA"/>
              </w:rPr>
              <w:t>Digital Twin</w:t>
            </w:r>
          </w:p>
        </w:tc>
        <w:tc>
          <w:tcPr>
            <w:tcW w:type="dxa" w:w="50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8"/>
                <w:lang w:val="en-US" w:bidi="ar-SA"/>
              </w:rPr>
              <w:t>محاكاة العمليات وتحليل السيناريوهات قبل تنفيذها على أرض الواقع.</w:t>
            </w:r>
          </w:p>
        </w:tc>
      </w:tr>
      <w:tr>
        <w:trPr>
          <w:cantSplit/>
        </w:trPr>
        <w:tc>
          <w:tcPr>
            <w:tcW w:type="dxa" w:w="10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1A4D5C"/>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8"/>
                <w:lang w:val="en-US" w:bidi="ar-SA"/>
              </w:rPr>
              <w:t>05</w:t>
            </w:r>
          </w:p>
        </w:tc>
        <w:tc>
          <w:tcPr>
            <w:tcW w:type="dxa" w:w="32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0F3D2E"/>
                <w:sz w:val="20"/>
                <w:lang w:val="en-US" w:bidi="ar-SA"/>
              </w:rPr>
              <w:t>AI-Driven Manufacturing</w:t>
            </w:r>
          </w:p>
        </w:tc>
        <w:tc>
          <w:tcPr>
            <w:tcW w:type="dxa" w:w="50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8"/>
                <w:lang w:val="en-US" w:bidi="ar-SA"/>
              </w:rPr>
              <w:t>استخدام الذكاء الصناعي للتنبؤ بالأعطال وتحسين القرارات.</w:t>
            </w:r>
          </w:p>
        </w:tc>
      </w:tr>
      <w:tr>
        <w:trPr>
          <w:cantSplit/>
        </w:trPr>
        <w:tc>
          <w:tcPr>
            <w:tcW w:type="dxa" w:w="10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strument Serif" w:hAnsi="Instrument Serif" w:cs="Amiri" w:eastAsia="Amiri"/>
                <w:b/>
                <w:i w:val="0"/>
                <w:color w:val="FFFFFF"/>
                <w:sz w:val="28"/>
                <w:lang w:val="en-US" w:bidi="ar-SA"/>
              </w:rPr>
              <w:t>06</w:t>
            </w:r>
          </w:p>
        </w:tc>
        <w:tc>
          <w:tcPr>
            <w:tcW w:type="dxa" w:w="32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0F3D2E"/>
                <w:sz w:val="20"/>
                <w:lang w:val="en-US" w:bidi="ar-SA"/>
              </w:rPr>
              <w:t>Autonomous Factory</w:t>
            </w:r>
          </w:p>
        </w:tc>
        <w:tc>
          <w:tcPr>
            <w:tcW w:type="dxa" w:w="504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8"/>
                <w:lang w:val="en-US" w:bidi="ar-SA"/>
              </w:rPr>
              <w:t>الوصول إلى مصنع ذكي يعتمد على القرار الآلي والتحسين المستمر.</w:t>
            </w:r>
          </w:p>
        </w:tc>
      </w:tr>
    </w:tbl>
    <w:p>
      <w:pPr>
        <w:bidi/>
        <w:spacing w:before="240" w:after="120" w:line="240" w:lineRule="auto"/>
        <w:keepNext/>
      </w:pPr>
      <w:r>
        <w:rPr>
          <w:rFonts w:ascii="Instrument Serif" w:hAnsi="Instrument Serif" w:cs="Amiri" w:eastAsia="Amiri"/>
          <w:b/>
          <w:i w:val="0"/>
          <w:color w:val="0F3D2E"/>
          <w:sz w:val="28"/>
          <w:lang w:val="en-US" w:bidi="ar-SA"/>
        </w:rPr>
        <w:t>مبادئ التنفيذ</w:t>
      </w:r>
    </w:p>
    <w:tbl>
      <w:tblGrid>
        <w:gridCol w:w="3119"/>
        <w:gridCol w:w="3120"/>
        <w:gridCol w:w="3120"/>
      </w:tblGrid>
      <w:tblPr>
        <w:tblW w:type="dxa" w:w="9359"/>
        <w:jc w:val="center"/>
        <w:tblLayout w:type="fixed"/>
        <w:tblLook w:firstColumn="1" w:firstRow="1" w:lastColumn="0" w:lastRow="0" w:noHBand="0" w:noVBand="1" w:val="04A0"/>
        <w:tblInd w:w="0" w:type="dxa"/>
      </w:tblPr>
      <w:tr>
        <w:tc>
          <w:tcPr>
            <w:tcW w:type="dxa" w:w="3119"/>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8EFEA"/>
            <w:tcMar>
              <w:top w:w="150" w:type="dxa"/>
              <w:start w:w="150" w:type="dxa"/>
              <w:bottom w:w="150" w:type="dxa"/>
              <w:end w:w="150" w:type="dxa"/>
            </w:tcMar>
          </w:tcPr>
          <w:p>
            <w:pPr>
              <w:bidi/>
              <w:spacing w:before="0" w:after="80" w:line="240" w:lineRule="auto"/>
              <w:jc w:val="center"/>
            </w:pPr>
            <w:r>
              <w:rPr>
                <w:rFonts w:ascii="Instrument Serif" w:hAnsi="Instrument Serif" w:cs="Amiri" w:eastAsia="Amiri"/>
                <w:b/>
                <w:i w:val="0"/>
                <w:color w:val="0F3D2E"/>
                <w:sz w:val="21"/>
                <w:lang w:val="en-US" w:bidi="ar-SA"/>
              </w:rPr>
              <w:t>حوكمة وأمن أولًا</w:t>
            </w:r>
          </w:p>
          <w:p>
            <w:pPr>
              <w:bidi/>
              <w:spacing w:before="0" w:after="0" w:line="276" w:lineRule="auto"/>
              <w:jc w:val="center"/>
            </w:pPr>
            <w:r>
              <w:rPr>
                <w:rFonts w:ascii="Inter Tight" w:hAnsi="Inter Tight" w:cs="Readex Pro" w:eastAsia="Readex Pro"/>
                <w:b w:val="0"/>
                <w:i w:val="0"/>
                <w:color w:val="17251F"/>
                <w:sz w:val="17"/>
                <w:lang w:val="en-US" w:bidi="ar-SA"/>
              </w:rPr>
              <w:t>إدارة الوصول، سلامة البيانات، واستمرارية التشغيل عبر كل طبقة.</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4ECD2"/>
            <w:tcMar>
              <w:top w:w="150" w:type="dxa"/>
              <w:start w:w="150" w:type="dxa"/>
              <w:bottom w:w="150" w:type="dxa"/>
              <w:end w:w="150" w:type="dxa"/>
            </w:tcMar>
          </w:tcPr>
          <w:p>
            <w:pPr>
              <w:bidi/>
              <w:spacing w:before="0" w:after="80" w:line="240" w:lineRule="auto"/>
              <w:jc w:val="center"/>
            </w:pPr>
            <w:r>
              <w:rPr>
                <w:rFonts w:ascii="Instrument Serif" w:hAnsi="Instrument Serif" w:cs="Amiri" w:eastAsia="Amiri"/>
                <w:b/>
                <w:i w:val="0"/>
                <w:color w:val="0F3D2E"/>
                <w:sz w:val="21"/>
                <w:lang w:val="en-US" w:bidi="ar-SA"/>
              </w:rPr>
              <w:t>وسّع تدريجيًا</w:t>
            </w:r>
          </w:p>
          <w:p>
            <w:pPr>
              <w:bidi/>
              <w:spacing w:before="0" w:after="0" w:line="276" w:lineRule="auto"/>
              <w:jc w:val="center"/>
            </w:pPr>
            <w:r>
              <w:rPr>
                <w:rFonts w:ascii="Inter Tight" w:hAnsi="Inter Tight" w:cs="Readex Pro" w:eastAsia="Readex Pro"/>
                <w:b w:val="0"/>
                <w:i w:val="0"/>
                <w:color w:val="17251F"/>
                <w:sz w:val="17"/>
                <w:lang w:val="en-US" w:bidi="ar-SA"/>
              </w:rPr>
              <w:t>تمديد المنصة من خط واحد إلى عدة خطوط أو مصانع بدون إعادة بناء.</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8EFEA"/>
            <w:tcMar>
              <w:top w:w="150" w:type="dxa"/>
              <w:start w:w="150" w:type="dxa"/>
              <w:bottom w:w="150" w:type="dxa"/>
              <w:end w:w="150" w:type="dxa"/>
            </w:tcMar>
          </w:tcPr>
          <w:p>
            <w:pPr>
              <w:bidi/>
              <w:spacing w:before="0" w:after="80" w:line="240" w:lineRule="auto"/>
              <w:jc w:val="center"/>
            </w:pPr>
            <w:r>
              <w:rPr>
                <w:rFonts w:ascii="Instrument Serif" w:hAnsi="Instrument Serif" w:cs="Amiri" w:eastAsia="Amiri"/>
                <w:b/>
                <w:i w:val="0"/>
                <w:color w:val="0F3D2E"/>
                <w:sz w:val="21"/>
                <w:lang w:val="en-US" w:bidi="ar-SA"/>
              </w:rPr>
              <w:t>ابدأ من نقطة ألم واضحة</w:t>
            </w:r>
          </w:p>
          <w:p>
            <w:pPr>
              <w:bidi/>
              <w:spacing w:before="0" w:after="0" w:line="276" w:lineRule="auto"/>
              <w:jc w:val="center"/>
            </w:pPr>
            <w:r>
              <w:rPr>
                <w:rFonts w:ascii="Inter Tight" w:hAnsi="Inter Tight" w:cs="Readex Pro" w:eastAsia="Readex Pro"/>
                <w:b w:val="0"/>
                <w:i w:val="0"/>
                <w:color w:val="17251F"/>
                <w:sz w:val="17"/>
                <w:lang w:val="en-US" w:bidi="ar-SA"/>
              </w:rPr>
              <w:t>اختيار خط إنتاج أو عملية ذات أثر سريع وقابل للقياس.</w:t>
            </w:r>
          </w:p>
        </w:tc>
      </w:tr>
    </w:tbl>
    <w:p>
      <w:pPr>
        <w:bidi/>
      </w:pPr>
      <w:r>
        <w:rPr>
          <w:rFonts w:cs="Readex Pro"/>
          <w:lang w:bidi="ar-SA"/>
        </w:rPr>
        <w:br w:type="page"/>
      </w:r>
    </w:p>
    <w:p>
      <w:pPr>
        <w:bidi/>
        <w:spacing w:before="80" w:after="40" w:line="240" w:lineRule="auto"/>
        <w:keepNext/>
      </w:pPr>
      <w:r>
        <w:rPr>
          <w:rFonts w:ascii="Instrument Serif" w:hAnsi="Instrument Serif" w:cs="Amiri" w:eastAsia="Amiri"/>
          <w:b/>
          <w:i w:val="0"/>
          <w:color w:val="0F3D2E"/>
          <w:sz w:val="40"/>
          <w:lang w:val="en-US" w:bidi="ar-SA"/>
        </w:rPr>
        <w:t>نتائج أعمال قابلة للقياس</w:t>
      </w:r>
    </w:p>
    <w:p>
      <w:pPr>
        <w:bidi/>
        <w:spacing w:before="0" w:after="160" w:line="240" w:lineRule="auto"/>
        <w:keepNext/>
      </w:pPr>
      <w:r>
        <w:rPr>
          <w:rFonts w:ascii="Inter Tight" w:hAnsi="Inter Tight" w:cs="Readex Pro" w:eastAsia="Readex Pro"/>
          <w:b/>
          <w:i w:val="0"/>
          <w:color w:val="1A4D5C"/>
          <w:sz w:val="21"/>
          <w:lang w:val="en-US" w:bidi="ar-SA"/>
        </w:rPr>
        <w:t>Measurable Business Outcomes</w:t>
      </w:r>
    </w:p>
    <w:p>
      <w:pPr>
        <w:bidi/>
        <w:spacing w:before="0" w:after="200"/>
        <w:pBdr>
          <w:bottom w:val="single" w:sz="10" w:space="2" w:color="C9A961"/>
        </w:pBdr>
      </w:pPr>
    </w:p>
    <w:p>
      <w:pPr>
        <w:bidi/>
        <w:spacing w:before="0" w:after="160" w:line="300" w:lineRule="auto"/>
      </w:pPr>
      <w:r>
        <w:rPr>
          <w:rFonts w:ascii="Inter Tight" w:hAnsi="Inter Tight" w:cs="Readex Pro" w:eastAsia="Readex Pro"/>
          <w:b w:val="0"/>
          <w:i w:val="0"/>
          <w:color w:val="17251F"/>
          <w:sz w:val="21"/>
          <w:lang w:val="en-US" w:bidi="ar-SA"/>
        </w:rPr>
        <w:t>لا تقتصر قيمة المنصة على عرض البيانات أو مراقبة العمليات، بل تتمثل في تحويل البيانات الصناعية إلى تحسينات تشغيلية ملموسة تنعكس مباشرة على أداء المصنع.</w:t>
      </w:r>
    </w:p>
    <w:tbl>
      <w:tblGrid>
        <w:gridCol w:w="3168"/>
        <w:gridCol w:w="792"/>
        <w:gridCol w:w="792"/>
        <w:gridCol w:w="792"/>
        <w:gridCol w:w="792"/>
        <w:gridCol w:w="792"/>
        <w:gridCol w:w="2232"/>
      </w:tblGrid>
      <w:tblPr>
        <w:tblW w:type="dxa" w:w="9360"/>
        <w:jc w:val="center"/>
        <w:tblLayout w:type="fixed"/>
        <w:tblLook w:firstColumn="1" w:firstRow="1" w:lastColumn="0" w:lastRow="0" w:noHBand="0" w:noVBand="1" w:val="04A0"/>
        <w:tblInd w:w="0" w:type="dxa"/>
      </w:tblPr>
      <w:tr>
        <w:tc>
          <w:tcPr>
            <w:tcW w:type="dxa" w:w="3168"/>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17"/>
                <w:lang w:val="en-US" w:bidi="ar-SA"/>
              </w:rPr>
              <w:t>مجال الأثر</w:t>
            </w:r>
          </w:p>
        </w:tc>
        <w:tc>
          <w:tcPr>
            <w:tcW w:type="dxa" w:w="79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17"/>
                <w:lang w:val="en-US" w:bidi="ar-SA"/>
              </w:rPr>
              <w:t>1</w:t>
            </w:r>
          </w:p>
        </w:tc>
        <w:tc>
          <w:tcPr>
            <w:tcW w:type="dxa" w:w="79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17"/>
                <w:lang w:val="en-US" w:bidi="ar-SA"/>
              </w:rPr>
              <w:t>2</w:t>
            </w:r>
          </w:p>
        </w:tc>
        <w:tc>
          <w:tcPr>
            <w:tcW w:type="dxa" w:w="79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17"/>
                <w:lang w:val="en-US" w:bidi="ar-SA"/>
              </w:rPr>
              <w:t>3</w:t>
            </w:r>
          </w:p>
        </w:tc>
        <w:tc>
          <w:tcPr>
            <w:tcW w:type="dxa" w:w="79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17"/>
                <w:lang w:val="en-US" w:bidi="ar-SA"/>
              </w:rPr>
              <w:t>4</w:t>
            </w:r>
          </w:p>
        </w:tc>
        <w:tc>
          <w:tcPr>
            <w:tcW w:type="dxa" w:w="79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17"/>
                <w:lang w:val="en-US" w:bidi="ar-SA"/>
              </w:rPr>
              <w:t>5</w:t>
            </w:r>
          </w:p>
        </w:tc>
        <w:tc>
          <w:tcPr>
            <w:tcW w:type="dxa" w:w="2232"/>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17"/>
                <w:lang w:val="en-US" w:bidi="ar-SA"/>
              </w:rPr>
              <w:t>مؤشر قياس مقترح</w:t>
            </w:r>
          </w:p>
        </w:tc>
      </w:tr>
      <w:tr>
        <w:tc>
          <w:tcPr>
            <w:tcW w:type="dxa" w:w="3168"/>
            <w:shd w:fill="F7F4EC"/>
            <w:tcMar>
              <w:top w:w="100" w:type="dxa"/>
              <w:start w:w="140" w:type="dxa"/>
              <w:bottom w:w="100" w:type="dxa"/>
              <w:end w:w="140" w:type="dxa"/>
            </w:tcMar>
            <w:vAlign w:val="center"/>
          </w:tcPr>
          <w:p>
            <w:pPr>
              <w:bidi/>
              <w:spacing w:before="0" w:after="0" w:line="252" w:lineRule="auto"/>
              <w:jc w:val="right"/>
            </w:pPr>
            <w:r>
              <w:rPr>
                <w:rFonts w:ascii="Inter Tight" w:hAnsi="Inter Tight" w:cs="Readex Pro" w:eastAsia="Readex Pro"/>
                <w:b w:val="0"/>
                <w:i w:val="0"/>
                <w:color w:val="17251F"/>
                <w:sz w:val="17"/>
                <w:lang w:val="en-US" w:bidi="ar-SA"/>
              </w:rPr>
              <w:t>رفع كفاءة المعدات OEE</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2232"/>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val="0"/>
                <w:i w:val="0"/>
                <w:color w:val="17251F"/>
                <w:sz w:val="16"/>
                <w:lang w:val="en-US" w:bidi="ar-SA"/>
              </w:rPr>
              <w:t>OEE، الفاقد، استغلال الأصول</w:t>
            </w:r>
          </w:p>
        </w:tc>
      </w:tr>
      <w:tr>
        <w:tc>
          <w:tcPr>
            <w:tcW w:type="dxa" w:w="3168"/>
            <w:shd w:fill="F7F4EC"/>
            <w:tcMar>
              <w:top w:w="100" w:type="dxa"/>
              <w:start w:w="140" w:type="dxa"/>
              <w:bottom w:w="100" w:type="dxa"/>
              <w:end w:w="140" w:type="dxa"/>
            </w:tcMar>
            <w:vAlign w:val="center"/>
          </w:tcPr>
          <w:p>
            <w:pPr>
              <w:bidi/>
              <w:spacing w:before="0" w:after="0" w:line="252" w:lineRule="auto"/>
              <w:jc w:val="right"/>
            </w:pPr>
            <w:r>
              <w:rPr>
                <w:rFonts w:ascii="Inter Tight" w:hAnsi="Inter Tight" w:cs="Readex Pro" w:eastAsia="Readex Pro"/>
                <w:b w:val="0"/>
                <w:i w:val="0"/>
                <w:color w:val="17251F"/>
                <w:sz w:val="17"/>
                <w:lang w:val="en-US" w:bidi="ar-SA"/>
              </w:rPr>
              <w:t>تقليل التوقفات غير المخططة</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2232"/>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val="0"/>
                <w:i w:val="0"/>
                <w:color w:val="17251F"/>
                <w:sz w:val="16"/>
                <w:lang w:val="en-US" w:bidi="ar-SA"/>
              </w:rPr>
              <w:t>MTBF / MTTR / توقفات الخط</w:t>
            </w:r>
          </w:p>
        </w:tc>
      </w:tr>
      <w:tr>
        <w:tc>
          <w:tcPr>
            <w:tcW w:type="dxa" w:w="3168"/>
            <w:shd w:fill="F7F4EC"/>
            <w:tcMar>
              <w:top w:w="100" w:type="dxa"/>
              <w:start w:w="140" w:type="dxa"/>
              <w:bottom w:w="100" w:type="dxa"/>
              <w:end w:w="140" w:type="dxa"/>
            </w:tcMar>
            <w:vAlign w:val="center"/>
          </w:tcPr>
          <w:p>
            <w:pPr>
              <w:bidi/>
              <w:spacing w:before="0" w:after="0" w:line="252" w:lineRule="auto"/>
              <w:jc w:val="right"/>
            </w:pPr>
            <w:r>
              <w:rPr>
                <w:rFonts w:ascii="Inter Tight" w:hAnsi="Inter Tight" w:cs="Readex Pro" w:eastAsia="Readex Pro"/>
                <w:b w:val="0"/>
                <w:i w:val="0"/>
                <w:color w:val="17251F"/>
                <w:sz w:val="17"/>
                <w:lang w:val="en-US" w:bidi="ar-SA"/>
              </w:rPr>
              <w:t>زيادة الإنتاجية</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E8EFEA"/>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p>
        </w:tc>
        <w:tc>
          <w:tcPr>
            <w:tcW w:type="dxa" w:w="2232"/>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val="0"/>
                <w:i w:val="0"/>
                <w:color w:val="17251F"/>
                <w:sz w:val="16"/>
                <w:lang w:val="en-US" w:bidi="ar-SA"/>
              </w:rPr>
              <w:t>Throughput، زمن الدورة</w:t>
            </w:r>
          </w:p>
        </w:tc>
      </w:tr>
      <w:tr>
        <w:tc>
          <w:tcPr>
            <w:tcW w:type="dxa" w:w="3168"/>
            <w:shd w:fill="F7F4EC"/>
            <w:tcMar>
              <w:top w:w="100" w:type="dxa"/>
              <w:start w:w="140" w:type="dxa"/>
              <w:bottom w:w="100" w:type="dxa"/>
              <w:end w:w="140" w:type="dxa"/>
            </w:tcMar>
            <w:vAlign w:val="center"/>
          </w:tcPr>
          <w:p>
            <w:pPr>
              <w:bidi/>
              <w:spacing w:before="0" w:after="0" w:line="252" w:lineRule="auto"/>
              <w:jc w:val="right"/>
            </w:pPr>
            <w:r>
              <w:rPr>
                <w:rFonts w:ascii="Inter Tight" w:hAnsi="Inter Tight" w:cs="Readex Pro" w:eastAsia="Readex Pro"/>
                <w:b w:val="0"/>
                <w:i w:val="0"/>
                <w:color w:val="17251F"/>
                <w:sz w:val="17"/>
                <w:lang w:val="en-US" w:bidi="ar-SA"/>
              </w:rPr>
              <w:t>تحسين جودة المنتجات</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E8EFEA"/>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p>
        </w:tc>
        <w:tc>
          <w:tcPr>
            <w:tcW w:type="dxa" w:w="2232"/>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val="0"/>
                <w:i w:val="0"/>
                <w:color w:val="17251F"/>
                <w:sz w:val="16"/>
                <w:lang w:val="en-US" w:bidi="ar-SA"/>
              </w:rPr>
              <w:t>FPY، العيوب، التتبع</w:t>
            </w:r>
          </w:p>
        </w:tc>
      </w:tr>
      <w:tr>
        <w:tc>
          <w:tcPr>
            <w:tcW w:type="dxa" w:w="3168"/>
            <w:shd w:fill="F7F4EC"/>
            <w:tcMar>
              <w:top w:w="100" w:type="dxa"/>
              <w:start w:w="140" w:type="dxa"/>
              <w:bottom w:w="100" w:type="dxa"/>
              <w:end w:w="140" w:type="dxa"/>
            </w:tcMar>
            <w:vAlign w:val="center"/>
          </w:tcPr>
          <w:p>
            <w:pPr>
              <w:bidi/>
              <w:spacing w:before="0" w:after="0" w:line="252" w:lineRule="auto"/>
              <w:jc w:val="right"/>
            </w:pPr>
            <w:r>
              <w:rPr>
                <w:rFonts w:ascii="Inter Tight" w:hAnsi="Inter Tight" w:cs="Readex Pro" w:eastAsia="Readex Pro"/>
                <w:b w:val="0"/>
                <w:i w:val="0"/>
                <w:color w:val="17251F"/>
                <w:sz w:val="17"/>
                <w:lang w:val="en-US" w:bidi="ar-SA"/>
              </w:rPr>
              <w:t>رفع كفاءة الطاقة والموارد</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E8EFEA"/>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p>
        </w:tc>
        <w:tc>
          <w:tcPr>
            <w:tcW w:type="dxa" w:w="2232"/>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val="0"/>
                <w:i w:val="0"/>
                <w:color w:val="17251F"/>
                <w:sz w:val="16"/>
                <w:lang w:val="en-US" w:bidi="ar-SA"/>
              </w:rPr>
              <w:t>استهلاك الطاقة لكل وحدة</w:t>
            </w:r>
          </w:p>
        </w:tc>
      </w:tr>
      <w:tr>
        <w:tc>
          <w:tcPr>
            <w:tcW w:type="dxa" w:w="3168"/>
            <w:shd w:fill="F7F4EC"/>
            <w:tcMar>
              <w:top w:w="100" w:type="dxa"/>
              <w:start w:w="140" w:type="dxa"/>
              <w:bottom w:w="100" w:type="dxa"/>
              <w:end w:w="140" w:type="dxa"/>
            </w:tcMar>
            <w:vAlign w:val="center"/>
          </w:tcPr>
          <w:p>
            <w:pPr>
              <w:bidi/>
              <w:spacing w:before="0" w:after="0" w:line="252" w:lineRule="auto"/>
              <w:jc w:val="right"/>
            </w:pPr>
            <w:r>
              <w:rPr>
                <w:rFonts w:ascii="Inter Tight" w:hAnsi="Inter Tight" w:cs="Readex Pro" w:eastAsia="Readex Pro"/>
                <w:b w:val="0"/>
                <w:i w:val="0"/>
                <w:color w:val="17251F"/>
                <w:sz w:val="17"/>
                <w:lang w:val="en-US" w:bidi="ar-SA"/>
              </w:rPr>
              <w:t>تسريع اتخاذ القرار</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2232"/>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val="0"/>
                <w:i w:val="0"/>
                <w:color w:val="17251F"/>
                <w:sz w:val="16"/>
                <w:lang w:val="en-US" w:bidi="ar-SA"/>
              </w:rPr>
              <w:t>زمن الوصول للمعلومة</w:t>
            </w:r>
          </w:p>
        </w:tc>
      </w:tr>
      <w:tr>
        <w:tc>
          <w:tcPr>
            <w:tcW w:type="dxa" w:w="3168"/>
            <w:shd w:fill="F7F4EC"/>
            <w:tcMar>
              <w:top w:w="100" w:type="dxa"/>
              <w:start w:w="140" w:type="dxa"/>
              <w:bottom w:w="100" w:type="dxa"/>
              <w:end w:w="140" w:type="dxa"/>
            </w:tcMar>
            <w:vAlign w:val="center"/>
          </w:tcPr>
          <w:p>
            <w:pPr>
              <w:bidi/>
              <w:spacing w:before="0" w:after="0" w:line="252" w:lineRule="auto"/>
              <w:jc w:val="right"/>
            </w:pPr>
            <w:r>
              <w:rPr>
                <w:rFonts w:ascii="Inter Tight" w:hAnsi="Inter Tight" w:cs="Readex Pro" w:eastAsia="Readex Pro"/>
                <w:b w:val="0"/>
                <w:i w:val="0"/>
                <w:color w:val="17251F"/>
                <w:sz w:val="17"/>
                <w:lang w:val="en-US" w:bidi="ar-SA"/>
              </w:rPr>
              <w:t>تعزيز التحسين المستمر</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2D6B4F"/>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r>
              <w:rPr>
                <w:rFonts w:ascii="Inter Tight" w:hAnsi="Inter Tight" w:cs="Readex Pro" w:eastAsia="Readex Pro"/>
                <w:b/>
                <w:i w:val="0"/>
                <w:color w:val="FFFFFF"/>
                <w:sz w:val="17"/>
                <w:lang w:val="en-US" w:bidi="ar-SA"/>
              </w:rPr>
              <w:t>✓</w:t>
            </w:r>
          </w:p>
        </w:tc>
        <w:tc>
          <w:tcPr>
            <w:tcW w:type="dxa" w:w="792"/>
            <w:shd w:fill="E8EFEA"/>
            <w:tcMar>
              <w:top w:w="100" w:type="dxa"/>
              <w:start w:w="140" w:type="dxa"/>
              <w:bottom w:w="100" w:type="dxa"/>
              <w:end w:w="140" w:type="dxa"/>
            </w:tcMar>
            <w:vAlign w:val="center"/>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bidi/>
              <w:spacing w:before="0" w:after="0" w:line="252" w:lineRule="auto"/>
              <w:jc w:val="center"/>
            </w:pPr>
          </w:p>
        </w:tc>
        <w:tc>
          <w:tcPr>
            <w:tcW w:type="dxa" w:w="2232"/>
            <w:shd w:fill="F7F4E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val="0"/>
                <w:i w:val="0"/>
                <w:color w:val="17251F"/>
                <w:sz w:val="16"/>
                <w:lang w:val="en-US" w:bidi="ar-SA"/>
              </w:rPr>
              <w:t>عدد فرص التحسين المغلقة</w:t>
            </w:r>
          </w:p>
        </w:tc>
      </w:tr>
    </w:tbl>
    <w:p>
      <w:pPr>
        <w:bidi/>
        <w:spacing w:before="120" w:after="240" w:line="276" w:lineRule="auto"/>
        <w:jc w:val="center"/>
      </w:pPr>
      <w:r>
        <w:rPr>
          <w:rFonts w:ascii="Inter Tight" w:hAnsi="Inter Tight" w:cs="Readex Pro" w:eastAsia="Readex Pro"/>
          <w:b w:val="0"/>
          <w:i/>
          <w:color w:val="5F665F"/>
          <w:sz w:val="17"/>
          <w:lang w:val="en-US" w:bidi="ar-SA"/>
        </w:rPr>
        <w:t>المخطط أعلاه يوضح مستوى الأثر المتوقع حسب مجالات القيمة المذكورة في الوثيقة، ويُستخدم كإطار قياس تنفيذي وليس كأرقام أداء فعلية قبل مرحلة القياس الميداني.</w:t>
      </w:r>
    </w:p>
    <w:tbl>
      <w:tblGrid>
        <w:gridCol w:w="4680"/>
        <w:gridCol w:w="4680"/>
      </w:tblGrid>
      <w:tblPr>
        <w:tblW w:type="dxa" w:w="9360"/>
        <w:jc w:val="center"/>
        <w:tblLayout w:type="fixed"/>
        <w:tblLook w:firstColumn="1" w:firstRow="1" w:lastColumn="0" w:lastRow="0" w:noHBand="0" w:noVBand="1" w:val="04A0"/>
        <w:tblInd w:w="0" w:type="dxa"/>
      </w:tblPr>
      <w:tr>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7F0F2"/>
            <w:tcMar>
              <w:top w:w="150" w:type="dxa"/>
              <w:start w:w="170" w:type="dxa"/>
              <w:bottom w:w="150" w:type="dxa"/>
              <w:end w:w="170" w:type="dxa"/>
            </w:tcMar>
          </w:tcPr>
          <w:p>
            <w:pPr>
              <w:bidi/>
              <w:spacing w:before="0" w:after="80" w:line="240" w:lineRule="auto"/>
              <w:jc w:val="center"/>
            </w:pPr>
            <w:r>
              <w:rPr>
                <w:rFonts w:ascii="Instrument Serif" w:hAnsi="Instrument Serif" w:cs="Amiri" w:eastAsia="Amiri"/>
                <w:b/>
                <w:i w:val="0"/>
                <w:color w:val="0F3D2E"/>
                <w:sz w:val="22"/>
                <w:lang w:val="en-US" w:bidi="ar-SA"/>
              </w:rPr>
              <w:t>من البيانات إلى القرار</w:t>
            </w:r>
          </w:p>
          <w:p>
            <w:pPr>
              <w:bidi/>
              <w:spacing w:before="0" w:after="0" w:line="281" w:lineRule="auto"/>
              <w:jc w:val="center"/>
            </w:pPr>
            <w:r>
              <w:rPr>
                <w:rFonts w:ascii="Inter Tight" w:hAnsi="Inter Tight" w:cs="Readex Pro" w:eastAsia="Readex Pro"/>
                <w:b w:val="0"/>
                <w:i w:val="0"/>
                <w:color w:val="17251F"/>
                <w:sz w:val="17"/>
                <w:lang w:val="en-US" w:bidi="ar-SA"/>
              </w:rPr>
              <w:t>لوحات تنفيذية وتحليلات ذكية توفر رؤية شاملة لجميع مستويات التشغيل.</w:t>
            </w:r>
          </w:p>
        </w:tc>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4ECD2"/>
            <w:tcMar>
              <w:top w:w="150" w:type="dxa"/>
              <w:start w:w="170" w:type="dxa"/>
              <w:bottom w:w="150" w:type="dxa"/>
              <w:end w:w="170" w:type="dxa"/>
            </w:tcMar>
          </w:tcPr>
          <w:p>
            <w:pPr>
              <w:bidi/>
              <w:spacing w:before="0" w:after="80" w:line="240" w:lineRule="auto"/>
              <w:jc w:val="center"/>
            </w:pPr>
            <w:r>
              <w:rPr>
                <w:rFonts w:ascii="Instrument Serif" w:hAnsi="Instrument Serif" w:cs="Amiri" w:eastAsia="Amiri"/>
                <w:b/>
                <w:i w:val="0"/>
                <w:color w:val="0F3D2E"/>
                <w:sz w:val="22"/>
                <w:lang w:val="en-US" w:bidi="ar-SA"/>
              </w:rPr>
              <w:t>من التوقف إلى التنبؤ</w:t>
            </w:r>
          </w:p>
          <w:p>
            <w:pPr>
              <w:bidi/>
              <w:spacing w:before="0" w:after="0" w:line="281" w:lineRule="auto"/>
              <w:jc w:val="center"/>
            </w:pPr>
            <w:r>
              <w:rPr>
                <w:rFonts w:ascii="Inter Tight" w:hAnsi="Inter Tight" w:cs="Readex Pro" w:eastAsia="Readex Pro"/>
                <w:b w:val="0"/>
                <w:i w:val="0"/>
                <w:color w:val="17251F"/>
                <w:sz w:val="17"/>
                <w:lang w:val="en-US" w:bidi="ar-SA"/>
              </w:rPr>
              <w:t>اكتشاف مبكر للأعطال ومراقبة حالة المعدات لتقليل المخاطر التشغيلية.</w:t>
            </w:r>
          </w:p>
        </w:tc>
      </w:tr>
      <w:tr>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E8EFEA"/>
            <w:tcMar>
              <w:top w:w="150" w:type="dxa"/>
              <w:start w:w="170" w:type="dxa"/>
              <w:bottom w:w="150" w:type="dxa"/>
              <w:end w:w="170" w:type="dxa"/>
            </w:tcMar>
          </w:tcPr>
          <w:p>
            <w:pPr>
              <w:bidi/>
              <w:spacing w:before="0" w:after="80" w:line="240" w:lineRule="auto"/>
              <w:jc w:val="center"/>
            </w:pPr>
            <w:r>
              <w:rPr>
                <w:rFonts w:ascii="Instrument Serif" w:hAnsi="Instrument Serif" w:cs="Amiri" w:eastAsia="Amiri"/>
                <w:b/>
                <w:i w:val="0"/>
                <w:color w:val="0F3D2E"/>
                <w:sz w:val="22"/>
                <w:lang w:val="en-US" w:bidi="ar-SA"/>
              </w:rPr>
              <w:t>من العزل إلى التكامل</w:t>
            </w:r>
          </w:p>
          <w:p>
            <w:pPr>
              <w:bidi/>
              <w:spacing w:before="0" w:after="0" w:line="281" w:lineRule="auto"/>
              <w:jc w:val="center"/>
            </w:pPr>
            <w:r>
              <w:rPr>
                <w:rFonts w:ascii="Inter Tight" w:hAnsi="Inter Tight" w:cs="Readex Pro" w:eastAsia="Readex Pro"/>
                <w:b w:val="0"/>
                <w:i w:val="0"/>
                <w:color w:val="17251F"/>
                <w:sz w:val="17"/>
                <w:lang w:val="en-US" w:bidi="ar-SA"/>
              </w:rPr>
              <w:t>ربط العمليات والأنظمة في منصة واحدة مع الحفاظ على الاستثمارات الحالية.</w:t>
            </w:r>
          </w:p>
        </w:tc>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50" w:type="dxa"/>
              <w:start w:w="170" w:type="dxa"/>
              <w:bottom w:w="150" w:type="dxa"/>
              <w:end w:w="170" w:type="dxa"/>
            </w:tcMar>
          </w:tcPr>
          <w:p>
            <w:pPr>
              <w:bidi/>
              <w:spacing w:before="0" w:after="80" w:line="240" w:lineRule="auto"/>
              <w:jc w:val="center"/>
            </w:pPr>
            <w:r>
              <w:rPr>
                <w:rFonts w:ascii="Instrument Serif" w:hAnsi="Instrument Serif" w:cs="Amiri" w:eastAsia="Amiri"/>
                <w:b/>
                <w:i w:val="0"/>
                <w:color w:val="0F3D2E"/>
                <w:sz w:val="22"/>
                <w:lang w:val="en-US" w:bidi="ar-SA"/>
              </w:rPr>
              <w:t>من التحسين الجزئي إلى المستدام</w:t>
            </w:r>
          </w:p>
          <w:p>
            <w:pPr>
              <w:bidi/>
              <w:spacing w:before="0" w:after="0" w:line="281" w:lineRule="auto"/>
              <w:jc w:val="center"/>
            </w:pPr>
            <w:r>
              <w:rPr>
                <w:rFonts w:ascii="Inter Tight" w:hAnsi="Inter Tight" w:cs="Readex Pro" w:eastAsia="Readex Pro"/>
                <w:b w:val="0"/>
                <w:i w:val="0"/>
                <w:color w:val="17251F"/>
                <w:sz w:val="17"/>
                <w:lang w:val="en-US" w:bidi="ar-SA"/>
              </w:rPr>
              <w:t>رؤى تشغيلية دقيقة تدعم التطوير المستمر وزيادة الإنتاجية.</w:t>
            </w:r>
          </w:p>
        </w:tc>
      </w:tr>
    </w:tbl>
    <w:p>
      <w:pPr>
        <w:bidi/>
      </w:pPr>
      <w:r>
        <w:rPr>
          <w:rFonts w:cs="Readex Pro"/>
          <w:lang w:bidi="ar-SA"/>
        </w:rPr>
        <w:br w:type="page"/>
      </w:r>
    </w:p>
    <w:p>
      <w:pPr>
        <w:bidi/>
        <w:spacing w:before="80" w:after="40" w:line="240" w:lineRule="auto"/>
        <w:keepNext/>
      </w:pPr>
      <w:r>
        <w:rPr>
          <w:rFonts w:ascii="Instrument Serif" w:hAnsi="Instrument Serif" w:cs="Amiri" w:eastAsia="Amiri"/>
          <w:b/>
          <w:i w:val="0"/>
          <w:color w:val="0F3D2E"/>
          <w:sz w:val="40"/>
          <w:lang w:val="en-US" w:bidi="ar-SA"/>
        </w:rPr>
        <w:t>مصممة لتتكامل مع مصنعك... لا لتستبدله</w:t>
      </w:r>
    </w:p>
    <w:p>
      <w:pPr>
        <w:bidi/>
        <w:spacing w:before="0" w:after="160" w:line="240" w:lineRule="auto"/>
        <w:keepNext/>
      </w:pPr>
      <w:r>
        <w:rPr>
          <w:rFonts w:ascii="Inter Tight" w:hAnsi="Inter Tight" w:cs="Readex Pro" w:eastAsia="Readex Pro"/>
          <w:b/>
          <w:i w:val="0"/>
          <w:color w:val="1A4D5C"/>
          <w:sz w:val="21"/>
          <w:lang w:val="en-US" w:bidi="ar-SA"/>
        </w:rPr>
        <w:t>Built to Integrate, Scale, and Protect</w:t>
      </w:r>
    </w:p>
    <w:p>
      <w:pPr>
        <w:bidi/>
        <w:spacing w:before="0" w:after="200"/>
        <w:pBdr>
          <w:bottom w:val="single" w:sz="10" w:space="2" w:color="C9A961"/>
        </w:pBdr>
      </w:pPr>
    </w:p>
    <w:p>
      <w:pPr>
        <w:bidi/>
        <w:spacing w:before="0" w:after="200" w:line="300" w:lineRule="auto"/>
      </w:pPr>
      <w:r>
        <w:rPr>
          <w:rFonts w:ascii="Inter Tight" w:hAnsi="Inter Tight" w:cs="Readex Pro" w:eastAsia="Readex Pro"/>
          <w:b w:val="0"/>
          <w:i w:val="0"/>
          <w:color w:val="17251F"/>
          <w:sz w:val="21"/>
          <w:lang w:val="en-US" w:bidi="ar-SA"/>
        </w:rPr>
        <w:t>ندرك أن كل مصنع يمتلك بيئة تشغيلية وأنظمة مختلفة تم تطويرها واستثمارها على مدار سنوات، لذلك صُممت هذه المنصة لتتكامل بسلاسة مع البنية الحالية للمصنع دون الحاجة إلى استبدال الأنظمة أو إيقاف الإنتاج.</w:t>
      </w:r>
    </w:p>
    <w:tbl>
      <w:tblGrid>
        <w:gridCol w:w="4680"/>
        <w:gridCol w:w="4680"/>
      </w:tblGrid>
      <w:tblPr>
        <w:tblW w:type="dxa" w:w="9360"/>
        <w:jc w:val="center"/>
        <w:tblLayout w:type="fixed"/>
        <w:tblLook w:firstColumn="1" w:firstRow="1" w:lastColumn="0" w:lastRow="0" w:noHBand="0" w:noVBand="1" w:val="04A0"/>
        <w:tblInd w:w="0" w:type="dxa"/>
      </w:tblPr>
      <w:tr>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35" w:type="dxa"/>
              <w:start w:w="160" w:type="dxa"/>
              <w:bottom w:w="135" w:type="dxa"/>
              <w:end w:w="160" w:type="dxa"/>
            </w:tcMar>
          </w:tcPr>
          <w:p>
            <w:pPr>
              <w:bidi/>
              <w:spacing w:before="0" w:after="60" w:line="240" w:lineRule="auto"/>
              <w:jc w:val="center"/>
            </w:pPr>
            <w:r>
              <w:rPr>
                <w:rFonts w:ascii="Instrument Serif" w:hAnsi="Instrument Serif" w:cs="Amiri" w:eastAsia="Amiri"/>
                <w:b/>
                <w:i w:val="0"/>
                <w:color w:val="0F3D2E"/>
                <w:sz w:val="21"/>
                <w:lang w:val="en-US" w:bidi="ar-SA"/>
              </w:rPr>
              <w:t>تكامل سلس</w:t>
            </w:r>
          </w:p>
          <w:p>
            <w:pPr>
              <w:bidi/>
              <w:spacing w:before="0" w:after="0" w:line="276" w:lineRule="auto"/>
              <w:jc w:val="center"/>
            </w:pPr>
            <w:r>
              <w:rPr>
                <w:rFonts w:ascii="Inter Tight" w:hAnsi="Inter Tight" w:cs="Readex Pro" w:eastAsia="Readex Pro"/>
                <w:b w:val="0"/>
                <w:i w:val="0"/>
                <w:color w:val="17251F"/>
                <w:sz w:val="17"/>
                <w:lang w:val="en-US" w:bidi="ar-SA"/>
              </w:rPr>
              <w:t>مع ERP وSCADA وMES وقواعد البيانات والأنظمة المؤسسية المختلفة.</w:t>
            </w:r>
          </w:p>
        </w:tc>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35" w:type="dxa"/>
              <w:start w:w="160" w:type="dxa"/>
              <w:bottom w:w="135" w:type="dxa"/>
              <w:end w:w="160" w:type="dxa"/>
            </w:tcMar>
          </w:tcPr>
          <w:p>
            <w:pPr>
              <w:bidi/>
              <w:spacing w:before="0" w:after="60" w:line="240" w:lineRule="auto"/>
              <w:jc w:val="center"/>
            </w:pPr>
            <w:r>
              <w:rPr>
                <w:rFonts w:ascii="Instrument Serif" w:hAnsi="Instrument Serif" w:cs="Amiri" w:eastAsia="Amiri"/>
                <w:b/>
                <w:i w:val="0"/>
                <w:color w:val="0F3D2E"/>
                <w:sz w:val="21"/>
                <w:lang w:val="en-US" w:bidi="ar-SA"/>
              </w:rPr>
              <w:t>بروتوكولات واسعة</w:t>
            </w:r>
          </w:p>
          <w:p>
            <w:pPr>
              <w:bidi/>
              <w:spacing w:before="0" w:after="0" w:line="276" w:lineRule="auto"/>
              <w:jc w:val="center"/>
            </w:pPr>
            <w:r>
              <w:rPr>
                <w:rFonts w:ascii="Inter Tight" w:hAnsi="Inter Tight" w:cs="Readex Pro" w:eastAsia="Readex Pro"/>
                <w:b w:val="0"/>
                <w:i w:val="0"/>
                <w:color w:val="17251F"/>
                <w:sz w:val="17"/>
                <w:lang w:val="en-US" w:bidi="ar-SA"/>
              </w:rPr>
              <w:t>دعم OPC UA وMQTT وModbus وEthernet/IP وProfinet وREST APIs.</w:t>
            </w:r>
          </w:p>
        </w:tc>
      </w:tr>
      <w:tr>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35" w:type="dxa"/>
              <w:start w:w="160" w:type="dxa"/>
              <w:bottom w:w="135" w:type="dxa"/>
              <w:end w:w="160" w:type="dxa"/>
            </w:tcMar>
          </w:tcPr>
          <w:p>
            <w:pPr>
              <w:bidi/>
              <w:spacing w:before="0" w:after="60" w:line="240" w:lineRule="auto"/>
              <w:jc w:val="center"/>
            </w:pPr>
            <w:r>
              <w:rPr>
                <w:rFonts w:ascii="Instrument Serif" w:hAnsi="Instrument Serif" w:cs="Amiri" w:eastAsia="Amiri"/>
                <w:b/>
                <w:i w:val="0"/>
                <w:color w:val="0F3D2E"/>
                <w:sz w:val="21"/>
                <w:lang w:val="en-US" w:bidi="ar-SA"/>
              </w:rPr>
              <w:t>قابلية توسع</w:t>
            </w:r>
          </w:p>
          <w:p>
            <w:pPr>
              <w:bidi/>
              <w:spacing w:before="0" w:after="0" w:line="276" w:lineRule="auto"/>
              <w:jc w:val="center"/>
            </w:pPr>
            <w:r>
              <w:rPr>
                <w:rFonts w:ascii="Inter Tight" w:hAnsi="Inter Tight" w:cs="Readex Pro" w:eastAsia="Readex Pro"/>
                <w:b w:val="0"/>
                <w:i w:val="0"/>
                <w:color w:val="17251F"/>
                <w:sz w:val="17"/>
                <w:lang w:val="en-US" w:bidi="ar-SA"/>
              </w:rPr>
              <w:t>تبدأ من خط إنتاج واحد وتمتد إلى مصانع متعددة دون إعادة بناء النظام.</w:t>
            </w:r>
          </w:p>
        </w:tc>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35" w:type="dxa"/>
              <w:start w:w="160" w:type="dxa"/>
              <w:bottom w:w="135" w:type="dxa"/>
              <w:end w:w="160" w:type="dxa"/>
            </w:tcMar>
          </w:tcPr>
          <w:p>
            <w:pPr>
              <w:bidi/>
              <w:spacing w:before="0" w:after="60" w:line="240" w:lineRule="auto"/>
              <w:jc w:val="center"/>
            </w:pPr>
            <w:r>
              <w:rPr>
                <w:rFonts w:ascii="Instrument Serif" w:hAnsi="Instrument Serif" w:cs="Amiri" w:eastAsia="Amiri"/>
                <w:b/>
                <w:i w:val="0"/>
                <w:color w:val="0F3D2E"/>
                <w:sz w:val="21"/>
                <w:lang w:val="en-US" w:bidi="ar-SA"/>
              </w:rPr>
              <w:t>أمن سيبراني صناعي</w:t>
            </w:r>
          </w:p>
          <w:p>
            <w:pPr>
              <w:bidi/>
              <w:spacing w:before="0" w:after="0" w:line="276" w:lineRule="auto"/>
              <w:jc w:val="center"/>
            </w:pPr>
            <w:r>
              <w:rPr>
                <w:rFonts w:ascii="Inter Tight" w:hAnsi="Inter Tight" w:cs="Readex Pro" w:eastAsia="Readex Pro"/>
                <w:b w:val="0"/>
                <w:i w:val="0"/>
                <w:color w:val="17251F"/>
                <w:sz w:val="17"/>
                <w:lang w:val="en-US" w:bidi="ar-SA"/>
              </w:rPr>
              <w:t>حماية البيانات واستمرارية التشغيل والموثوقية عبر جميع مكونات المنصة.</w:t>
            </w:r>
          </w:p>
        </w:tc>
      </w:tr>
      <w:tr>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35" w:type="dxa"/>
              <w:start w:w="160" w:type="dxa"/>
              <w:bottom w:w="135" w:type="dxa"/>
              <w:end w:w="160" w:type="dxa"/>
            </w:tcMar>
          </w:tcPr>
          <w:p>
            <w:pPr>
              <w:bidi/>
              <w:spacing w:before="0" w:after="60" w:line="240" w:lineRule="auto"/>
              <w:jc w:val="center"/>
            </w:pPr>
            <w:r>
              <w:rPr>
                <w:rFonts w:ascii="Instrument Serif" w:hAnsi="Instrument Serif" w:cs="Amiri" w:eastAsia="Amiri"/>
                <w:b/>
                <w:i w:val="0"/>
                <w:color w:val="0F3D2E"/>
                <w:sz w:val="21"/>
                <w:lang w:val="en-US" w:bidi="ar-SA"/>
              </w:rPr>
              <w:t>خيارات نشر متعددة</w:t>
            </w:r>
          </w:p>
          <w:p>
            <w:pPr>
              <w:bidi/>
              <w:spacing w:before="0" w:after="0" w:line="276" w:lineRule="auto"/>
              <w:jc w:val="center"/>
            </w:pPr>
            <w:r>
              <w:rPr>
                <w:rFonts w:ascii="Inter Tight" w:hAnsi="Inter Tight" w:cs="Readex Pro" w:eastAsia="Readex Pro"/>
                <w:b w:val="0"/>
                <w:i w:val="0"/>
                <w:color w:val="17251F"/>
                <w:sz w:val="17"/>
                <w:lang w:val="en-US" w:bidi="ar-SA"/>
              </w:rPr>
              <w:t>تشغيل محلي، سحابي، أو هجين وفق احتياجات المنشأة.</w:t>
            </w:r>
          </w:p>
        </w:tc>
        <w:tc>
          <w:tcPr>
            <w:tcW w:type="dxa" w:w="468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35" w:type="dxa"/>
              <w:start w:w="160" w:type="dxa"/>
              <w:bottom w:w="135" w:type="dxa"/>
              <w:end w:w="160" w:type="dxa"/>
            </w:tcMar>
          </w:tcPr>
          <w:p>
            <w:pPr>
              <w:bidi/>
              <w:spacing w:before="0" w:after="60" w:line="240" w:lineRule="auto"/>
              <w:jc w:val="center"/>
            </w:pPr>
            <w:r>
              <w:rPr>
                <w:rFonts w:ascii="Instrument Serif" w:hAnsi="Instrument Serif" w:cs="Amiri" w:eastAsia="Amiri"/>
                <w:b/>
                <w:i w:val="0"/>
                <w:color w:val="0F3D2E"/>
                <w:sz w:val="21"/>
                <w:lang w:val="en-US" w:bidi="ar-SA"/>
              </w:rPr>
              <w:t>منصة مفتوحة</w:t>
            </w:r>
          </w:p>
          <w:p>
            <w:pPr>
              <w:bidi/>
              <w:spacing w:before="0" w:after="0" w:line="276" w:lineRule="auto"/>
              <w:jc w:val="center"/>
            </w:pPr>
            <w:r>
              <w:rPr>
                <w:rFonts w:ascii="Inter Tight" w:hAnsi="Inter Tight" w:cs="Readex Pro" w:eastAsia="Readex Pro"/>
                <w:b w:val="0"/>
                <w:i w:val="0"/>
                <w:color w:val="17251F"/>
                <w:sz w:val="17"/>
                <w:lang w:val="en-US" w:bidi="ar-SA"/>
              </w:rPr>
              <w:t>تتيح التكامل مع التطبيقات الحالية والمستقبلية وتحافظ على استثماراتك التقنية.</w:t>
            </w:r>
          </w:p>
        </w:tc>
      </w:tr>
    </w:tbl>
    <w:p>
      <w:pPr>
        <w:bidi/>
        <w:spacing w:before="240" w:after="120" w:line="240" w:lineRule="auto"/>
        <w:keepNext/>
      </w:pPr>
      <w:r>
        <w:rPr>
          <w:rFonts w:ascii="Instrument Serif" w:hAnsi="Instrument Serif" w:cs="Amiri" w:eastAsia="Amiri"/>
          <w:b/>
          <w:i w:val="0"/>
          <w:color w:val="0F3D2E"/>
          <w:sz w:val="28"/>
          <w:lang w:val="en-US" w:bidi="ar-SA"/>
        </w:rPr>
        <w:t>خيارات النشر</w:t>
      </w:r>
    </w:p>
    <w:tbl>
      <w:tblGrid>
        <w:gridCol w:w="3119"/>
        <w:gridCol w:w="3120"/>
        <w:gridCol w:w="3120"/>
      </w:tblGrid>
      <w:tblPr>
        <w:tblW w:type="dxa" w:w="9359"/>
        <w:jc w:val="center"/>
        <w:tblLayout w:type="fixed"/>
        <w:tblLook w:firstColumn="1" w:firstRow="1" w:lastColumn="0" w:lastRow="0" w:noHBand="0" w:noVBand="1" w:val="04A0"/>
        <w:tblInd w:w="0" w:type="dxa"/>
      </w:tblPr>
      <w:tr>
        <w:tc>
          <w:tcPr>
            <w:tcW w:type="dxa" w:w="3119"/>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0F3D2E"/>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21"/>
                <w:lang w:val="en-US" w:bidi="ar-SA"/>
              </w:rPr>
              <w:t>On-Premises</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1A4D5C"/>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FFFFFF"/>
                <w:sz w:val="21"/>
                <w:lang w:val="en-US" w:bidi="ar-SA"/>
              </w:rPr>
              <w:t>Cloud</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C9A961"/>
            <w:tcMar>
              <w:top w:w="100" w:type="dxa"/>
              <w:start w:w="140" w:type="dxa"/>
              <w:bottom w:w="100" w:type="dxa"/>
              <w:end w:w="140" w:type="dxa"/>
            </w:tcMar>
            <w:vAlign w:val="center"/>
          </w:tcPr>
          <w:p>
            <w:pPr>
              <w:bidi/>
              <w:spacing w:before="0" w:after="0" w:line="252" w:lineRule="auto"/>
              <w:jc w:val="center"/>
            </w:pPr>
            <w:r>
              <w:rPr>
                <w:rFonts w:ascii="Inter Tight" w:hAnsi="Inter Tight" w:cs="Readex Pro" w:eastAsia="Readex Pro"/>
                <w:b/>
                <w:i w:val="0"/>
                <w:color w:val="17251F"/>
                <w:sz w:val="21"/>
                <w:lang w:val="en-US" w:bidi="ar-SA"/>
              </w:rPr>
              <w:t>Hybrid</w:t>
            </w:r>
          </w:p>
        </w:tc>
      </w:tr>
      <w:tr>
        <w:tc>
          <w:tcPr>
            <w:tcW w:type="dxa" w:w="3119"/>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7"/>
                <w:lang w:val="en-US" w:bidi="ar-SA"/>
              </w:rPr>
              <w:t>للمصانع التي تتطلب تحكمًا محليًا عاليًا وقربًا من أنظمة التشغيل.</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7"/>
                <w:lang w:val="en-US" w:bidi="ar-SA"/>
              </w:rPr>
              <w:t>للنمو السريع، التحليلات المركزية، وتقليل عبء البنية التحتية.</w:t>
            </w:r>
          </w:p>
        </w:tc>
        <w:tc>
          <w:tcPr>
            <w:tcW w:type="dxa" w:w="3120"/>
            <w:tcBorders>
              <w:top w:val="single" w:sz="4" w:space="0" w:color="D8D0BF"/>
              <w:start w:val="single" w:sz="4" w:space="0" w:color="D8D0BF"/>
              <w:bottom w:val="single" w:sz="4" w:space="0" w:color="D8D0BF"/>
              <w:end w:val="single" w:sz="4" w:space="0" w:color="D8D0BF"/>
              <w:insideH w:val="single" w:sz="4" w:space="0" w:color="D8D0BF"/>
              <w:insideV w:val="single" w:sz="4" w:space="0" w:color="D8D0BF"/>
            </w:tcBorders>
            <w:shd w:fill="F7F4EC"/>
            <w:tcMar>
              <w:top w:w="100" w:type="dxa"/>
              <w:start w:w="140" w:type="dxa"/>
              <w:bottom w:w="100" w:type="dxa"/>
              <w:end w:w="140" w:type="dxa"/>
            </w:tcMar>
            <w:vAlign w:val="center"/>
          </w:tcPr>
          <w:p>
            <w:pPr>
              <w:bidi/>
              <w:spacing w:before="0" w:after="0" w:line="283" w:lineRule="auto"/>
              <w:jc w:val="center"/>
            </w:pPr>
            <w:r>
              <w:rPr>
                <w:rFonts w:ascii="Inter Tight" w:hAnsi="Inter Tight" w:cs="Readex Pro" w:eastAsia="Readex Pro"/>
                <w:b w:val="0"/>
                <w:i w:val="0"/>
                <w:color w:val="17251F"/>
                <w:sz w:val="17"/>
                <w:lang w:val="en-US" w:bidi="ar-SA"/>
              </w:rPr>
              <w:t>للموازنة بين التحكم المحلي والمرونة السحابية حسب حساسية البيانات.</w:t>
            </w:r>
          </w:p>
        </w:tc>
      </w:tr>
    </w:tbl>
    <w:p>
      <w:pPr>
        <w:bidi/>
      </w:pPr>
    </w:p>
    <w:tbl>
      <w:tblGrid>
        <w:gridCol w:w="9360"/>
      </w:tblGrid>
      <w:tblPr>
        <w:tblW w:type="dxa" w:w="9360"/>
        <w:jc w:val="center"/>
        <w:tblLayout w:type="fixed"/>
        <w:tblLook w:firstColumn="1" w:firstRow="1" w:lastColumn="0" w:lastRow="0" w:noHBand="0" w:noVBand="1" w:val="04A0"/>
        <w:tblInd w:w="0" w:type="dxa"/>
      </w:tblPr>
      <w:tr>
        <w:tc>
          <w:tcPr>
            <w:tcW w:type="dxa" w:w="9360"/>
            <w:tcBorders>
              <w:top w:val="single" w:sz="0" w:space="0" w:color="0F3D2E"/>
              <w:start w:val="single" w:sz="0" w:space="0" w:color="0F3D2E"/>
              <w:bottom w:val="single" w:sz="0" w:space="0" w:color="0F3D2E"/>
              <w:end w:val="single" w:sz="0" w:space="0" w:color="0F3D2E"/>
              <w:insideH w:val="single" w:sz="0" w:space="0" w:color="0F3D2E"/>
              <w:insideV w:val="single" w:sz="0" w:space="0" w:color="0F3D2E"/>
            </w:tcBorders>
            <w:shd w:fill="0F3D2E"/>
            <w:tcMar>
              <w:top w:w="220" w:type="dxa"/>
              <w:start w:w="260" w:type="dxa"/>
              <w:bottom w:w="220" w:type="dxa"/>
              <w:end w:w="260" w:type="dxa"/>
            </w:tcMar>
          </w:tcPr>
          <w:p>
            <w:pPr>
              <w:bidi/>
              <w:spacing w:before="0" w:after="0" w:line="300" w:lineRule="auto"/>
              <w:jc w:val="center"/>
            </w:pPr>
            <w:r>
              <w:rPr>
                <w:rFonts w:ascii="Instrument Serif" w:hAnsi="Instrument Serif" w:cs="Amiri" w:eastAsia="Amiri"/>
                <w:b/>
                <w:i w:val="0"/>
                <w:color w:val="FFFFFF"/>
                <w:sz w:val="26"/>
                <w:lang w:val="en-US" w:bidi="ar-SA"/>
              </w:rPr>
              <w:t>لا تقدم هذه المنصة مجرد نظام لإدارة الإنتاج، بل منصة متكاملة تقود المصنع نحو الجيل القادم من التصنيع الذكي.</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before="0" w:after="0" w:line="240" w:lineRule="auto"/>
      <w:jc w:val="center"/>
    </w:pPr>
    <w:r>
      <w:rPr>
        <w:rFonts w:ascii="Inter Tight" w:hAnsi="Inter Tight" w:cs="Readex Pro" w:eastAsia="Readex Pro"/>
        <w:color w:val="5F665F"/>
        <w:sz w:val="17"/>
        <w:lang w:val="en-US" w:bidi="ar-SA"/>
      </w:rPr>
      <w:t>Industry360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tbl>
    <w:tblGrid>
      <w:gridCol w:w="8280"/>
      <w:gridCol w:w="1080"/>
    </w:tblGrid>
    <w:tblPr>
      <w:tblW w:type="dxa" w:w="9360"/>
      <w:jc w:val="center"/>
      <w:tblLayout w:type="fixed"/>
      <w:tblLook w:firstColumn="1" w:firstRow="1" w:lastColumn="0" w:lastRow="0" w:noHBand="0" w:noVBand="1" w:val="04A0"/>
      <w:tblInd w:w="0" w:type="dxa"/>
    </w:tblPr>
    <w:tr>
      <w:tc>
        <w:tcPr>
          <w:tcW w:type="dxa" w:w="8280"/>
          <w:tcBorders>
            <w:top w:val="single" w:sz="0" w:space="0" w:color="FFFFFF"/>
            <w:start w:val="single" w:sz="0" w:space="0" w:color="FFFFFF"/>
            <w:bottom w:val="single" w:sz="0" w:space="0" w:color="FFFFFF"/>
            <w:end w:val="single" w:sz="0" w:space="0" w:color="FFFFFF"/>
            <w:insideH w:val="single" w:sz="0" w:space="0" w:color="FFFFFF"/>
            <w:insideV w:val="single" w:sz="0" w:space="0" w:color="FFFFFF"/>
          </w:tcBorders>
        </w:tcPr>
        <w:p>
          <w:pPr>
            <w:bidi/>
            <w:spacing w:before="0" w:after="0" w:line="240" w:lineRule="auto"/>
            <w:ind w:left="0"/>
            <w:jc w:val="left"/>
          </w:pPr>
          <w:r>
            <w:rPr>
              <w:rFonts w:ascii="Inter Tight" w:hAnsi="Inter Tight" w:cs="Readex Pro" w:eastAsia="Readex Pro"/>
              <w:b w:val="0"/>
              <w:i w:val="0"/>
              <w:color w:val="5F665F"/>
              <w:sz w:val="17"/>
              <w:lang w:val="en-US" w:bidi="ar-SA"/>
            </w:rPr>
            <w:t>Industry360 | Industrial Intelligence Platform</w:t>
          </w:r>
        </w:p>
      </w:tc>
      <w:tc>
        <w:tcPr>
          <w:tcW w:type="dxa" w:w="1080"/>
          <w:tcBorders>
            <w:top w:val="single" w:sz="0" w:space="0" w:color="FFFFFF"/>
            <w:start w:val="single" w:sz="0" w:space="0" w:color="FFFFFF"/>
            <w:bottom w:val="single" w:sz="0" w:space="0" w:color="FFFFFF"/>
            <w:end w:val="single" w:sz="0" w:space="0" w:color="FFFFFF"/>
            <w:insideH w:val="single" w:sz="0" w:space="0" w:color="FFFFFF"/>
            <w:insideV w:val="single" w:sz="0" w:space="0" w:color="FFFFFF"/>
          </w:tcBorders>
        </w:tcPr>
        <w:p>
          <w:pPr>
            <w:jc w:val="right"/>
            <w:bidi/>
          </w:pPr>
          <w:r>
            <w:rPr>
              <w:rFonts w:cs="Readex Pro"/>
              <w:lang w:bidi="ar-SA"/>
            </w:rPr>
            <w:drawing>
              <wp:inline xmlns:a="http://schemas.openxmlformats.org/drawingml/2006/main" xmlns:pic="http://schemas.openxmlformats.org/drawingml/2006/picture">
                <wp:extent cx="310896" cy="310896"/>
                <wp:docPr id="1" name="Picture 1"/>
                <wp:cNvGraphicFramePr>
                  <a:graphicFrameLocks noChangeAspect="1"/>
                </wp:cNvGraphicFramePr>
                <a:graphic>
                  <a:graphicData uri="http://schemas.openxmlformats.org/drawingml/2006/picture">
                    <pic:pic>
                      <pic:nvPicPr>
                        <pic:cNvPr id="0" name="logo-badge.png"/>
                        <pic:cNvPicPr/>
                      </pic:nvPicPr>
                      <pic:blipFill>
                        <a:blip r:embed="rId1"/>
                        <a:stretch>
                          <a:fillRect/>
                        </a:stretch>
                      </pic:blipFill>
                      <pic:spPr>
                        <a:xfrm>
                          <a:off x="0" y="0"/>
                          <a:ext cx="310896" cy="310896"/>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Inter Tight" w:hAnsi="Inter Tight" w:cs="Readex Pr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Inter Tight" w:hAnsi="Inter Tight" w:cs="Readex Pro" w:eastAsia="Readex Pro"/>
      <w:color w:val="1725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pPr>
    <w:rPr>
      <w:rFonts w:asciiTheme="majorHAnsi" w:eastAsiaTheme="majorEastAsia" w:hAnsiTheme="majorHAnsi" w:cstheme="majorBidi" w:ascii="Instrument Serif" w:hAnsi="Instrument Serif" w:cs="Amiri" w:eastAsia="Amiri"/>
      <w:b/>
      <w:bCs/>
      <w:color w:val="0F3D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pPr>
    <w:rPr>
      <w:rFonts w:asciiTheme="majorHAnsi" w:eastAsiaTheme="majorEastAsia" w:hAnsiTheme="majorHAnsi" w:cstheme="majorBidi" w:ascii="Instrument Serif" w:hAnsi="Instrument Serif" w:cs="Amiri" w:eastAsia="Amiri"/>
      <w:b/>
      <w:bCs/>
      <w:color w:val="1A4D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pPr>
    <w:rPr>
      <w:rFonts w:asciiTheme="majorHAnsi" w:eastAsiaTheme="majorEastAsia" w:hAnsiTheme="majorHAnsi" w:cstheme="majorBidi" w:ascii="Instrument Serif" w:hAnsi="Instrument Serif" w:cs="Amiri" w:eastAsia="Amiri"/>
      <w:b/>
      <w:bCs/>
      <w:color w:val="0F3D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idi/>
    </w:pPr>
    <w:rPr>
      <w:rFonts w:ascii="Inter Tight" w:hAnsi="Inter Tight" w:cs="Readex Pro" w:eastAsia="Readex Pro"/>
      <w:color w:val="17251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Industry360 Overview</dc:title>
  <dc:subject>Industrial Intelligence Platform</dc:subject>
  <dc:creator>python-docx</dc:creator>
  <cp:keywords>Industry360, MES, Digital Twin, Industrial Intelligence, Arabic RTL</cp:keywords>
  <dc:description>generated by python-docx</dc:description>
  <cp:lastModifiedBy/>
  <cp:revision>1</cp:revision>
  <dcterms:created xsi:type="dcterms:W3CDTF">2013-12-23T23:15:00Z</dcterms:created>
  <dcterms:modified xsi:type="dcterms:W3CDTF">2013-12-23T23:15:00Z</dcterms:modified>
  <cp:category/>
</cp:coreProperties>
</file>