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حقوق-النشر"/>
      <w:r>
        <w:t xml:space="preserve">حُقوقُ النَّشر</w:t>
      </w:r>
      <w:bookmarkEnd w:id="21"/>
    </w:p>
    <w:p>
      <w:pPr>
        <w:pStyle w:val="GroupHeading"/>
      </w:pPr>
      <w:r>
        <w:t xml:space="preserve">غَريبٌ في طِيبَة</w:t>
      </w:r>
    </w:p>
    <w:p>
      <w:pPr>
        <w:pStyle w:val="BodyText"/>
      </w:pPr>
      <w:r>
        <w:t xml:space="preserve">© أحمد علَّام، [سَنَةُ النَّشر].</w:t>
      </w:r>
    </w:p>
    <w:p>
      <w:pPr>
        <w:pStyle w:val="BodyText"/>
      </w:pPr>
      <w:r>
        <w:t xml:space="preserve">جَميعُ الحُقوق مَحفوظَة.</w:t>
      </w:r>
    </w:p>
    <w:p>
      <w:pPr>
        <w:pStyle w:val="BodyText"/>
      </w:pPr>
      <w:r>
        <w:t xml:space="preserve">لا يَجوزُ نَسخُ أَيِّ جُزءٍ مِن هذا الكِتابِ أَو تَخزينُه أَو نَقلُه بِأَيِّ</w:t>
      </w:r>
      <w:r>
        <w:t xml:space="preserve"> </w:t>
      </w:r>
      <w:r>
        <w:t xml:space="preserve">وَسيلَة — إلكترونيَّةٍ أَو ميكانيكيَّةٍ، بِما في ذلكَ التَّصويرُ والتَّسجيل —</w:t>
      </w:r>
      <w:r>
        <w:t xml:space="preserve"> </w:t>
      </w:r>
      <w:r>
        <w:t xml:space="preserve">دونَ إذنٍ خَطِّيٍّ مُسبَقٍ من المُؤَلِّف، فيما عَدا الاقتِباساتِ القَصيرَة</w:t>
      </w:r>
      <w:r>
        <w:t xml:space="preserve"> </w:t>
      </w:r>
      <w:r>
        <w:t xml:space="preserve">في المُراجَعاتِ النَّقديَّة.</w:t>
      </w:r>
    </w:p>
    <w:p>
      <w:pPr>
        <w:pStyle w:val="BodyText"/>
      </w:pPr>
      <w:r>
        <w:t xml:space="preserve">هذا العَمَلُ رِوايَةٌ خَياليَّة. الأَسماءُ والشَّخصياتُ والأَماكِنُ</w:t>
      </w:r>
      <w:r>
        <w:t xml:space="preserve"> </w:t>
      </w:r>
      <w:r>
        <w:t xml:space="preserve">والأَحداثُ — وإن استَنَدَت إلى أَرضيَّةٍ تاريخيَّةٍ مُوَثَّقَة من عَصرِ</w:t>
      </w:r>
      <w:r>
        <w:t xml:space="preserve"> </w:t>
      </w:r>
      <w:r>
        <w:t xml:space="preserve">رَعمسيس الثاني — فَهيَ نِتاجُ خَيالِ المُؤَلِّف، أَو مُستَخدَمَةٌ بِشَكلٍ</w:t>
      </w:r>
      <w:r>
        <w:t xml:space="preserve"> </w:t>
      </w:r>
      <w:r>
        <w:t xml:space="preserve">خَيالِيّ. أَيُّ تَشابُهٍ مع أَشخاصٍ أَحياءٍ أَو مَوتى مَحضُ مُصادَفَة.</w:t>
      </w:r>
    </w:p>
    <w:p>
      <w:pPr>
        <w:pStyle w:val="BodyText"/>
      </w:pPr>
      <w:r>
        <w:rPr>
          <w:b/>
        </w:rPr>
        <w:t xml:space="preserve">الطَّبعَةُ الأُولى:</w:t>
      </w:r>
      <w:r>
        <w:t xml:space="preserve"> </w:t>
      </w:r>
      <w:r>
        <w:t xml:space="preserve">[الشَّهرُ والسَّنَة]</w:t>
      </w:r>
      <w:r>
        <w:t xml:space="preserve"> </w:t>
      </w:r>
      <w:r>
        <w:rPr>
          <w:b/>
        </w:rPr>
        <w:t xml:space="preserve">رَقمُ الإيداع:</w:t>
      </w:r>
      <w:r>
        <w:t xml:space="preserve"> </w:t>
      </w:r>
      <w:r>
        <w:t xml:space="preserve">[يُحَدَّدُ من دارِ الكُتُب]</w:t>
      </w:r>
      <w:r>
        <w:t xml:space="preserve"> </w:t>
      </w:r>
      <w:r>
        <w:rPr>
          <w:b/>
        </w:rPr>
        <w:t xml:space="preserve">ر.د.م.ك (ISBN):</w:t>
      </w:r>
      <w:r>
        <w:t xml:space="preserve"> </w:t>
      </w:r>
      <w:r>
        <w:t xml:space="preserve">[يُضافُ من النَّاشِر]</w:t>
      </w:r>
    </w:p>
    <w:p>
      <w:pPr>
        <w:pStyle w:val="BodyText"/>
      </w:pPr>
      <w:r>
        <w:rPr>
          <w:b/>
        </w:rPr>
        <w:t xml:space="preserve">النَّاشِر:</w:t>
      </w:r>
      <w:r>
        <w:t xml:space="preserve"> </w:t>
      </w:r>
      <w:r>
        <w:t xml:space="preserve">[اسمُ دار النَّشر]</w:t>
      </w:r>
      <w:r>
        <w:t xml:space="preserve"> </w:t>
      </w:r>
      <w:r>
        <w:t xml:space="preserve">[العُنوان • المَوقِع • البَريدُ الإلِكترونيّ]</w:t>
      </w:r>
    </w:p>
    <w:p>
      <w:pPr>
        <w:pStyle w:val="BodyText"/>
      </w:pPr>
      <w:r>
        <w:rPr>
          <w:b/>
        </w:rPr>
        <w:t xml:space="preserve">التَّصميمُ والإخراج:</w:t>
      </w:r>
      <w:r>
        <w:t xml:space="preserve"> </w:t>
      </w:r>
      <w:r>
        <w:t xml:space="preserve">[اسمُ المُصَمِّم]</w:t>
      </w:r>
      <w:r>
        <w:t xml:space="preserve"> </w:t>
      </w:r>
      <w:r>
        <w:rPr>
          <w:b/>
        </w:rPr>
        <w:t xml:space="preserve">صورَةُ الغِلاف:</w:t>
      </w:r>
      <w:r>
        <w:t xml:space="preserve"> </w:t>
      </w:r>
      <w:r>
        <w:t xml:space="preserve">[اسمُ الفَنَّان/المَصدَر]</w:t>
      </w:r>
    </w:p>
    <w:p>
      <w:pPr>
        <w:pStyle w:val="BodyText"/>
      </w:pPr>
      <w:r>
        <w:rPr>
          <w:i/>
        </w:rPr>
        <w:t xml:space="preserve">طُبِعَ في جُمهوريَّة مِصرَ العَرَبيَّة.</w:t>
      </w:r>
    </w:p>
    <w:p>
      <w:pPr>
        <w:pStyle w:val="Heading2"/>
      </w:pPr>
      <w:bookmarkStart w:id="22" w:name="الإهداء"/>
      <w:r>
        <w:t xml:space="preserve">الإِهداء</w:t>
      </w:r>
      <w:bookmarkEnd w:id="22"/>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3" w:name="الفهرس"/>
      <w:r>
        <w:t xml:space="preserve">الفِهرِس</w:t>
      </w:r>
      <w:bookmarkEnd w:id="23"/>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من بَردِيَّةِ أَحمد الطِّبِّيَّة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4" w:name="دليل-الشخصيات"/>
      <w:r>
        <w:t xml:space="preserve">دَليلُ الشَّخصيَّات</w:t>
      </w:r>
      <w:bookmarkEnd w:id="24"/>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5" w:name="القسم-الأول-العتبة"/>
      <w:r>
        <w:t xml:space="preserve">القسم الأول — العَتَبَة</w:t>
      </w:r>
      <w:bookmarkEnd w:id="25"/>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6" w:name="المقدمة"/>
      <w:r>
        <w:t xml:space="preserve">المُقَدِّمَة</w:t>
      </w:r>
      <w:bookmarkEnd w:id="26"/>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7" w:name="الفصل-صفر-الطبيب-الوحيد"/>
      <w:r>
        <w:t xml:space="preserve">الفصل صفر — الطبيب الوحيد</w:t>
      </w:r>
      <w:bookmarkEnd w:id="27"/>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8" w:name="الفصل-الأول-نداء-الكرنك"/>
      <w:r>
        <w:t xml:space="preserve">الفصل الأول — نداء الكرنك</w:t>
      </w:r>
      <w:bookmarkEnd w:id="28"/>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9" w:name="الفصل-الثاني-المعادلة"/>
      <w:r>
        <w:t xml:space="preserve">الفصل الثاني — المعادلة</w:t>
      </w:r>
      <w:bookmarkEnd w:id="29"/>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30" w:name="الفصل-الثالث-العبور"/>
      <w:r>
        <w:t xml:space="preserve">الفصل الثالث — العبور</w:t>
      </w:r>
      <w:bookmarkEnd w:id="30"/>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1" w:name="القسم-الثاني-الغريب-في-طيبة"/>
      <w:r>
        <w:t xml:space="preserve">القسم الثاني — الغريبُ في طِيبَة</w:t>
      </w:r>
      <w:bookmarkEnd w:id="31"/>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2" w:name="الفصل-الرابع-لغة-الشفاء"/>
      <w:r>
        <w:t xml:space="preserve">الفصل الرابع — لغة الشفاء</w:t>
      </w:r>
      <w:bookmarkEnd w:id="32"/>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عليها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3" w:name="الفصل-الخامس-الاختبار-الأول"/>
      <w:r>
        <w:t xml:space="preserve">الفصل الخامس — الاختبار الأول</w:t>
      </w:r>
      <w:bookmarkEnd w:id="33"/>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4" w:name="الفصل-السادس-كاتبة-المعبد"/>
      <w:r>
        <w:t xml:space="preserve">الفصل السادس — كاتبة المعبد</w:t>
      </w:r>
      <w:bookmarkEnd w:id="34"/>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5" w:name="الفصل-السابع-المريض-الغامض"/>
      <w:r>
        <w:t xml:space="preserve">الفصل السابع — المريض الغامض</w:t>
      </w:r>
      <w:bookmarkEnd w:id="35"/>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6" w:name="الفصل-الثامن-ليلة-الاعترافات"/>
      <w:r>
        <w:t xml:space="preserve">الفصل الثامن — ليلة الاعترافات</w:t>
      </w:r>
      <w:bookmarkEnd w:id="36"/>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7" w:name="الفصل-التاسع-عدو-في-الظل"/>
      <w:r>
        <w:t xml:space="preserve">الفصل التاسع — عدو في الظل</w:t>
      </w:r>
      <w:bookmarkEnd w:id="37"/>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8" w:name="القسم-الثالث-الأزمة-الكبرى"/>
      <w:r>
        <w:t xml:space="preserve">القسم الثالث — الأَزمَةُ الكبرى</w:t>
      </w:r>
      <w:bookmarkEnd w:id="38"/>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9" w:name="الفصل-العاشر-نذر-الكارثة"/>
      <w:r>
        <w:t xml:space="preserve">الفصل العاشر — نذر الكارثة</w:t>
      </w:r>
      <w:bookmarkEnd w:id="39"/>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40" w:name="الفصل-الحادي-عشر-الوباء"/>
      <w:r>
        <w:t xml:space="preserve">الفصل الحادي عشر — الوباء</w:t>
      </w:r>
      <w:bookmarkEnd w:id="40"/>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1" w:name="الفصل-الثاني-عشر-في-قلب-الجحيم"/>
      <w:r>
        <w:t xml:space="preserve">الفصل الثاني عشر — في قلب الجحيم</w:t>
      </w:r>
      <w:bookmarkEnd w:id="41"/>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2" w:name="الفصل-الثالث-عشر-الطفل-والقدر"/>
      <w:r>
        <w:t xml:space="preserve">الفصل الثالث عشر — الطفل والقدر</w:t>
      </w:r>
      <w:bookmarkEnd w:id="42"/>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3" w:name="الفصل-الرابع-عشر-طبول-الحرب"/>
      <w:r>
        <w:t xml:space="preserve">الفصل الرابع عشر — طبول الحرب</w:t>
      </w:r>
      <w:bookmarkEnd w:id="43"/>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4" w:name="الفصل-الخامس-عشر-المعركة"/>
      <w:r>
        <w:t xml:space="preserve">الفصل الخامس عشر — المعركة</w:t>
      </w:r>
      <w:bookmarkEnd w:id="44"/>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5" w:name="الفصل-السادس-عشر-ثقل-الدم"/>
      <w:r>
        <w:t xml:space="preserve">الفصل السادس عشر — ثقل الدم</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6" w:name="الفصل-السابع-عشر-العودة"/>
      <w:r>
        <w:t xml:space="preserve">الفصل السابع عشر — العودة</w:t>
      </w:r>
      <w:bookmarkEnd w:id="46"/>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7" w:name="حتي"/>
      <w:r>
        <w:t xml:space="preserve">حُتي</w:t>
      </w:r>
      <w:bookmarkEnd w:id="47"/>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8" w:name="القسم-الرابع-المؤامرة"/>
      <w:r>
        <w:t xml:space="preserve">القسم الرابع — المؤامرة</w:t>
      </w:r>
      <w:bookmarkEnd w:id="48"/>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9" w:name="الفصل-الثامن-عشر-الظلال-تتحرك"/>
      <w:r>
        <w:t xml:space="preserve">الفصل الثامن عشر — الظلال تتحرك</w:t>
      </w:r>
      <w:bookmarkEnd w:id="49"/>
    </w:p>
    <w:p>
      <w:pPr>
        <w:pStyle w:val="Heading3"/>
      </w:pPr>
      <w:bookmarkStart w:id="50" w:name="علامة"/>
      <w:r>
        <w:t xml:space="preserve">عَلامَة</w:t>
      </w:r>
      <w:bookmarkEnd w:id="50"/>
    </w:p>
    <w:p>
      <w:pPr>
        <w:pStyle w:val="FirstParagraph"/>
      </w:pPr>
      <w:r>
        <w:rPr>
          <w:rFonts w:ascii="Amiri" w:hAnsi="Amiri" w:cs="Amiri"/>
          <w:b/>
          <w:bCs/>
          <w:color w:val="C9A227"/>
          <w:sz w:val="36"/>
          <w:szCs w:val="36"/>
        </w:rPr>
        <w:t xml:space="preserve">في</w:t>
      </w:r>
      <w:r>
        <w:t xml:space="preserve"> الفَجرِ الَّذي أَعقَبَ الشُّروق على ضِفَّةِ النِّيل — الَّذي جَلَسَ فيه</w:t>
      </w:r>
      <w:r>
        <w:t xml:space="preserve"> </w:t>
      </w:r>
      <w:r>
        <w:t xml:space="preserve">أحمدُ مَع نَفرتاري وشَعَرَ لِلمَرَّةِ الأولى أنَّ الحياةَ مُمكِنَة — نَزَلَ</w:t>
      </w:r>
      <w:r>
        <w:t xml:space="preserve"> </w:t>
      </w:r>
      <w:r>
        <w:t xml:space="preserve">وَحدَه إلى المَاءِ يَملأُ جَرَّةً.</w:t>
      </w:r>
    </w:p>
    <w:p>
      <w:pPr>
        <w:pStyle w:val="BodyText"/>
      </w:pPr>
      <w:r>
        <w:t xml:space="preserve">كان النَّهرُ هادِئًا. السَّماءُ بَيضاءُ كقُماشِ كَتَّان لم يُلَوَّن.</w:t>
      </w:r>
    </w:p>
    <w:p>
      <w:pPr>
        <w:pStyle w:val="BodyText"/>
      </w:pPr>
      <w:r>
        <w:t xml:space="preserve">عندَ حافَةِ الطِّينِ، وجَدَ شَيئًا.</w:t>
      </w:r>
    </w:p>
    <w:p>
      <w:pPr>
        <w:pStyle w:val="BodyText"/>
      </w:pPr>
      <w:r>
        <w:t xml:space="preserve">دُميَة صَغيرَة من الخُوصِ، عَلى هَيئَةِ رَجُل، مَنزوع رَأسُها. مَوضوعَة</w:t>
      </w:r>
      <w:r>
        <w:t xml:space="preserve"> </w:t>
      </w:r>
      <w:r>
        <w:t xml:space="preserve">بِعِنايَة على البَلاطَة. لَيسَت طافِيَة. مَوضوعَة.</w:t>
      </w:r>
    </w:p>
    <w:p>
      <w:pPr>
        <w:pStyle w:val="BodyText"/>
      </w:pPr>
      <w:r>
        <w:t xml:space="preserve">عِندَ قَدَمَيها، جُعَلٌ صَغيرٌ من الفَخَّارِ المَكسور.</w:t>
      </w:r>
    </w:p>
    <w:p>
      <w:pPr>
        <w:pStyle w:val="BodyText"/>
      </w:pPr>
      <w:r>
        <w:t xml:space="preserve">عَرَفَ ما هي. كانَت إمحوتب قَد قال له مَرَّةً وهو يَضحَك: »لَو وَجَدتَ</w:t>
      </w:r>
      <w:r>
        <w:t xml:space="preserve"> </w:t>
      </w:r>
      <w:r>
        <w:t xml:space="preserve">رَجُلًا من خُوصٍ بِلا رَأسٍ على عَتَبَتِك، فاعلَم أَنَّ كَهَنَةَ المَعبَدِ</w:t>
      </w:r>
      <w:r>
        <w:t xml:space="preserve"> </w:t>
      </w:r>
      <w:r>
        <w:t xml:space="preserve">يَدعونَ علَيكَ بِالمَوت.«</w:t>
      </w:r>
    </w:p>
    <w:p>
      <w:pPr>
        <w:pStyle w:val="BodyText"/>
      </w:pPr>
      <w:r>
        <w:t xml:space="preserve">نَظَرَ أَحمد حَولَه. لا أَحَدَ. فَقَط طائِرٌ مالِكُ حَزينٍ وَحيدٌ يُحَدِّقُ</w:t>
      </w:r>
      <w:r>
        <w:t xml:space="preserve"> </w:t>
      </w:r>
      <w:r>
        <w:t xml:space="preserve">إلَيهِ من أَعلى عَمودٍ غارِق.</w:t>
      </w:r>
    </w:p>
    <w:p>
      <w:pPr>
        <w:pStyle w:val="BodyText"/>
      </w:pPr>
      <w:r>
        <w:t xml:space="preserve">أَخَذَ الدُّميَةَ بَينَ يَدَيه. لم يَرتَجِف. لم يَخَف. هذا في حَدِّ ذاتِه</w:t>
      </w:r>
      <w:r>
        <w:t xml:space="preserve"> </w:t>
      </w:r>
      <w:r>
        <w:t xml:space="preserve">أَخافَه أَكثَرَ من العَلامَة.</w:t>
      </w:r>
    </w:p>
    <w:p>
      <w:pPr>
        <w:pStyle w:val="BodyText"/>
      </w:pPr>
      <w:r>
        <w:t xml:space="preserve">—</w:t>
      </w:r>
      <w:r>
        <w:t xml:space="preserve"> </w:t>
      </w:r>
      <w:r>
        <w:rPr>
          <w:i/>
        </w:rPr>
        <w:t xml:space="preserve">إذًا الحَربُ القادِمَة بَدَأَت</w:t>
      </w:r>
      <w:r>
        <w:t xml:space="preserve"> </w:t>
      </w:r>
      <w:r>
        <w:t xml:space="preserve">— قال لِنَفسِه.</w:t>
      </w:r>
    </w:p>
    <w:p>
      <w:pPr>
        <w:pStyle w:val="BodyText"/>
      </w:pPr>
      <w:r>
        <w:t xml:space="preserve">أَلقى الدُّميَةَ في النَّهرِ، وراقَبَها تَطفو ثُمَّ تَنزَلِق مع التَّيَّار.</w:t>
      </w:r>
      <w:r>
        <w:t xml:space="preserve"> </w:t>
      </w:r>
      <w:r>
        <w:t xml:space="preserve">لكنَّه احتَفَظَ بِالجُعَلِ المَكسور. وضَعَه في كَفِّه، وأَطبَقَ علَيه.</w:t>
      </w:r>
    </w:p>
    <w:p>
      <w:pPr>
        <w:pStyle w:val="BodyText"/>
      </w:pPr>
      <w:r>
        <w:t xml:space="preserve">ثُمَّ مَلَأَ الجَرَّة. وعادَ إلى البَيت.</w:t>
      </w:r>
    </w:p>
    <w:p>
      <w:pPr>
        <w:pStyle w:val="BodyText"/>
      </w:pPr>
      <w:r>
        <w:t xml:space="preserve">لم يُخبِر نَفرتاري بِما رَآه.</w:t>
      </w:r>
    </w:p>
    <w:p>
      <w:pPr>
        <w:pStyle w:val="BodyText"/>
      </w:pPr>
      <w:r>
        <w:t xml:space="preserve">وفي تلكَ اللَّيلَة، نامَ هانِئًا لأَوَّلِ مَرَّةٍ مُنذُ شُهور — لا لِأَنَّ</w:t>
      </w:r>
      <w:r>
        <w:t xml:space="preserve"> </w:t>
      </w:r>
      <w:r>
        <w:t xml:space="preserve">الكَوابيسَ غابَت، بَل لِأَنَّ شَيئًا في صَدرِه استَيقَظ.</w:t>
      </w:r>
    </w:p>
    <w:p>
      <w:pPr>
        <w:pStyle w:val="BodyText"/>
      </w:pPr>
      <w:r>
        <w:t xml:space="preserve">كانَ يَعرِفُ أَنَّ مَعرَكَتَه القادِمَة لَن تَكونَ في الصَّحراء.</w:t>
      </w:r>
    </w:p>
    <w:p>
      <w:pPr>
        <w:pStyle w:val="BodyText"/>
      </w:pPr>
      <w:r>
        <w:t xml:space="preserve">سَتَكونُ هنا. في طِيبَة. وهو جاهِزٌ لَها.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عيد-الأوبت"/>
      <w:r>
        <w:t xml:space="preserve">عيد الأوبت</w:t>
      </w:r>
      <w:bookmarkEnd w:id="51"/>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لحظة-شك"/>
      <w:r>
        <w:t xml:space="preserve">لحظة شك</w:t>
      </w:r>
      <w:bookmarkEnd w:id="52"/>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3" w:name="الضربة-الأولى-التي-أصابت"/>
      <w:r>
        <w:rPr>
          <w:b/>
        </w:rPr>
        <w:t xml:space="preserve">الضربة الأولى التي أصابت</w:t>
      </w:r>
      <w:bookmarkEnd w:id="53"/>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4" w:name="الفصل-التاسع-عشر-المطاردة-في-السوق"/>
      <w:r>
        <w:t xml:space="preserve">الفصل التاسع عشر — المطاردة في السوق</w:t>
      </w:r>
      <w:bookmarkEnd w:id="54"/>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5" w:name="في-غرفة-بنتاور-تلك-الليلة-نفسها"/>
      <w:r>
        <w:t xml:space="preserve">في غرفة بنتاور — تلك الليلة نفسها</w:t>
      </w:r>
      <w:bookmarkEnd w:id="55"/>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6" w:name="الفصل-العشرون-المحاكمة"/>
      <w:r>
        <w:t xml:space="preserve">الفصل العشرون — المحاكمة</w:t>
      </w:r>
      <w:bookmarkEnd w:id="56"/>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القوارب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متمهلا،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تَجَمَّدَتِ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خَيَّمَ السُّكونُ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7" w:name="نفرتاري-الليلة-التي-قبل-الفجر"/>
      <w:r>
        <w:t xml:space="preserve">نفرتاري — اللَّيلَةُ الَّتي قَبلَ الفَجر</w:t>
      </w:r>
      <w:bookmarkEnd w:id="57"/>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8" w:name="الفصل-الحادي-والعشرون-يوم-الكسوف"/>
      <w:r>
        <w:t xml:space="preserve">الفصل الحادي والعشرون — يوم الكسوف</w:t>
      </w:r>
      <w:bookmarkEnd w:id="58"/>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9" w:name="القسم-الخامس-الوداع-والعودة"/>
      <w:r>
        <w:t xml:space="preserve">القسم الخامس — الوداع والعودة</w:t>
      </w:r>
      <w:bookmarkEnd w:id="59"/>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60" w:name="الفصل-الثاني-والعشرون-ما-بعد-الظلام"/>
      <w:r>
        <w:t xml:space="preserve">الفصل الثاني والعشرون — ما بعد الظلام</w:t>
      </w:r>
      <w:bookmarkEnd w:id="60"/>
    </w:p>
    <w:p>
      <w:pPr>
        <w:pStyle w:val="Heading3"/>
      </w:pPr>
      <w:bookmarkStart w:id="61" w:name="الجزء-الأول-الأثر"/>
      <w:r>
        <w:rPr>
          <w:b/>
        </w:rPr>
        <w:t xml:space="preserve">الجزءُ الأوَّل: الأَثَر</w:t>
      </w:r>
      <w:bookmarkEnd w:id="61"/>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الجزء-الثاني-عرش-رعمسيس"/>
      <w:r>
        <w:rPr>
          <w:b/>
        </w:rPr>
        <w:t xml:space="preserve">الجزءُ الثاني: عَرشُ رَعمسيس</w:t>
      </w:r>
      <w:bookmarkEnd w:id="62"/>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3" w:name="الجزء-الثالث-تحت-النجوم"/>
      <w:r>
        <w:rPr>
          <w:b/>
        </w:rPr>
        <w:t xml:space="preserve">الجزءُ الثالث: تحتَ النُّجوم</w:t>
      </w:r>
      <w:bookmarkEnd w:id="63"/>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4" w:name="وجه-من-ماض-آخر"/>
      <w:r>
        <w:t xml:space="preserve">وجهٌ من ماضٍ آخر</w:t>
      </w:r>
      <w:bookmarkEnd w:id="64"/>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5" w:name="الفصل-الثالث-والعشرون-تآكل-الذاكرة"/>
      <w:r>
        <w:t xml:space="preserve">الفصل الثالث والعشرون — تآكل الذاكرة</w:t>
      </w:r>
      <w:bookmarkEnd w:id="65"/>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فأنا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مراتبَ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6" w:name="الفصل-الرابع-والعشرون-الدائرة-المغلقة"/>
      <w:r>
        <w:t xml:space="preserve">الفصل الرابع والعشرون — الدائرة المغلقة</w:t>
      </w:r>
      <w:bookmarkEnd w:id="66"/>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7" w:name="الجزء-الأول-البردية"/>
      <w:r>
        <w:rPr>
          <w:b/>
        </w:rPr>
        <w:t xml:space="preserve">الجزء الأول: البردية</w:t>
      </w:r>
      <w:bookmarkEnd w:id="67"/>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8" w:name="الجزء-الثاني-الصراع-على-ضفة-النيل"/>
      <w:r>
        <w:rPr>
          <w:b/>
        </w:rPr>
        <w:t xml:space="preserve">الجزء الثاني: الصراع على ضفة النيل</w:t>
      </w:r>
      <w:bookmarkEnd w:id="68"/>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9" w:name="الفصل-الخامس-والعشرون-رسالة-الغريب"/>
      <w:r>
        <w:t xml:space="preserve">الفصل الخامس والعشرون — رسالة الغريب</w:t>
      </w:r>
      <w:bookmarkEnd w:id="69"/>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70" w:name="كلمة-من-المؤلف"/>
      <w:r>
        <w:t xml:space="preserve">كَلِمةٌ من المؤلِّف</w:t>
      </w:r>
      <w:bookmarkEnd w:id="70"/>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71" w:name="عن-الدقة-التاريخية"/>
      <w:r>
        <w:t xml:space="preserve">عن الدقَّة التاريخيَّة</w:t>
      </w:r>
      <w:bookmarkEnd w:id="71"/>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2" w:name="عن-الحرية-الأدبية"/>
      <w:r>
        <w:t xml:space="preserve">عن الحُرِّيَّة الأَدَبيَّة</w:t>
      </w:r>
      <w:bookmarkEnd w:id="72"/>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3" w:name="عن-الكتابة-من-خارج-المهنة"/>
      <w:r>
        <w:t xml:space="preserve">عن الكِتابةِ من خارجِ المِهنَة</w:t>
      </w:r>
      <w:bookmarkEnd w:id="73"/>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4" w:name="شكر-أخير-للقارئ"/>
      <w:r>
        <w:t xml:space="preserve">شُكرٌ أَخيرٌ لِلقارئ</w:t>
      </w:r>
      <w:bookmarkEnd w:id="74"/>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5" w:name="شكر-وتقدير"/>
      <w:r>
        <w:t xml:space="preserve">شُكرٌ وتَقدير</w:t>
      </w:r>
      <w:bookmarkEnd w:id="75"/>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6" w:name="المصادر-التاريخية"/>
      <w:r>
        <w:t xml:space="preserve">المَصادِرُ التَّاريخيَّة</w:t>
      </w:r>
      <w:bookmarkEnd w:id="76"/>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7" w:name="أولا-البرديات-والوثائق-المصرية-القديمة"/>
      <w:r>
        <w:t xml:space="preserve">أَوَّلًا: البَردِيَّاتُ والوَثائِقُ المِصريَّةُ القَديمَة</w:t>
      </w:r>
      <w:bookmarkEnd w:id="77"/>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8" w:name="ثانيا-المراجع-الأكاديمية-في-المصريات"/>
      <w:r>
        <w:t xml:space="preserve">ثانيًا: المَراجِعُ الأَكاديميَّةُ في المِصريَّات</w:t>
      </w:r>
      <w:bookmarkEnd w:id="78"/>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9" w:name="ثالثا-الطب-المصري-القديم"/>
      <w:r>
        <w:t xml:space="preserve">ثالثًا: الطِّبُّ المِصريُّ القَديم</w:t>
      </w:r>
      <w:bookmarkEnd w:id="79"/>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80" w:name="رابعا-عهد-رعمسيس-الثاني-وعصر-الرعامسة"/>
      <w:r>
        <w:t xml:space="preserve">رابِعًا: عَهدُ رَعمسيس الثاني وعَصرُ الرَّعامِسَة</w:t>
      </w:r>
      <w:bookmarkEnd w:id="80"/>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81" w:name="خامسا-العلم-الفلكي-والكسوف"/>
      <w:r>
        <w:t xml:space="preserve">خامسًا: العِلمُ الفَلَكيُّ والكُسوف</w:t>
      </w:r>
      <w:bookmarkEnd w:id="81"/>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2" w:name="سادسا-المواقع-والمتاحف"/>
      <w:r>
        <w:t xml:space="preserve">سادِسًا: المَواقِعُ والمُتاحِف</w:t>
      </w:r>
      <w:bookmarkEnd w:id="82"/>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3" w:name="سابعا-ما-ليس-تاريخيا"/>
      <w:r>
        <w:t xml:space="preserve">سابِعًا: ما لَيسَ تاريخيًّا</w:t>
      </w:r>
      <w:bookmarkEnd w:id="83"/>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4" w:name="من-بردية-أحمد-الطبية"/>
      <w:r>
        <w:t xml:space="preserve">من بَردِيَّةِ أَحمد الطِّبِّيَّة</w:t>
      </w:r>
      <w:bookmarkEnd w:id="84"/>
    </w:p>
    <w:p>
      <w:pPr>
        <w:pStyle w:val="FirstParagraph"/>
      </w:pPr>
      <w:r>
        <w:rPr>
          <w:rFonts w:ascii="Amiri" w:hAnsi="Amiri" w:cs="Amiri"/>
          <w:b/>
          <w:bCs/>
          <w:color w:val="C9A227"/>
          <w:sz w:val="36"/>
          <w:szCs w:val="36"/>
        </w:rPr>
        <w:t xml:space="preserve">مَقاطِعُ</w:t>
      </w:r>
      <w:r>
        <w:t xml:space="preserve"> مُتَخَيَّلَة من البَردِيَّةِ الَّتي أَملاها أَحمدُ على كاتِبِه</w:t>
      </w:r>
      <w:r>
        <w:rPr>
          <w:i/>
        </w:rPr>
        <w:t xml:space="preserve"> </w:t>
      </w:r>
      <w:r>
        <w:rPr>
          <w:i/>
        </w:rPr>
        <w:t xml:space="preserve">في بَيتِ الحَياة بِطيبَة، ووَجَدَتها الدُّكتورَة ليلى حسن في الغُرفَة</w:t>
      </w:r>
      <w:r>
        <w:rPr>
          <w:i/>
        </w:rPr>
        <w:t xml:space="preserve"> </w:t>
      </w:r>
      <w:r>
        <w:rPr>
          <w:i/>
        </w:rPr>
        <w:t xml:space="preserve">المُكتَشَفَة. هذه المَقاطِعُ مَكتوبَة بِأُسلوبٍ يُحاكي بَردِيَّة إيبرس</w:t>
      </w:r>
      <w:r>
        <w:rPr>
          <w:i/>
        </w:rPr>
        <w:t xml:space="preserve"> </w:t>
      </w:r>
      <w:r>
        <w:rPr>
          <w:i/>
        </w:rPr>
        <w:t xml:space="preserve">وبَردِيَّة إدوين سميث الحَقيقيَّتَين، مع لَمساتٍ عِلميَّةٍ حَديثَة لا</w:t>
      </w:r>
      <w:r>
        <w:rPr>
          <w:i/>
        </w:rPr>
        <w:t xml:space="preserve"> </w:t>
      </w:r>
      <w:r>
        <w:rPr>
          <w:i/>
        </w:rPr>
        <w:t xml:space="preserve">تَنتَمي إلى عَصرِ التَّأليف. كلُّ نَصٍّ بَينَ قَوسَين — مِثلُ هذا — تَعليقٌ</w:t>
      </w:r>
      <w:r>
        <w:rPr>
          <w:i/>
        </w:rPr>
        <w:t xml:space="preserve"> </w:t>
      </w:r>
      <w:r>
        <w:rPr>
          <w:i/>
        </w:rPr>
        <w:t xml:space="preserve">شارِحٌ من المُؤَلِّفَة، لا من البَردِيَّةِ نَفسِها.</w:t>
      </w:r>
    </w:p>
    <w:p>
      <w:pPr>
        <w:pStyle w:val="Heading2"/>
      </w:pPr>
      <w:bookmarkStart w:id="85" w:name="تعليم-التلميذ"/>
      <w:r>
        <w:t xml:space="preserve">١. تَعليمُ التِّلميذ</w:t>
      </w:r>
      <w:bookmarkEnd w:id="85"/>
    </w:p>
    <w:p>
      <w:pPr>
        <w:pStyle w:val="BlockText"/>
      </w:pPr>
      <w:r>
        <w:rPr>
          <w:i/>
        </w:rPr>
        <w:t xml:space="preserve">إذا جاءَكَ شَابٌّ يَطلُبُ أن يَتَعَلَّمَ الطِّبّ، فَلا تَسأَلهُ</w:t>
      </w:r>
      <w:r>
        <w:rPr>
          <w:i/>
        </w:rPr>
        <w:t xml:space="preserve"> </w:t>
      </w:r>
      <w:r>
        <w:rPr>
          <w:i/>
        </w:rPr>
        <w:t xml:space="preserve">أَوَّلًا: »ما اسمُ والِدِك؟« ولا: »ما رُتبَتُكَ في المَعبَد؟« بَل</w:t>
      </w:r>
      <w:r>
        <w:rPr>
          <w:i/>
        </w:rPr>
        <w:t xml:space="preserve"> </w:t>
      </w:r>
      <w:r>
        <w:rPr>
          <w:i/>
        </w:rPr>
        <w:t xml:space="preserve">سَلهُ:</w:t>
      </w:r>
    </w:p>
    <w:p>
      <w:pPr>
        <w:pStyle w:val="BlockText"/>
      </w:pPr>
      <w:r>
        <w:rPr>
          <w:i/>
        </w:rPr>
        <w:t xml:space="preserve">— ما الَّذي يُؤلِمُكَ في الآخَر؟</w:t>
      </w:r>
    </w:p>
    <w:p>
      <w:pPr>
        <w:pStyle w:val="BlockText"/>
      </w:pPr>
      <w:r>
        <w:rPr>
          <w:i/>
        </w:rPr>
        <w:t xml:space="preserve">إن قال: »لا شَيء، أَنا قَويّ،« فَأَعِدهُ إلى أَهلِه. الطِّبُّ ليسَ</w:t>
      </w:r>
      <w:r>
        <w:rPr>
          <w:i/>
        </w:rPr>
        <w:t xml:space="preserve"> </w:t>
      </w:r>
      <w:r>
        <w:rPr>
          <w:i/>
        </w:rPr>
        <w:t xml:space="preserve">لِلأَقوياء. الطِّبُّ لِمَن يَشعُرُ بِأَلَمِ الآخَرِ في صَدرِه قَبلَ</w:t>
      </w:r>
      <w:r>
        <w:rPr>
          <w:i/>
        </w:rPr>
        <w:t xml:space="preserve"> </w:t>
      </w:r>
      <w:r>
        <w:rPr>
          <w:i/>
        </w:rPr>
        <w:t xml:space="preserve">أن يَلمِسَ نَبضَه.</w:t>
      </w:r>
    </w:p>
    <w:p>
      <w:pPr>
        <w:pStyle w:val="BlockText"/>
      </w:pPr>
      <w:r>
        <w:rPr>
          <w:i/>
        </w:rPr>
        <w:t xml:space="preserve">وإن قال: »كلُّ شَيء،« فَخُذهُ إلَيك. هذا الَّذي سَيَتَعَلَّم.</w:t>
      </w:r>
    </w:p>
    <w:p>
      <w:pPr>
        <w:pStyle w:val="Heading2"/>
      </w:pPr>
      <w:bookmarkStart w:id="86" w:name="في-الجرح-المتعفن"/>
      <w:r>
        <w:t xml:space="preserve">٢. في الجُرحِ المُتَعَفِّن</w:t>
      </w:r>
      <w:bookmarkEnd w:id="86"/>
    </w:p>
    <w:p>
      <w:pPr>
        <w:pStyle w:val="BlockText"/>
      </w:pPr>
      <w:r>
        <w:rPr>
          <w:i/>
        </w:rPr>
        <w:t xml:space="preserve">إذا فَحَصتَ جُرحًا في ساعِدِ رَجُل، ووَجَدتَ حَوافَّهُ حَمراءَ ساخِنَة،</w:t>
      </w:r>
      <w:r>
        <w:rPr>
          <w:i/>
        </w:rPr>
        <w:t xml:space="preserve"> </w:t>
      </w:r>
      <w:r>
        <w:rPr>
          <w:i/>
        </w:rPr>
        <w:t xml:space="preserve">ومِنها يَسيلُ خَيطٌ أَصفَر، وفي قاعِه قَيحٌ أَبيَضُ مائِلٌ إلى</w:t>
      </w:r>
      <w:r>
        <w:rPr>
          <w:i/>
        </w:rPr>
        <w:t xml:space="preserve"> </w:t>
      </w:r>
      <w:r>
        <w:rPr>
          <w:i/>
        </w:rPr>
        <w:t xml:space="preserve">الخُضرَة:</w:t>
      </w:r>
    </w:p>
    <w:p>
      <w:pPr>
        <w:pStyle w:val="BlockText"/>
      </w:pPr>
      <w:r>
        <w:rPr>
          <w:i/>
        </w:rPr>
        <w:t xml:space="preserve">قُل: »جُرحٌ سَيِّء.« لا تَكتُم. الصِّدقُ أَوَّلُ الدَّواء.</w:t>
      </w:r>
    </w:p>
    <w:p>
      <w:pPr>
        <w:pStyle w:val="BlockText"/>
      </w:pPr>
      <w:r>
        <w:rPr>
          <w:i/>
        </w:rPr>
        <w:t xml:space="preserve">الإجراء: اِغسِل يَدَيكَ بِماءٍ وعَسَل وخَلٍّ قَبلَ أن تَلمِسَه.</w:t>
      </w:r>
      <w:r>
        <w:rPr>
          <w:i/>
        </w:rPr>
        <w:t xml:space="preserve"> </w:t>
      </w:r>
      <w:r>
        <w:rPr>
          <w:i/>
        </w:rPr>
        <w:t xml:space="preserve">(لا أَعرِفُ لِماذا، لكِنّي أَعرِفُ أنَّ ذلكَ يَنفَع.) ثُمَّ اكشِط</w:t>
      </w:r>
      <w:r>
        <w:rPr>
          <w:i/>
        </w:rPr>
        <w:t xml:space="preserve"> </w:t>
      </w:r>
      <w:r>
        <w:rPr>
          <w:i/>
        </w:rPr>
        <w:t xml:space="preserve">القَيحَ بِنَصلٍ نَظيفٍ مَرَّ على نارٍ بَيضاء. اغسِل الجُرحَ بِخَلِّ</w:t>
      </w:r>
      <w:r>
        <w:rPr>
          <w:i/>
        </w:rPr>
        <w:t xml:space="preserve"> </w:t>
      </w:r>
      <w:r>
        <w:rPr>
          <w:i/>
        </w:rPr>
        <w:t xml:space="preserve">العِنَب. ضَع علَيهِ عَسَلًا — العَسَلُ الجَيِّدُ يَكفي. ضَمِّدهُ بِكَتَّانٍ</w:t>
      </w:r>
      <w:r>
        <w:rPr>
          <w:i/>
        </w:rPr>
        <w:t xml:space="preserve"> </w:t>
      </w:r>
      <w:r>
        <w:rPr>
          <w:i/>
        </w:rPr>
        <w:t xml:space="preserve">غُسِلَ ثُمَّ غُلِيَ.</w:t>
      </w:r>
    </w:p>
    <w:p>
      <w:pPr>
        <w:pStyle w:val="BlockText"/>
      </w:pPr>
      <w:r>
        <w:rPr>
          <w:i/>
        </w:rPr>
        <w:t xml:space="preserve">وإذا اشتَدَّ الأَلَم، أَعطِه شَرابَ لِحاءِ الصَّفصاف. كَأسًا في</w:t>
      </w:r>
      <w:r>
        <w:rPr>
          <w:i/>
        </w:rPr>
        <w:t xml:space="preserve"> </w:t>
      </w:r>
      <w:r>
        <w:rPr>
          <w:i/>
        </w:rPr>
        <w:t xml:space="preserve">الصَّباح، كَأسًا في المَساء. (اِسأَلني لاحِقًا لِماذا الصَّفصاف. الجَوابُ</w:t>
      </w:r>
      <w:r>
        <w:rPr>
          <w:i/>
        </w:rPr>
        <w:t xml:space="preserve"> </w:t>
      </w:r>
      <w:r>
        <w:rPr>
          <w:i/>
        </w:rPr>
        <w:t xml:space="preserve">طَويلٌ ولا أَعرِفُه كلَّه.)</w:t>
      </w:r>
    </w:p>
    <w:p>
      <w:pPr>
        <w:pStyle w:val="BlockText"/>
      </w:pPr>
      <w:r>
        <w:rPr>
          <w:i/>
        </w:rPr>
        <w:t xml:space="preserve">لا تَستَخدِم الرَّوثَ. لا تَستَخدِم البَولَ. لا تَستَخدِم لُعابَ</w:t>
      </w:r>
      <w:r>
        <w:rPr>
          <w:i/>
        </w:rPr>
        <w:t xml:space="preserve"> </w:t>
      </w:r>
      <w:r>
        <w:rPr>
          <w:i/>
        </w:rPr>
        <w:t xml:space="preserve">الكَلب. تَعويذَةُ المَعبَدِ لا تَضُرّ، لكنَّ النَّظافَةَ تَنفَع.</w:t>
      </w:r>
    </w:p>
    <w:p>
      <w:pPr>
        <w:pStyle w:val="FirstParagraph"/>
      </w:pPr>
      <w:r>
        <w:rPr>
          <w:rFonts w:ascii="Amiri" w:hAnsi="Amiri" w:cs="Amiri"/>
          <w:b/>
          <w:bCs/>
          <w:color w:val="C9A227"/>
          <w:sz w:val="36"/>
          <w:szCs w:val="36"/>
        </w:rPr>
        <w:t xml:space="preserve">(تَعليق:</w:t>
      </w:r>
      <w:r>
        <w:t xml:space="preserve"> العَسَلُ مُضادٌّ حَيَويٌّ طَبيعيّ. الصَّفصافُ يَحوي حَمضَ</w:t>
      </w:r>
      <w:r>
        <w:rPr>
          <w:i/>
        </w:rPr>
        <w:t xml:space="preserve"> </w:t>
      </w:r>
      <w:r>
        <w:rPr>
          <w:i/>
        </w:rPr>
        <w:t xml:space="preserve">السَّاليسيليك — أصلَ الأسبرين. الفَجوَة بَين »لا أَعرِفُ لِماذا« و»أَعرِفُ</w:t>
      </w:r>
      <w:r>
        <w:rPr>
          <w:i/>
        </w:rPr>
        <w:t xml:space="preserve"> </w:t>
      </w:r>
      <w:r>
        <w:rPr>
          <w:i/>
        </w:rPr>
        <w:t xml:space="preserve">أنَّه يَنفَع« هي الفَجوَةُ الَّتي يَعيشُ فيها كلُّ طَبيبٍ في كلِّ زَمَن.)</w:t>
      </w:r>
    </w:p>
    <w:p>
      <w:pPr>
        <w:pStyle w:val="Heading2"/>
      </w:pPr>
      <w:bookmarkStart w:id="87" w:name="في-فحص-الصدر"/>
      <w:r>
        <w:t xml:space="preserve">٣. في فَحصِ الصَّدر</w:t>
      </w:r>
      <w:bookmarkEnd w:id="87"/>
    </w:p>
    <w:p>
      <w:pPr>
        <w:pStyle w:val="BlockText"/>
      </w:pPr>
      <w:r>
        <w:rPr>
          <w:i/>
        </w:rPr>
        <w:t xml:space="preserve">ضَع أُذُنَكَ على صَدرِ المَريض. لا تَستَحِ. لا الكاهِنُ ولا الضَّابِطُ</w:t>
      </w:r>
      <w:r>
        <w:rPr>
          <w:i/>
        </w:rPr>
        <w:t xml:space="preserve"> </w:t>
      </w:r>
      <w:r>
        <w:rPr>
          <w:i/>
        </w:rPr>
        <w:t xml:space="preserve">ولا الفَلَّاح يَملِكُ صَدرًا أَطهَرَ من صَدرِ آخَر. كلُّهم يَتَنَفَّسون</w:t>
      </w:r>
      <w:r>
        <w:rPr>
          <w:i/>
        </w:rPr>
        <w:t xml:space="preserve"> </w:t>
      </w:r>
      <w:r>
        <w:rPr>
          <w:i/>
        </w:rPr>
        <w:t xml:space="preserve">الهَواءَ نَفسَه.</w:t>
      </w:r>
    </w:p>
    <w:p>
      <w:pPr>
        <w:pStyle w:val="BlockText"/>
      </w:pPr>
      <w:r>
        <w:rPr>
          <w:i/>
        </w:rPr>
        <w:t xml:space="preserve">إن سَمِعتَ صَوتًا كَخَفقِ الجَناحَين بَينَ النَّفَسَين، فَالقَلبُ</w:t>
      </w:r>
      <w:r>
        <w:rPr>
          <w:i/>
        </w:rPr>
        <w:t xml:space="preserve"> </w:t>
      </w:r>
      <w:r>
        <w:rPr>
          <w:i/>
        </w:rPr>
        <w:t xml:space="preserve">يَتَّعِب. إن سَمِعتَ صَفيرًا كَأَنَّ الهَواءَ يَمُرُّ مِن قَصَبَةٍ</w:t>
      </w:r>
      <w:r>
        <w:rPr>
          <w:i/>
        </w:rPr>
        <w:t xml:space="preserve"> </w:t>
      </w:r>
      <w:r>
        <w:rPr>
          <w:i/>
        </w:rPr>
        <w:t xml:space="preserve">ضَيِّقَة، فَفي الرِّئَةِ مَرَض. إن لم تَسمَع شَيئًا — اقتَرِب أَكثَر،</w:t>
      </w:r>
      <w:r>
        <w:rPr>
          <w:i/>
        </w:rPr>
        <w:t xml:space="preserve"> </w:t>
      </w:r>
      <w:r>
        <w:rPr>
          <w:i/>
        </w:rPr>
        <w:t xml:space="preserve">ولا تَخَفْ مِن أن تَخَطِئ. الطَّبيبُ الَّذي لا يَخطِئُ لم يَفحَص أَحَدًا.</w:t>
      </w:r>
    </w:p>
    <w:p>
      <w:pPr>
        <w:pStyle w:val="Heading2"/>
      </w:pPr>
      <w:bookmarkStart w:id="88" w:name="في-الفتاة-الصماء"/>
      <w:r>
        <w:t xml:space="preserve">٤. في الفَتاةِ الصَّمَّاء</w:t>
      </w:r>
      <w:bookmarkEnd w:id="88"/>
    </w:p>
    <w:p>
      <w:pPr>
        <w:pStyle w:val="FirstParagraph"/>
      </w:pPr>
      <w:r>
        <w:rPr>
          <w:rFonts w:ascii="Amiri" w:hAnsi="Amiri" w:cs="Amiri"/>
          <w:b/>
          <w:bCs/>
          <w:color w:val="C9A227"/>
          <w:sz w:val="36"/>
          <w:szCs w:val="36"/>
        </w:rPr>
        <w:t xml:space="preserve">(تَعليق:</w:t>
      </w:r>
      <w:r>
        <w:t xml:space="preserve"> مَرَّ هذا المَقطَعُ بِيَدِ مَري-إيت بَعدَ سَنَواتٍ من رَحيلِ</w:t>
      </w:r>
      <w:r>
        <w:rPr>
          <w:i/>
        </w:rPr>
        <w:t xml:space="preserve"> </w:t>
      </w:r>
      <w:r>
        <w:rPr>
          <w:i/>
        </w:rPr>
        <w:t xml:space="preserve">أَحمد، فَأَضافَت في هامِشِه بِخَطٍّ صَغير: »نَعَم، يا سَيِّدي.«)</w:t>
      </w:r>
    </w:p>
    <w:p>
      <w:pPr>
        <w:pStyle w:val="BlockText"/>
      </w:pPr>
      <w:r>
        <w:rPr>
          <w:i/>
        </w:rPr>
        <w:t xml:space="preserve">الصَّمَمُ ليسَ لَعنَة. الصَّمَمُ هو أَنَّ الأُذُنَ لا تَسمَع. لا</w:t>
      </w:r>
      <w:r>
        <w:rPr>
          <w:i/>
        </w:rPr>
        <w:t xml:space="preserve"> </w:t>
      </w:r>
      <w:r>
        <w:rPr>
          <w:i/>
        </w:rPr>
        <w:t xml:space="preserve">أَكثَر، ولا أَقَلّ.</w:t>
      </w:r>
    </w:p>
    <w:p>
      <w:pPr>
        <w:pStyle w:val="BlockText"/>
      </w:pPr>
      <w:r>
        <w:rPr>
          <w:i/>
        </w:rPr>
        <w:t xml:space="preserve">ولا يَعني أنَّ صاحِبَها أَقَلُّ ذَكاءً، ولا أَنَّها سَتَكونُ عَبئًا،</w:t>
      </w:r>
      <w:r>
        <w:rPr>
          <w:i/>
        </w:rPr>
        <w:t xml:space="preserve"> </w:t>
      </w:r>
      <w:r>
        <w:rPr>
          <w:i/>
        </w:rPr>
        <w:t xml:space="preserve">ولا أنَّ الآلِهَةَ غَضِبَت على أُمِّها أَو أَبيها. صَمَمٌ كَأَنَّ في</w:t>
      </w:r>
      <w:r>
        <w:rPr>
          <w:i/>
        </w:rPr>
        <w:t xml:space="preserve"> </w:t>
      </w:r>
      <w:r>
        <w:rPr>
          <w:i/>
        </w:rPr>
        <w:t xml:space="preserve">الأُذُنِ مَرَضًا قَديمًا قَبلَ الوِلادَة، أَو حُمَّى أَصابَتها وهي صَغيرَة،</w:t>
      </w:r>
      <w:r>
        <w:rPr>
          <w:i/>
        </w:rPr>
        <w:t xml:space="preserve"> </w:t>
      </w:r>
      <w:r>
        <w:rPr>
          <w:i/>
        </w:rPr>
        <w:t xml:space="preserve">أَو سَبَبٌ لا يَعرِفُه أَحَد بَعد. سَتُعرَفُ الأَسبابُ يَومًا. الآنَ</w:t>
      </w:r>
      <w:r>
        <w:rPr>
          <w:i/>
        </w:rPr>
        <w:t xml:space="preserve"> </w:t>
      </w:r>
      <w:r>
        <w:rPr>
          <w:i/>
        </w:rPr>
        <w:t xml:space="preserve">يَكفي أن نَعرِفَ ما لا تَعنيه.</w:t>
      </w:r>
    </w:p>
    <w:p>
      <w:pPr>
        <w:pStyle w:val="BlockText"/>
      </w:pPr>
      <w:r>
        <w:rPr>
          <w:i/>
        </w:rPr>
        <w:t xml:space="preserve">عَلِّموها لُغَةَ اليَدَين. كلُّ يَدٍ تَستَطيعُ أن تَكونَ صَوتًا.</w:t>
      </w:r>
    </w:p>
    <w:p>
      <w:pPr>
        <w:pStyle w:val="Heading2"/>
      </w:pPr>
      <w:bookmarkStart w:id="89" w:name="في-الكسر-المفتوح"/>
      <w:r>
        <w:t xml:space="preserve">٥. في الكَسرِ المَفتوح</w:t>
      </w:r>
      <w:bookmarkEnd w:id="89"/>
    </w:p>
    <w:p>
      <w:pPr>
        <w:pStyle w:val="BlockText"/>
      </w:pPr>
      <w:r>
        <w:rPr>
          <w:i/>
        </w:rPr>
        <w:t xml:space="preserve">إذا انكَسَرَ العَظمُ وخَرَقَ الجِلدَ، فَالخَطَرُ ليسَ في العَظمِ بَل</w:t>
      </w:r>
      <w:r>
        <w:rPr>
          <w:i/>
        </w:rPr>
        <w:t xml:space="preserve"> </w:t>
      </w:r>
      <w:r>
        <w:rPr>
          <w:i/>
        </w:rPr>
        <w:t xml:space="preserve">في الجُرح. اِغسِل أَوَّلًا، ثُمَّ ثَبِّت. لا تَعكِس التَّرتيب.</w:t>
      </w:r>
    </w:p>
    <w:p>
      <w:pPr>
        <w:pStyle w:val="BlockText"/>
      </w:pPr>
      <w:r>
        <w:rPr>
          <w:i/>
        </w:rPr>
        <w:t xml:space="preserve">جَبيرَتي المُفَضَّلَة: لِحاءُ النَّخل، مَنقوعًا في الماءِ ساعَة، ثُمَّ</w:t>
      </w:r>
      <w:r>
        <w:rPr>
          <w:i/>
        </w:rPr>
        <w:t xml:space="preserve"> </w:t>
      </w:r>
      <w:r>
        <w:rPr>
          <w:i/>
        </w:rPr>
        <w:t xml:space="preserve">مَلفوفًا حَولَ الكَسرِ كَما تَلُفُّ المَوميَاء. حِينَ يَجِفّ، يَصيرُ كَالحَجَر.</w:t>
      </w:r>
    </w:p>
    <w:p>
      <w:pPr>
        <w:pStyle w:val="BlockText"/>
      </w:pPr>
      <w:r>
        <w:rPr>
          <w:i/>
        </w:rPr>
        <w:t xml:space="preserve">لا تَنسَ أَن تَفحَصَ الإصبَع كلَّ يَوم. إن صارَ بارِدًا أَو أَزرَقًا،</w:t>
      </w:r>
      <w:r>
        <w:rPr>
          <w:i/>
        </w:rPr>
        <w:t xml:space="preserve"> </w:t>
      </w:r>
      <w:r>
        <w:rPr>
          <w:i/>
        </w:rPr>
        <w:t xml:space="preserve">فَالجَبيرَةُ شَديدَةٌ ولا بُدَّ من فَكِّها. إصبَعٌ بارِدٌ أَخطَرُ من</w:t>
      </w:r>
      <w:r>
        <w:rPr>
          <w:i/>
        </w:rPr>
        <w:t xml:space="preserve"> </w:t>
      </w:r>
      <w:r>
        <w:rPr>
          <w:i/>
        </w:rPr>
        <w:t xml:space="preserve">كَسرٍ مَفتوح.</w:t>
      </w:r>
    </w:p>
    <w:p>
      <w:pPr>
        <w:pStyle w:val="Heading2"/>
      </w:pPr>
      <w:bookmarkStart w:id="90" w:name="في-الموت"/>
      <w:r>
        <w:t xml:space="preserve">٦. في المَوت</w:t>
      </w:r>
      <w:bookmarkEnd w:id="90"/>
    </w:p>
    <w:p>
      <w:pPr>
        <w:pStyle w:val="BlockText"/>
      </w:pPr>
      <w:r>
        <w:rPr>
          <w:i/>
        </w:rPr>
        <w:t xml:space="preserve">سَيَموتُ في يَدَيكَ مَرضى. لا تَكذِب على نَفسِك. حَتَّى أَفضَلُ</w:t>
      </w:r>
      <w:r>
        <w:rPr>
          <w:i/>
        </w:rPr>
        <w:t xml:space="preserve"> </w:t>
      </w:r>
      <w:r>
        <w:rPr>
          <w:i/>
        </w:rPr>
        <w:t xml:space="preserve">الأَطِبَّاءِ في المَعابِدِ الكُبرى يَخسَرون.</w:t>
      </w:r>
    </w:p>
    <w:p>
      <w:pPr>
        <w:pStyle w:val="BlockText"/>
      </w:pPr>
      <w:r>
        <w:rPr>
          <w:i/>
        </w:rPr>
        <w:t xml:space="preserve">لكِن — إن مَاتَ مَريضُكَ — لا تُغطِّ وَجهَه ثُمَّ تَنصَرِف. اِجلِس.</w:t>
      </w:r>
      <w:r>
        <w:rPr>
          <w:i/>
        </w:rPr>
        <w:t xml:space="preserve"> </w:t>
      </w:r>
      <w:r>
        <w:rPr>
          <w:i/>
        </w:rPr>
        <w:t xml:space="preserve">اُكتُب اسمَه. اُكتُب ما حاوَلت. اُكتُب ما الَّذي ما كانَ يَنبَغي أن</w:t>
      </w:r>
      <w:r>
        <w:rPr>
          <w:i/>
        </w:rPr>
        <w:t xml:space="preserve"> </w:t>
      </w:r>
      <w:r>
        <w:rPr>
          <w:i/>
        </w:rPr>
        <w:t xml:space="preserve">تَفعَلَه. اُكتُب ما الَّذي تَتَعَلَّمُهُ مِن مَوتِه.</w:t>
      </w:r>
    </w:p>
    <w:p>
      <w:pPr>
        <w:pStyle w:val="BlockText"/>
      </w:pPr>
      <w:r>
        <w:rPr>
          <w:i/>
        </w:rPr>
        <w:t xml:space="preserve">الأَطِبَّاءُ الَّذينَ لا يَكتُبون عن مَوتاهُم يُعيدونَ المَوتَ ذاتَه</w:t>
      </w:r>
      <w:r>
        <w:rPr>
          <w:i/>
        </w:rPr>
        <w:t xml:space="preserve"> </w:t>
      </w:r>
      <w:r>
        <w:rPr>
          <w:i/>
        </w:rPr>
        <w:t xml:space="preserve">في مَرضى آخَرين. والأَطِبَّاءُ الَّذينَ يَكتُبونَ يُنقِذون مَن سَيَأتي</w:t>
      </w:r>
      <w:r>
        <w:rPr>
          <w:i/>
        </w:rPr>
        <w:t xml:space="preserve"> </w:t>
      </w:r>
      <w:r>
        <w:rPr>
          <w:i/>
        </w:rPr>
        <w:t xml:space="preserve">بَعد عام. ومَن سَيَأتي بَعد أَلفِ عام.</w:t>
      </w:r>
    </w:p>
    <w:p>
      <w:pPr>
        <w:pStyle w:val="Heading2"/>
      </w:pPr>
      <w:bookmarkStart w:id="91" w:name="كلمة-أخيرة-للتلميذ"/>
      <w:r>
        <w:t xml:space="preserve">٧. كَلِمَةٌ أَخيرَة لِلتِّلميذ</w:t>
      </w:r>
      <w:bookmarkEnd w:id="91"/>
    </w:p>
    <w:p>
      <w:pPr>
        <w:pStyle w:val="BlockText"/>
      </w:pPr>
      <w:r>
        <w:rPr>
          <w:i/>
        </w:rPr>
        <w:t xml:space="preserve">إذا قَرَأتَ هذه البَردِيَّةَ بَعدَ أن غادَرتُ — وأَنا أَعرِفُ أنَّني</w:t>
      </w:r>
      <w:r>
        <w:rPr>
          <w:i/>
        </w:rPr>
        <w:t xml:space="preserve"> </w:t>
      </w:r>
      <w:r>
        <w:rPr>
          <w:i/>
        </w:rPr>
        <w:t xml:space="preserve">سَأُغادِر — فاذكُر:</w:t>
      </w:r>
    </w:p>
    <w:p>
      <w:pPr>
        <w:pStyle w:val="BlockText"/>
      </w:pPr>
      <w:r>
        <w:rPr>
          <w:i/>
        </w:rPr>
        <w:t xml:space="preserve">لم أَكُن أَفضَلَ مِنكَ. كنتُ فَقَط جِئتُ من مَكانٍ آخَر. والمَكانُ</w:t>
      </w:r>
      <w:r>
        <w:rPr>
          <w:i/>
        </w:rPr>
        <w:t xml:space="preserve"> </w:t>
      </w:r>
      <w:r>
        <w:rPr>
          <w:i/>
        </w:rPr>
        <w:t xml:space="preserve">الآخَرُ ليسَ سَماء. هو زَمَنٌ آخَر. سَيَأتي الَّذينَ يَأتونَ بَعدَكَ</w:t>
      </w:r>
      <w:r>
        <w:rPr>
          <w:i/>
        </w:rPr>
        <w:t xml:space="preserve"> </w:t>
      </w:r>
      <w:r>
        <w:rPr>
          <w:i/>
        </w:rPr>
        <w:t xml:space="preserve">ومَعهُم آلاتٌ تُريهِم داخِلَ الجِسم بِلا فَتح. لا تَخَف. الطِّبُّ</w:t>
      </w:r>
      <w:r>
        <w:rPr>
          <w:i/>
        </w:rPr>
        <w:t xml:space="preserve"> </w:t>
      </w:r>
      <w:r>
        <w:rPr>
          <w:i/>
        </w:rPr>
        <w:t xml:space="preserve">سيَكبَرُ. والطِّبيبُ سيَبقى صَغيرًا أَمامَه. هذه طَبيعَةُ الأَمر.</w:t>
      </w:r>
    </w:p>
    <w:p>
      <w:pPr>
        <w:pStyle w:val="BlockText"/>
      </w:pPr>
      <w:r>
        <w:rPr>
          <w:i/>
        </w:rPr>
        <w:t xml:space="preserve">لكِنَّ شَيئًا لن يَتَغَيَّر: اليَدُ الَّتي تَلمِسُ يَدَ المَريض.</w:t>
      </w:r>
      <w:r>
        <w:rPr>
          <w:i/>
        </w:rPr>
        <w:t xml:space="preserve"> </w:t>
      </w:r>
      <w:r>
        <w:rPr>
          <w:i/>
        </w:rPr>
        <w:t xml:space="preserve">الكَلِمَةُ الَّتي تَقولُها لِلأُمِّ حِينَ تَخسَرُ ابنَها. السَّكينَة</w:t>
      </w:r>
      <w:r>
        <w:rPr>
          <w:i/>
        </w:rPr>
        <w:t xml:space="preserve"> </w:t>
      </w:r>
      <w:r>
        <w:rPr>
          <w:i/>
        </w:rPr>
        <w:t xml:space="preserve">الَّتي تَترُكُها في غُرفَةِ المُحتَضِر.</w:t>
      </w:r>
    </w:p>
    <w:p>
      <w:pPr>
        <w:pStyle w:val="BlockText"/>
      </w:pPr>
      <w:r>
        <w:rPr>
          <w:i/>
        </w:rPr>
        <w:t xml:space="preserve">هذا ما تَتَعَلَّمُه مِنّي. الباقي تَتَعَلَّمُه من زَمانِكَ أَنتَ.</w:t>
      </w:r>
    </w:p>
    <w:p>
      <w:pPr>
        <w:pStyle w:val="BlockText"/>
      </w:pPr>
      <w:r>
        <w:rPr>
          <w:i/>
        </w:rPr>
        <w:t xml:space="preserve">— أحمد، طَبيبُ بَيتِ الحَياة، طِيبَة، السَّنَة الَّتي لم أَعُدها.</w:t>
      </w:r>
    </w:p>
    <w:p>
      <w:pPr>
        <w:pStyle w:val="Heading1"/>
      </w:pPr>
      <w:bookmarkStart w:id="92" w:name="مسرد-المصطلحات"/>
      <w:r>
        <w:t xml:space="preserve">مَسرَدُ المُصطَلَحات</w:t>
      </w:r>
      <w:bookmarkEnd w:id="92"/>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93" w:name="الأماكن"/>
      <w:r>
        <w:t xml:space="preserve">الأَماكِن</w:t>
      </w:r>
      <w:bookmarkEnd w:id="93"/>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94" w:name="الآلهة"/>
      <w:r>
        <w:t xml:space="preserve">الآلِهَة</w:t>
      </w:r>
      <w:bookmarkEnd w:id="94"/>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95" w:name="الأشخاص-والرتب"/>
      <w:r>
        <w:t xml:space="preserve">الأَشخاصُ والرُّتَب</w:t>
      </w:r>
      <w:bookmarkEnd w:id="95"/>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96" w:name="الأدوات-والمفاهيم"/>
      <w:r>
        <w:t xml:space="preserve">الأَدَواتُ والمفاهيم</w:t>
      </w:r>
      <w:bookmarkEnd w:id="96"/>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97" w:name="الحقبة-الزمنية"/>
      <w:r>
        <w:t xml:space="preserve">الحِقبَةُ الزَّمَنيَّة</w:t>
      </w:r>
      <w:bookmarkEnd w:id="97"/>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98" w:name="عن-المؤلف"/>
      <w:r>
        <w:t xml:space="preserve">عن المؤلِّف</w:t>
      </w:r>
      <w:bookmarkEnd w:id="98"/>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99" w:name="نبذة-الغلاف-الخلفي"/>
      <w:r>
        <w:t xml:space="preserve">نَبذَةُ الغِلافِ الخَلفيّ</w:t>
      </w:r>
      <w:bookmarkEnd w:id="99"/>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2026-04-30T04:55:22Z</dcterms:created>
  <dcterms:modified xsi:type="dcterms:W3CDTF">2026-04-30T04:55:22Z</dcterms:modified>
</cp:coreProperties>
</file>

<file path=docProps/custom.xml><?xml version="1.0" encoding="utf-8"?>
<Properties xmlns="http://schemas.openxmlformats.org/officeDocument/2006/custom-properties" xmlns:vt="http://schemas.openxmlformats.org/officeDocument/2006/docPropsVTypes"/>
</file>