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r>
        <w:pict>
          <v:rect style="width:0;height:1.5pt" o:hralign="center" o:hrstd="t" o:hr="t"/>
        </w:pict>
      </w:r>
    </w:p>
    <w:p>
      <w:pPr>
        <w:pStyle w:val="BlockText"/>
      </w:pPr>
      <w:r>
        <w:rPr>
          <w:i/>
        </w:rPr>
        <w:t xml:space="preserve">«أَنا الأَمسُ، وأَعرِفُ الغَد.»</w:t>
      </w:r>
    </w:p>
    <w:p>
      <w:pPr>
        <w:pStyle w:val="BlockText"/>
      </w:pPr>
      <w:r>
        <w:t xml:space="preserve">— من كِتاب المَوتى المِصريّ، التَّعويذة ١٧</w: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pPr>
        <w:pStyle w:val="Heading1"/>
      </w:pPr>
      <w:bookmarkStart w:id="22" w:name="الفهرس"/>
      <w:r>
        <w:t xml:space="preserve">الفِهرِس</w:t>
      </w:r>
      <w:bookmarkEnd w:id="22"/>
    </w:p>
    <w:p>
      <w:r>
        <w:pict>
          <v:rect style="width:0;height:1.5pt" o:hralign="center" o:hrstd="t" o:hr="t"/>
        </w:pict>
      </w:r>
    </w:p>
    <w:p>
      <w:pPr>
        <w:numPr>
          <w:ilvl w:val="0"/>
          <w:numId w:val="1002"/>
        </w:numPr>
        <w:pStyle w:val="Compact"/>
      </w:pPr>
      <w:r>
        <w:t xml:space="preserve">دَليلُ الشَّخصيَّات</w:t>
      </w:r>
    </w:p>
    <w:p>
      <w:r>
        <w:pict>
          <v:rect style="width:0;height:1.5pt" o:hralign="center" o:hrstd="t" o:hr="t"/>
        </w:pict>
      </w:r>
    </w:p>
    <w:p>
      <w:pPr>
        <w:pStyle w:val="GroupHeading"/>
      </w:pPr>
      <w:r>
        <w:t xml:space="preserve">القِسمُ الأَوَّل — العَتَبَة</w:t>
      </w:r>
    </w:p>
    <w:p>
      <w:pPr>
        <w:numPr>
          <w:ilvl w:val="0"/>
          <w:numId w:val="1003"/>
        </w:numPr>
        <w:pStyle w:val="Compact"/>
      </w:pPr>
      <w:r>
        <w:t xml:space="preserve">المُقَدِّمَة</w:t>
      </w:r>
    </w:p>
    <w:p>
      <w:pPr>
        <w:numPr>
          <w:ilvl w:val="0"/>
          <w:numId w:val="1003"/>
        </w:numPr>
        <w:pStyle w:val="Compact"/>
      </w:pPr>
      <w:r>
        <w:t xml:space="preserve">الفَصلُ صِفر — الطَّبيبُ الوَحيد</w:t>
      </w:r>
    </w:p>
    <w:p>
      <w:pPr>
        <w:numPr>
          <w:ilvl w:val="0"/>
          <w:numId w:val="1003"/>
        </w:numPr>
        <w:pStyle w:val="Compact"/>
      </w:pPr>
      <w:r>
        <w:t xml:space="preserve">الفَصلُ الأَوَّل — نِداءُ الكَرنَك</w:t>
      </w:r>
    </w:p>
    <w:p>
      <w:pPr>
        <w:numPr>
          <w:ilvl w:val="0"/>
          <w:numId w:val="1003"/>
        </w:numPr>
        <w:pStyle w:val="Compact"/>
      </w:pPr>
      <w:r>
        <w:t xml:space="preserve">الفَصلُ الثاني — المُعادَلَة</w:t>
      </w:r>
    </w:p>
    <w:p>
      <w:pPr>
        <w:numPr>
          <w:ilvl w:val="0"/>
          <w:numId w:val="1003"/>
        </w:numPr>
        <w:pStyle w:val="Compact"/>
      </w:pPr>
      <w:r>
        <w:t xml:space="preserve">الفَصلُ الثالث — العُبور</w:t>
      </w:r>
    </w:p>
    <w:p>
      <w:pPr>
        <w:pStyle w:val="GroupHeading"/>
      </w:pPr>
      <w:r>
        <w:t xml:space="preserve">القِسمُ الثاني — الغَريبُ في طِيبَة</w:t>
      </w:r>
    </w:p>
    <w:p>
      <w:pPr>
        <w:numPr>
          <w:ilvl w:val="0"/>
          <w:numId w:val="1004"/>
        </w:numPr>
        <w:pStyle w:val="Compact"/>
      </w:pPr>
      <w:r>
        <w:t xml:space="preserve">الفَصلُ الرابع — لُغَةُ الشِّفاء</w:t>
      </w:r>
    </w:p>
    <w:p>
      <w:pPr>
        <w:numPr>
          <w:ilvl w:val="0"/>
          <w:numId w:val="1004"/>
        </w:numPr>
        <w:pStyle w:val="Compact"/>
      </w:pPr>
      <w:r>
        <w:t xml:space="preserve">الفَصلُ الخامس — الاختِبارُ الأَوَّل</w:t>
      </w:r>
    </w:p>
    <w:p>
      <w:pPr>
        <w:numPr>
          <w:ilvl w:val="0"/>
          <w:numId w:val="1004"/>
        </w:numPr>
        <w:pStyle w:val="Compact"/>
      </w:pPr>
      <w:r>
        <w:t xml:space="preserve">الفَصلُ السادس — كاتِبَةُ المَعبَد</w:t>
      </w:r>
    </w:p>
    <w:p>
      <w:pPr>
        <w:numPr>
          <w:ilvl w:val="0"/>
          <w:numId w:val="1004"/>
        </w:numPr>
        <w:pStyle w:val="Compact"/>
      </w:pPr>
      <w:r>
        <w:t xml:space="preserve">الفَصلُ السابع — المَريضُ الغامِض</w:t>
      </w:r>
    </w:p>
    <w:p>
      <w:pPr>
        <w:numPr>
          <w:ilvl w:val="0"/>
          <w:numId w:val="1004"/>
        </w:numPr>
        <w:pStyle w:val="Compact"/>
      </w:pPr>
      <w:r>
        <w:t xml:space="preserve">الفَصلُ الثامن — لَيلَةُ الاعتِرافات</w:t>
      </w:r>
    </w:p>
    <w:p>
      <w:pPr>
        <w:numPr>
          <w:ilvl w:val="0"/>
          <w:numId w:val="1004"/>
        </w:numPr>
        <w:pStyle w:val="Compact"/>
      </w:pPr>
      <w:r>
        <w:t xml:space="preserve">الفَصلُ التاسع — عَدُوٌّ في الظِّلّ</w:t>
      </w:r>
    </w:p>
    <w:p>
      <w:pPr>
        <w:pStyle w:val="GroupHeading"/>
      </w:pPr>
      <w:r>
        <w:t xml:space="preserve">القِسمُ الثالث — الأَزمَةُ الكُبرى</w:t>
      </w:r>
    </w:p>
    <w:p>
      <w:pPr>
        <w:numPr>
          <w:ilvl w:val="0"/>
          <w:numId w:val="1005"/>
        </w:numPr>
        <w:pStyle w:val="Compact"/>
      </w:pPr>
      <w:r>
        <w:t xml:space="preserve">الفَصلُ العاشِر — نُذُرُ الكارِثَة</w:t>
      </w:r>
    </w:p>
    <w:p>
      <w:pPr>
        <w:numPr>
          <w:ilvl w:val="0"/>
          <w:numId w:val="1005"/>
        </w:numPr>
        <w:pStyle w:val="Compact"/>
      </w:pPr>
      <w:r>
        <w:t xml:space="preserve">الفَصلُ الحادي عَشَر — الوَباء</w:t>
      </w:r>
    </w:p>
    <w:p>
      <w:pPr>
        <w:numPr>
          <w:ilvl w:val="0"/>
          <w:numId w:val="1005"/>
        </w:numPr>
        <w:pStyle w:val="Compact"/>
      </w:pPr>
      <w:r>
        <w:t xml:space="preserve">الفَصلُ الثاني عَشَر — في قَلبِ الجَحيم</w:t>
      </w:r>
    </w:p>
    <w:p>
      <w:pPr>
        <w:numPr>
          <w:ilvl w:val="0"/>
          <w:numId w:val="1005"/>
        </w:numPr>
        <w:pStyle w:val="Compact"/>
      </w:pPr>
      <w:r>
        <w:t xml:space="preserve">الفَصلُ الثالث عَشَر — الطِّفلُ والقَدَر</w:t>
      </w:r>
    </w:p>
    <w:p>
      <w:pPr>
        <w:numPr>
          <w:ilvl w:val="0"/>
          <w:numId w:val="1005"/>
        </w:numPr>
        <w:pStyle w:val="Compact"/>
      </w:pPr>
      <w:r>
        <w:t xml:space="preserve">الفَصلُ الرابع عَشَر — طُبولُ الحَرب</w:t>
      </w:r>
    </w:p>
    <w:p>
      <w:pPr>
        <w:numPr>
          <w:ilvl w:val="0"/>
          <w:numId w:val="1005"/>
        </w:numPr>
        <w:pStyle w:val="Compact"/>
      </w:pPr>
      <w:r>
        <w:t xml:space="preserve">الفَصلُ الخامس عَشَر — المَعرَكَة</w:t>
      </w:r>
    </w:p>
    <w:p>
      <w:pPr>
        <w:numPr>
          <w:ilvl w:val="0"/>
          <w:numId w:val="1005"/>
        </w:numPr>
        <w:pStyle w:val="Compact"/>
      </w:pPr>
      <w:r>
        <w:t xml:space="preserve">الفَصلُ السادس عَشَر — ثِقَلُ الدَّم</w:t>
      </w:r>
    </w:p>
    <w:p>
      <w:pPr>
        <w:numPr>
          <w:ilvl w:val="0"/>
          <w:numId w:val="1005"/>
        </w:numPr>
        <w:pStyle w:val="Compact"/>
      </w:pPr>
      <w:r>
        <w:t xml:space="preserve">الفَصلُ السابع عَشَر — العَودَة</w:t>
      </w:r>
    </w:p>
    <w:p>
      <w:pPr>
        <w:pStyle w:val="GroupHeading"/>
      </w:pPr>
      <w:r>
        <w:t xml:space="preserve">القِسمُ الرابع — المُؤامَرَة</w:t>
      </w:r>
    </w:p>
    <w:p>
      <w:pPr>
        <w:numPr>
          <w:ilvl w:val="0"/>
          <w:numId w:val="1006"/>
        </w:numPr>
        <w:pStyle w:val="Compact"/>
      </w:pPr>
      <w:r>
        <w:t xml:space="preserve">الفَصلُ الثامن عَشَر — الظِّلالُ تَتَحَرَّك</w:t>
      </w:r>
    </w:p>
    <w:p>
      <w:pPr>
        <w:numPr>
          <w:ilvl w:val="0"/>
          <w:numId w:val="1006"/>
        </w:numPr>
        <w:pStyle w:val="Compact"/>
      </w:pPr>
      <w:r>
        <w:t xml:space="preserve">الفَصلُ التاسع عَشَر — المُطارَدَةُ في السُّوق</w:t>
      </w:r>
    </w:p>
    <w:p>
      <w:pPr>
        <w:numPr>
          <w:ilvl w:val="0"/>
          <w:numId w:val="1006"/>
        </w:numPr>
        <w:pStyle w:val="Compact"/>
      </w:pPr>
      <w:r>
        <w:t xml:space="preserve">الفَصلُ العِشرون — المُحاكَمَة</w:t>
      </w:r>
    </w:p>
    <w:p>
      <w:pPr>
        <w:numPr>
          <w:ilvl w:val="0"/>
          <w:numId w:val="1006"/>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7"/>
        </w:numPr>
        <w:pStyle w:val="Compact"/>
      </w:pPr>
      <w:r>
        <w:t xml:space="preserve">الفَصلُ الثاني والعِشرون — ما بَعدَ الظَّلام</w:t>
      </w:r>
    </w:p>
    <w:p>
      <w:pPr>
        <w:numPr>
          <w:ilvl w:val="0"/>
          <w:numId w:val="1007"/>
        </w:numPr>
        <w:pStyle w:val="Compact"/>
      </w:pPr>
      <w:r>
        <w:t xml:space="preserve">الفَصلُ الثالث والعِشرون — تآكُلُ الذَّاكِرَة</w:t>
      </w:r>
    </w:p>
    <w:p>
      <w:pPr>
        <w:numPr>
          <w:ilvl w:val="0"/>
          <w:numId w:val="1007"/>
        </w:numPr>
        <w:pStyle w:val="Compact"/>
      </w:pPr>
      <w:r>
        <w:t xml:space="preserve">الفَصلُ الرابع والعِشرون — الدَّائرَةُ المُغلَقَة</w:t>
      </w:r>
    </w:p>
    <w:p>
      <w:pPr>
        <w:numPr>
          <w:ilvl w:val="0"/>
          <w:numId w:val="1007"/>
        </w:numPr>
        <w:pStyle w:val="Compact"/>
      </w:pPr>
      <w:r>
        <w:t xml:space="preserve">الفَصلُ الخامس والعِشرون — رِسالَةُ الغَريب</w:t>
      </w:r>
    </w:p>
    <w:p>
      <w:r>
        <w:pict>
          <v:rect style="width:0;height:1.5pt" o:hralign="center" o:hrstd="t" o:hr="t"/>
        </w:pict>
      </w:r>
    </w:p>
    <w:p>
      <w:pPr>
        <w:pStyle w:val="GroupHeading"/>
      </w:pPr>
      <w:r>
        <w:t xml:space="preserve">مُلحَقات</w:t>
      </w:r>
    </w:p>
    <w:p>
      <w:pPr>
        <w:numPr>
          <w:ilvl w:val="0"/>
          <w:numId w:val="1008"/>
        </w:numPr>
        <w:pStyle w:val="Compact"/>
      </w:pPr>
      <w:r>
        <w:t xml:space="preserve">كَلِمَةٌ من المُؤلِّف</w:t>
      </w:r>
    </w:p>
    <w:p>
      <w:pPr>
        <w:numPr>
          <w:ilvl w:val="0"/>
          <w:numId w:val="1008"/>
        </w:numPr>
        <w:pStyle w:val="Compact"/>
      </w:pPr>
      <w:r>
        <w:t xml:space="preserve">شُكرٌ وتَقدير</w:t>
      </w:r>
    </w:p>
    <w:p>
      <w:pPr>
        <w:numPr>
          <w:ilvl w:val="0"/>
          <w:numId w:val="1008"/>
        </w:numPr>
        <w:pStyle w:val="Compact"/>
      </w:pPr>
      <w:r>
        <w:t xml:space="preserve">مَسرَدُ المُصطَلَحات</w:t>
      </w:r>
    </w:p>
    <w:p>
      <w:pPr>
        <w:numPr>
          <w:ilvl w:val="0"/>
          <w:numId w:val="1008"/>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9"/>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9"/>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9"/>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10"/>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10"/>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10"/>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10"/>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10"/>
        </w:numPr>
        <w:pStyle w:val="Compact"/>
      </w:pPr>
      <w:r>
        <w:rPr>
          <w:b/>
        </w:rPr>
        <w:t xml:space="preserve">مَرنبتاح</w:t>
      </w:r>
      <w:r>
        <w:t xml:space="preserve"> </w:t>
      </w:r>
      <w:r>
        <w:t xml:space="preserve">— قائِدُ حَرَسِ المَعبَد. رَجُلٌ من فُولاذ، تَكشِفُ المِحنَةُ قَلبَه.</w:t>
      </w:r>
    </w:p>
    <w:p>
      <w:pPr>
        <w:numPr>
          <w:ilvl w:val="0"/>
          <w:numId w:val="1010"/>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10"/>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pPr>
        <w:pStyle w:val="Heading2"/>
      </w:pPr>
      <w:bookmarkStart w:id="26" w:name="الفصل-صفر-الطبيب-الوحيد"/>
      <w:r>
        <w:t xml:space="preserve">الفصل صفر: الطبيب الوحيد</w:t>
      </w:r>
      <w:bookmarkEnd w:id="26"/>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نداء الكرنك</w:t>
      </w:r>
      <w:bookmarkEnd w:id="27"/>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pPr>
        <w:pStyle w:val="Heading2"/>
      </w:pPr>
      <w:bookmarkStart w:id="28" w:name="الفصل-الثاني-المعادلة"/>
      <w:r>
        <w:t xml:space="preserve">الفصل الثاني: المعادلة</w:t>
      </w:r>
      <w:bookmarkEnd w:id="28"/>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pPr>
        <w:pStyle w:val="Heading2"/>
      </w:pPr>
      <w:bookmarkStart w:id="29" w:name="الفصل-الثالث-العبور"/>
      <w:r>
        <w:t xml:space="preserve">الفصل الثالث: العبور</w:t>
      </w:r>
      <w:bookmarkEnd w:id="29"/>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pPr>
        <w:pStyle w:val="Heading1"/>
      </w:pPr>
      <w:bookmarkStart w:id="30" w:name="القسم-الثاني-الغريب-في-طيبة"/>
      <w:r>
        <w:t xml:space="preserve">القسم الثاني: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لغة الشفاء</w:t>
      </w:r>
      <w:bookmarkEnd w:id="31"/>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الاختبار الأول</w:t>
      </w:r>
      <w:bookmarkEnd w:id="32"/>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كاتبة المعبد</w:t>
      </w:r>
      <w:bookmarkEnd w:id="33"/>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pStyle w:val="Heading2"/>
      </w:pPr>
      <w:bookmarkStart w:id="34" w:name="الفصل-السابع-المريض-الغامض"/>
      <w:r>
        <w:t xml:space="preserve">الفصل السابع: المريض الغامض</w:t>
      </w:r>
      <w:bookmarkEnd w:id="34"/>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ليلة الاعترافات</w:t>
      </w:r>
      <w:bookmarkEnd w:id="35"/>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عدو في الظل</w:t>
      </w:r>
      <w:bookmarkEnd w:id="36"/>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نذر الكارثة</w:t>
      </w:r>
      <w:bookmarkEnd w:id="38"/>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الوباء</w:t>
      </w:r>
      <w:bookmarkEnd w:id="39"/>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في قلب الجحيم</w:t>
      </w:r>
      <w:bookmarkEnd w:id="40"/>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الطفل والقدر</w:t>
      </w:r>
      <w:bookmarkEnd w:id="41"/>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طبول الحرب</w:t>
      </w:r>
      <w:bookmarkEnd w:id="42"/>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المعركة</w:t>
      </w:r>
      <w:bookmarkEnd w:id="43"/>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ثقل الدم</w:t>
      </w:r>
      <w:bookmarkEnd w:id="44"/>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العودة</w:t>
      </w:r>
      <w:bookmarkEnd w:id="45"/>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6" w:name="القسم-الرابع-المؤامرة"/>
      <w:r>
        <w:t xml:space="preserve">القسم الرابع: المؤامرة</w:t>
      </w:r>
      <w:bookmarkEnd w:id="46"/>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7" w:name="الفصل-الثامن-عشر-الظلال-تتحرك"/>
      <w:r>
        <w:t xml:space="preserve">الفصل الثامن عشر: الظلال تتحرك</w:t>
      </w:r>
      <w:bookmarkEnd w:id="47"/>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48" w:name="عيد-الأوبت"/>
      <w:r>
        <w:t xml:space="preserve">عيد الأوبت</w:t>
      </w:r>
      <w:bookmarkEnd w:id="48"/>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49" w:name="لحظة-شك"/>
      <w:r>
        <w:t xml:space="preserve">لحظة شك</w:t>
      </w:r>
      <w:bookmarkEnd w:id="49"/>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0" w:name="الضربة-الأولى-التي-أصابت"/>
      <w:r>
        <w:rPr>
          <w:b/>
        </w:rPr>
        <w:t xml:space="preserve">الضربة الأولى التي أصابت</w:t>
      </w:r>
      <w:bookmarkEnd w:id="50"/>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1" w:name="الفصل-التاسع-عشر-المطاردة-في-السوق"/>
      <w:r>
        <w:t xml:space="preserve">الفصل التاسع عشر: المطاردة في السوق</w:t>
      </w:r>
      <w:bookmarkEnd w:id="51"/>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pStyle w:val="Heading2"/>
      </w:pPr>
      <w:bookmarkStart w:id="52" w:name="الفصل-العشرون-المحاكمة"/>
      <w:r>
        <w:t xml:space="preserve">الفصل العشرون: المحاكمة</w:t>
      </w:r>
      <w:bookmarkEnd w:id="52"/>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pStyle w:val="Heading2"/>
      </w:pPr>
      <w:bookmarkStart w:id="53" w:name="الفصل-الحادي-والعشرون-يوم-الكسوف"/>
      <w:r>
        <w:t xml:space="preserve">الفصل الحادي والعشرون: يوم الكسوف</w:t>
      </w:r>
      <w:bookmarkEnd w:id="53"/>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4" w:name="القسم-الخامس-الوداع-والعودة"/>
      <w:r>
        <w:t xml:space="preserve">القسم الخامس: الوداع والعودة</w:t>
      </w:r>
      <w:bookmarkEnd w:id="54"/>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5" w:name="الفصل-الثاني-والعشرون-ما-بعد-الظلام"/>
      <w:r>
        <w:t xml:space="preserve">الفصل الثاني والعشرون: ما بعد الظلام</w:t>
      </w:r>
      <w:bookmarkEnd w:id="55"/>
    </w:p>
    <w:p>
      <w:pPr>
        <w:pStyle w:val="Heading3"/>
      </w:pPr>
      <w:bookmarkStart w:id="56" w:name="الجزء-الأول-الأثر"/>
      <w:r>
        <w:rPr>
          <w:b/>
        </w:rPr>
        <w:t xml:space="preserve">الجزءُ الأوَّل: الأَثَر</w:t>
      </w:r>
      <w:bookmarkEnd w:id="56"/>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57" w:name="الجزء-الثاني-عرش-رعمسيس"/>
      <w:r>
        <w:rPr>
          <w:b/>
        </w:rPr>
        <w:t xml:space="preserve">الجزءُ الثاني: عَرشُ رَعمسيس</w:t>
      </w:r>
      <w:bookmarkEnd w:id="57"/>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58" w:name="الجزء-الثالث-تحت-النجوم"/>
      <w:r>
        <w:rPr>
          <w:b/>
        </w:rPr>
        <w:t xml:space="preserve">الجزءُ الثالث: تحتَ النُّجوم</w:t>
      </w:r>
      <w:bookmarkEnd w:id="58"/>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59" w:name="وجه-من-ماض-آخر"/>
      <w:r>
        <w:t xml:space="preserve">وجهٌ من ماضٍ آخر</w:t>
      </w:r>
      <w:bookmarkEnd w:id="59"/>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0" w:name="الفصل-الثالث-والعشرون-تآكل-الذاكرة"/>
      <w:r>
        <w:t xml:space="preserve">الفصل الثالث والعشرون: تآكل الذاكرة</w:t>
      </w:r>
      <w:bookmarkEnd w:id="60"/>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1" w:name="الفصل-الرابع-والعشرون-الدائرة-المغلقة"/>
      <w:r>
        <w:t xml:space="preserve">الفصل الرابع والعشرون: الدائرة المغلقة</w:t>
      </w:r>
      <w:bookmarkEnd w:id="61"/>
    </w:p>
    <w:p>
      <w:r>
        <w:pict>
          <v:rect style="width:0;height:1.5pt" o:hralign="center" o:hrstd="t" o:hr="t"/>
        </w:pict>
      </w:r>
    </w:p>
    <w:p>
      <w:pPr>
        <w:pStyle w:val="Heading3"/>
      </w:pPr>
      <w:bookmarkStart w:id="62" w:name="الجزء-الأول-البردية"/>
      <w:r>
        <w:rPr>
          <w:b/>
        </w:rPr>
        <w:t xml:space="preserve">الجزء الأول: البردية</w:t>
      </w:r>
      <w:bookmarkEnd w:id="62"/>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63" w:name="الجزء-الثاني-الصراع-على-ضفة-النيل"/>
      <w:r>
        <w:rPr>
          <w:b/>
        </w:rPr>
        <w:t xml:space="preserve">الجزء الثاني: الصراع على ضفة النيل</w:t>
      </w:r>
      <w:bookmarkEnd w:id="63"/>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64" w:name="الفصل-الخامس-والعشرون-رسالة-الغريب"/>
      <w:r>
        <w:t xml:space="preserve">الفصل الخامس والعشرون: رسالة الغريب</w:t>
      </w:r>
      <w:bookmarkEnd w:id="64"/>
    </w:p>
    <w:p>
      <w:pPr>
        <w:pStyle w:val="GroupHeading"/>
      </w:pPr>
      <w:r>
        <w:t xml:space="preserve">الخاتمة</w:t>
      </w:r>
    </w:p>
    <w:p>
      <w:pPr>
        <w:pStyle w:val="GroupHeading"/>
      </w:pPr>
      <w: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GroupHeading"/>
      </w:pPr>
      <w:r>
        <w:t xml:space="preserve">انتهت الرواية</w:t>
      </w:r>
    </w:p>
    <w:p>
      <w:pPr>
        <w:pStyle w:val="GroupHeading"/>
      </w:pPr>
      <w:r>
        <w:t xml:space="preserve">«غريبٌ في طيبة»</w:t>
      </w:r>
    </w:p>
    <w:p>
      <w:pPr>
        <w:pStyle w:val="Heading1"/>
      </w:pPr>
      <w:bookmarkStart w:id="65" w:name="كلمة-من-المؤلف"/>
      <w:r>
        <w:t xml:space="preserve">كَلِمةٌ من المؤلِّف</w:t>
      </w:r>
      <w:bookmarkEnd w:id="65"/>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6" w:name="عن-الدقة-التاريخية"/>
      <w:r>
        <w:t xml:space="preserve">عن الدقَّة التاريخيَّة</w:t>
      </w:r>
      <w:bookmarkEnd w:id="66"/>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1"/>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1"/>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1"/>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1"/>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1"/>
        </w:numPr>
      </w:pPr>
      <w:r>
        <w:t xml:space="preserve">كُسوفُ الشَّمس المَذكور في الرواية يَستَنِدُ إلى كُسوفٍ حَقيقيٍّ حَدَثَ في مصرَ قُرابةَ تلكَ الحِقبَة.</w:t>
      </w:r>
    </w:p>
    <w:p>
      <w:pPr>
        <w:numPr>
          <w:ilvl w:val="0"/>
          <w:numId w:val="1011"/>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1"/>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67" w:name="عن-الحرية-الأدبية"/>
      <w:r>
        <w:t xml:space="preserve">عن الحُرِّيَّة الأَدَبيَّة</w:t>
      </w:r>
      <w:bookmarkEnd w:id="67"/>
    </w:p>
    <w:p>
      <w:pPr>
        <w:pStyle w:val="FirstParagraph"/>
      </w:pPr>
      <w:r>
        <w:t xml:space="preserve">الرِّوايةُ ليست كِتابَ تاريخ. أَخَذتُ حُرِّيَّاتٍ في:</w:t>
      </w:r>
    </w:p>
    <w:p>
      <w:pPr>
        <w:numPr>
          <w:ilvl w:val="0"/>
          <w:numId w:val="1012"/>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2"/>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2"/>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2"/>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68" w:name="عن-الكتابة-من-خارج-المهنة"/>
      <w:r>
        <w:t xml:space="preserve">عن الكِتابةِ من خارجِ المِهنَة</w:t>
      </w:r>
      <w:bookmarkEnd w:id="68"/>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69" w:name="شكر-أخير-للقارئ"/>
      <w:r>
        <w:t xml:space="preserve">شُكرٌ أَخيرٌ لِلقارئ</w:t>
      </w:r>
      <w:bookmarkEnd w:id="69"/>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0" w:name="شكر-وتقدير"/>
      <w:r>
        <w:t xml:space="preserve">شُكرٌ وتَقدير</w:t>
      </w:r>
      <w:bookmarkEnd w:id="70"/>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1" w:name="مسرد-المصطلحات"/>
      <w:r>
        <w:t xml:space="preserve">مَسرَدُ المُصطَلَحات</w:t>
      </w:r>
      <w:bookmarkEnd w:id="71"/>
    </w:p>
    <w:p>
      <w:pPr>
        <w:pStyle w:val="FirstParagraph"/>
      </w:pPr>
      <w:r>
        <w:rPr>
          <w:i/>
        </w:rPr>
        <w:t xml:space="preserve">مفتاحٌ مُختَصَر لأَسماءِ الأَماكِنِ والآلِهَةِ والمُؤَسَّساتِ والأَدَواتِ التي تَرِدُ في الرِّواية.</w:t>
      </w:r>
    </w:p>
    <w:p>
      <w:pPr>
        <w:pStyle w:val="Heading2"/>
      </w:pPr>
      <w:bookmarkStart w:id="72" w:name="الأماكن"/>
      <w:r>
        <w:t xml:space="preserve">الأَماكِن</w:t>
      </w:r>
      <w:bookmarkEnd w:id="72"/>
    </w:p>
    <w:p>
      <w:pPr>
        <w:numPr>
          <w:ilvl w:val="0"/>
          <w:numId w:val="1013"/>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3"/>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3"/>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3"/>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3"/>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73" w:name="الآلهة"/>
      <w:r>
        <w:t xml:space="preserve">الآلِهَة</w:t>
      </w:r>
      <w:bookmarkEnd w:id="73"/>
    </w:p>
    <w:p>
      <w:pPr>
        <w:numPr>
          <w:ilvl w:val="0"/>
          <w:numId w:val="1014"/>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4"/>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4"/>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4"/>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4"/>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4"/>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4"/>
        </w:numPr>
        <w:pStyle w:val="Compact"/>
      </w:pPr>
      <w:r>
        <w:rPr>
          <w:b/>
        </w:rPr>
        <w:t xml:space="preserve">حورس</w:t>
      </w:r>
      <w:r>
        <w:t xml:space="preserve"> </w:t>
      </w:r>
      <w:r>
        <w:t xml:space="preserve">— ابنُ إيزيس وأوزيريس، وحامي الفِرعَون. رَأسُه صَقر.</w:t>
      </w:r>
    </w:p>
    <w:p>
      <w:pPr>
        <w:numPr>
          <w:ilvl w:val="0"/>
          <w:numId w:val="1014"/>
        </w:numPr>
        <w:pStyle w:val="Compact"/>
      </w:pPr>
      <w:r>
        <w:rPr>
          <w:b/>
        </w:rPr>
        <w:t xml:space="preserve">أنوبيس</w:t>
      </w:r>
      <w:r>
        <w:t xml:space="preserve"> </w:t>
      </w:r>
      <w:r>
        <w:t xml:space="preserve">— إلَهُ التَّحنيطِ ومُرشِدُ أَرواحِ المَوتى. رَأسُه ابنُ آوى.</w:t>
      </w:r>
    </w:p>
    <w:p>
      <w:pPr>
        <w:pStyle w:val="Heading2"/>
      </w:pPr>
      <w:bookmarkStart w:id="74" w:name="الأشخاص-والرتب"/>
      <w:r>
        <w:t xml:space="preserve">الأَشخاصُ والرُّتَب</w:t>
      </w:r>
      <w:bookmarkEnd w:id="74"/>
    </w:p>
    <w:p>
      <w:pPr>
        <w:numPr>
          <w:ilvl w:val="0"/>
          <w:numId w:val="1015"/>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5"/>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5"/>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5"/>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5"/>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75" w:name="الأدوات-والمفاهيم"/>
      <w:r>
        <w:t xml:space="preserve">الأَدَواتُ والمَفاهيم</w:t>
      </w:r>
      <w:bookmarkEnd w:id="75"/>
    </w:p>
    <w:p>
      <w:pPr>
        <w:numPr>
          <w:ilvl w:val="0"/>
          <w:numId w:val="1016"/>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6"/>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6"/>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6"/>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6"/>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6"/>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6"/>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6"/>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6"/>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6"/>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6"/>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6"/>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76" w:name="الحقبة-الزمنية"/>
      <w:r>
        <w:t xml:space="preserve">الحِقبَةُ الزَّمَنيَّة</w:t>
      </w:r>
      <w:bookmarkEnd w:id="76"/>
    </w:p>
    <w:p>
      <w:pPr>
        <w:numPr>
          <w:ilvl w:val="0"/>
          <w:numId w:val="1017"/>
        </w:numPr>
        <w:pStyle w:val="Compact"/>
      </w:pPr>
      <w:r>
        <w:rPr>
          <w:b/>
        </w:rPr>
        <w:t xml:space="preserve">الدَّولَةُ القَديمَة</w:t>
      </w:r>
      <w:r>
        <w:t xml:space="preserve"> </w:t>
      </w:r>
      <w:r>
        <w:t xml:space="preserve">— نَحوَ ٢٦٨٦–٢١٨١ ق.م. عَصرُ الأَهرامات.</w:t>
      </w:r>
    </w:p>
    <w:p>
      <w:pPr>
        <w:numPr>
          <w:ilvl w:val="0"/>
          <w:numId w:val="1017"/>
        </w:numPr>
        <w:pStyle w:val="Compact"/>
      </w:pPr>
      <w:r>
        <w:rPr>
          <w:b/>
        </w:rPr>
        <w:t xml:space="preserve">الدَّولَةُ الوُسطى</w:t>
      </w:r>
      <w:r>
        <w:t xml:space="preserve"> </w:t>
      </w:r>
      <w:r>
        <w:t xml:space="preserve">— نَحوَ ٢٠٥٥–١٦٥٠ ق.م.</w:t>
      </w:r>
    </w:p>
    <w:p>
      <w:pPr>
        <w:numPr>
          <w:ilvl w:val="0"/>
          <w:numId w:val="1017"/>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7"/>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77" w:name="عن-المؤلف"/>
      <w:r>
        <w:t xml:space="preserve">عن المؤلِّف</w:t>
      </w:r>
      <w:bookmarkEnd w:id="77"/>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78" w:name="نبذة-الغلاف-الخلفي"/>
      <w:r>
        <w:t xml:space="preserve">نَبذَةُ الغِلافِ الخَلفيّ</w:t>
      </w:r>
      <w:bookmarkEnd w:id="78"/>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pgSz w:w="8391" w:h="11906"/>
      <w:pgMar w:top="1134" w:right="1418" w:bottom="1134" w:left="1134" w:header="709" w:footer="709" w:gutter="0"/>
      <w:bidi/>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spacing w:before="0" w:after="120" w:line="360" w:lineRule="auto"/>
        <w:jc w:val="both"/>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spacing w:before="24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pageBreakBefore/>
      <w:spacing w:before="3600" w:after="800" w:line="360" w:lineRule="auto"/>
      <w:jc w:val="center"/>
    </w:pPr>
    <w:rPr>
      <w:rFonts w:ascii="Amiri" w:hAnsi="Amiri" w:cs="Amiri"/>
      <w:b/>
      <w:bCs/>
      <w:color w:val="1F4E79"/>
      <w:sz w:val="72"/>
      <w:szCs w:val="72"/>
    </w:rPr>
  </w:style>
  <w:style w:type="paragraph" w:styleId="Subtitle">
    <w:name w:val="Subtitle"/>
    <w:basedOn w:val="Normal"/>
    <w:next w:val="Author"/>
    <w:qFormat/>
    <w:pPr>
      <w:bidi/>
      <w:keepNext/>
      <w:pageBreakBefore w:val="0"/>
      <w:spacing w:before="600" w:after="400" w:line="360" w:lineRule="auto"/>
      <w:jc w:val="center"/>
    </w:pPr>
    <w:rPr>
      <w:rFonts w:ascii="Amiri" w:hAnsi="Amiri" w:cs="Amiri"/>
      <w:i/>
      <w:iCs/>
      <w:sz w:val="32"/>
      <w:szCs w:val="32"/>
    </w:rPr>
  </w:style>
  <w:style w:type="paragraph" w:customStyle="1" w:styleId="Author">
    <w:name w:val="Author"/>
    <w:basedOn w:val="Normal"/>
    <w:next w:val="BodyText"/>
    <w:qFormat/>
    <w:pPr>
      <w:bidi/>
      <w:pageBreakBefore w:val="0"/>
      <w:spacing w:before="200" w:after="2400" w:line="360" w:lineRule="auto"/>
      <w:jc w:val="center"/>
    </w:pPr>
    <w:rPr>
      <w:rFonts w:ascii="Amiri" w:hAnsi="Amiri" w:cs="Amiri"/>
      <w:b/>
      <w:bCs/>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pageBreakBefore/>
      <w:spacing w:before="3600" w:after="1200" w:line="360" w:lineRule="auto"/>
      <w:jc w:val="center"/>
      <w:outlineLvl w:val="0"/>
    </w:pPr>
    <w:rPr>
      <w:rFonts w:ascii="Amiri" w:hAnsi="Amiri" w:cs="Amiri"/>
      <w:b/>
      <w:bCs/>
      <w:color w:val="1F4E79"/>
      <w:sz w:val="44"/>
      <w:szCs w:val="44"/>
    </w:rPr>
  </w:style>
  <w:style w:type="paragraph" w:styleId="Heading2">
    <w:name w:val="Heading 2"/>
    <w:basedOn w:val="Normal"/>
    <w:next w:val="FirstParagraph"/>
    <w:qFormat/>
    <w:pPr>
      <w:bidi/>
      <w:keepNext/>
      <w:keepLines/>
      <w:pageBreakBefore/>
      <w:spacing w:before="2400" w:after="800" w:line="360" w:lineRule="auto"/>
      <w:jc w:val="center"/>
      <w:outlineLvl w:val="1"/>
    </w:pPr>
    <w:rPr>
      <w:rFonts w:ascii="Amiri" w:hAnsi="Amiri" w:cs="Amiri"/>
      <w:b/>
      <w:bCs/>
      <w:color w:val="1F4E79"/>
      <w:sz w:val="36"/>
      <w:szCs w:val="36"/>
    </w:rPr>
  </w:style>
  <w:style w:type="paragraph" w:styleId="Heading3">
    <w:name w:val="Heading 3"/>
    <w:basedOn w:val="Normal"/>
    <w:next w:val="FirstParagraph"/>
    <w:qFormat/>
    <w:pPr>
      <w:bidi/>
      <w:keepNext/>
      <w:keepLines/>
      <w:spacing w:before="600" w:after="240" w:line="360" w:lineRule="auto"/>
      <w:jc w:val="center"/>
      <w:outlineLvl w:val="2"/>
    </w:pPr>
    <w:rPr>
      <w:rFonts w:ascii="Amiri" w:hAnsi="Amiri" w:cs="Amiri"/>
      <w:b/>
      <w:bCs/>
      <w:i/>
      <w:iCs/>
      <w:color w:val="2E75B6"/>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spacing w:before="240" w:after="240" w:line="360" w:lineRule="auto"/>
      <w:ind w:left="567" w:right="567"/>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spacing w:before="480" w:after="240" w:line="360" w:lineRule="auto"/>
      <w:jc w:val="center"/>
    </w:pPr>
    <w:rPr>
      <w:rFonts w:ascii="Amiri" w:hAnsi="Amiri" w:cs="Amiri"/>
      <w:b/>
      <w:bCs/>
      <w:color w:val="1F4E79"/>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2026-04-29T00:44:18Z</dcterms:created>
  <dcterms:modified xsi:type="dcterms:W3CDTF">2026-04-29T00:44:18Z</dcterms:modified>
</cp:coreProperties>
</file>

<file path=docProps/custom.xml><?xml version="1.0" encoding="utf-8"?>
<Properties xmlns="http://schemas.openxmlformats.org/officeDocument/2006/custom-properties" xmlns:vt="http://schemas.openxmlformats.org/officeDocument/2006/docPropsVTypes"/>
</file>