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bookmarkStart w:id="21" w:name="غريب-في-طيبة"/>
    <w:p>
      <w:pPr>
        <w:pStyle w:val="Heading1"/>
      </w:pPr>
      <w:r>
        <w:t xml:space="preserve">غريب في طيبة</w:t>
      </w:r>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Cs/>
          <w:i/>
        </w:rPr>
        <w:t xml:space="preserve">«أَنا الأَمسُ، وأَعرِفُ الغَد.»</w:t>
      </w:r>
    </w:p>
    <w:p>
      <w:pPr>
        <w:pStyle w:val="BlockText"/>
      </w:pPr>
      <w:r>
        <w:t xml:space="preserve">— من كِتاب المَوتى المِصريّ، التَّعويذة ١٧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0" w:name="الإهداء"/>
    <w:p>
      <w:pPr>
        <w:pStyle w:val="Heading2"/>
      </w:pPr>
      <w:r>
        <w:t xml:space="preserve">الإهداء</w:t>
      </w:r>
    </w:p>
    <w:p>
      <w:pPr>
        <w:pStyle w:val="FirstParagraph"/>
      </w:pPr>
      <w:r>
        <w:rPr>
          <w:rFonts w:ascii="Amiri" w:hAnsi="Amiri" w:cs="Amiri"/>
          <w:b/>
          <w:bCs/>
          <w:color w:val="C9A227"/>
          <w:sz w:val="36"/>
          <w:szCs w:val="36"/>
        </w:rPr>
        <w:t xml:space="preserve">إلى</w:t>
      </w:r>
      <w:r>
        <w:t xml:space="preserve"> أَبي.</w:t>
      </w:r>
    </w:p>
    <w:p>
      <w:pPr>
        <w:pStyle w:val="BodyText"/>
      </w:pPr>
      <w:r>
        <w:t xml:space="preserve">كانَ يُمسِكُ بِيَدي ونحنُ نَعبُرُ شارِعَ المُعِزّ، ويَقولُ بِصَوتٍ خافِت: «هؤلاءِ الناس، يا بُنَيّ، أَجدادُهم بَنَوا الأَهرامات.»</w:t>
      </w:r>
      <w:r>
        <w:t xml:space="preserve"> </w:t>
      </w:r>
      <w:r>
        <w:t xml:space="preserve">كنتُ أَنظُرُ إلى الباعَةِ والبائعاتِ ولا أُصَدِّق. أَيَكونُ في هذه الوُجوهِ المُتعَبَة شيءٌ من ذلك المَجد؟</w:t>
      </w:r>
    </w:p>
    <w:p>
      <w:pPr>
        <w:pStyle w:val="BodyText"/>
      </w:pPr>
      <w:r>
        <w:t xml:space="preserve">اليومَ أَكتُبُ هذا الكِتاب</w:t>
      </w:r>
      <w:r>
        <w:t xml:space="preserve"> </w:t>
      </w:r>
      <w:r>
        <w:t xml:space="preserve">لأنَّني — أَخيرًا — صَدَّقتُه.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0"/>
    <w:bookmarkEnd w:id="21"/>
    <w:bookmarkStart w:id="22" w:name="الفهرس"/>
    <w:p>
      <w:pPr>
        <w:pStyle w:val="Heading1"/>
      </w:pPr>
      <w:r>
        <w:t xml:space="preserve">الفِهرِس</w:t>
      </w:r>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مَسرَدُ المُصطَلَحات</w:t>
      </w:r>
    </w:p>
    <w:p>
      <w:pPr>
        <w:numPr>
          <w:ilvl w:val="0"/>
          <w:numId w:val="1006"/>
        </w:numPr>
        <w:pStyle w:val="Compact"/>
      </w:pPr>
      <w:r>
        <w:t xml:space="preserve">عن المُؤلِّف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2"/>
    <w:bookmarkStart w:id="23" w:name="دليل-الشخصيات"/>
    <w:p>
      <w:pPr>
        <w:pStyle w:val="Heading1"/>
      </w:pPr>
      <w:r>
        <w:t xml:space="preserve">دَليلُ الشَّخصيَّات</w:t>
      </w:r>
    </w:p>
    <w:p>
      <w:pPr>
        <w:pStyle w:val="GroupHeading"/>
      </w:pPr>
      <w:r>
        <w:t xml:space="preserve">في القاهرة — حاضِرُنا</w:t>
      </w:r>
    </w:p>
    <w:p>
      <w:pPr>
        <w:numPr>
          <w:ilvl w:val="0"/>
          <w:numId w:val="1007"/>
        </w:numPr>
        <w:pStyle w:val="Compact"/>
      </w:pPr>
      <w:r>
        <w:rPr>
          <w:bCs/>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Cs/>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Cs/>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Cs/>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Cs/>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Cs/>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Cs/>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Cs/>
          <w:b/>
        </w:rPr>
        <w:t xml:space="preserve">مَرنبتاح</w:t>
      </w:r>
      <w:r>
        <w:t xml:space="preserve"> </w:t>
      </w:r>
      <w:r>
        <w:t xml:space="preserve">— قائِدُ حَرَسِ المَعبَد. رَجُلٌ من فُولاذ، تَكشِفُ المِحنَةُ قَلبَه.</w:t>
      </w:r>
    </w:p>
    <w:p>
      <w:pPr>
        <w:numPr>
          <w:ilvl w:val="0"/>
          <w:numId w:val="1008"/>
        </w:numPr>
        <w:pStyle w:val="Compact"/>
      </w:pPr>
      <w:r>
        <w:rPr>
          <w:bCs/>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Cs/>
          <w:b/>
        </w:rPr>
        <w:t xml:space="preserve">رَعمسيس الثاني</w:t>
      </w:r>
      <w:r>
        <w:t xml:space="preserve"> </w:t>
      </w:r>
      <w:r>
        <w:t xml:space="preserve">— فِرعَونُ مِصر في مُنتَصَفِ عَهدِه الطَّويل. حَضارَةٌ في جَسَدِ رَجُل.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3"/>
    <w:bookmarkStart w:id="29" w:name="القسم-الأول-العتبة"/>
    <w:p>
      <w:pPr>
        <w:pStyle w:val="Heading1"/>
      </w:pPr>
      <w:r>
        <w:t xml:space="preserve">القسم الأول: العَتَبَة</w:t>
      </w:r>
    </w:p>
    <w:p>
      <w:pPr>
        <w:pStyle w:val="BlockText"/>
      </w:pPr>
      <w:r>
        <w:rPr>
          <w:iCs/>
          <w:i/>
        </w:rPr>
        <w:t xml:space="preserve">«الإنسانُ طينٌ وتِبن، واللَّهُ هو البَاني.»</w:t>
      </w:r>
    </w:p>
    <w:p>
      <w:pPr>
        <w:pStyle w:val="BlockText"/>
      </w:pPr>
      <w:r>
        <w:t xml:space="preserve">— مِن تَعاليم أمنمأوبي، نِهايَة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4" w:name="المقدمة"/>
    <w:p>
      <w:pPr>
        <w:pStyle w:val="Heading2"/>
      </w:pPr>
      <w:r>
        <w:t xml:space="preserve">المُقَدِّمَة</w:t>
      </w:r>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4"/>
    <w:bookmarkStart w:id="25" w:name="الفصل-صفر-الطبيب-الوحيد"/>
    <w:p>
      <w:pPr>
        <w:pStyle w:val="Heading2"/>
      </w:pPr>
      <w:r>
        <w:t xml:space="preserve">الفصل صفر: الطبيب الوحيد</w:t>
      </w:r>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Cs/>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Cs/>
          <w:i/>
        </w:rPr>
        <w:t xml:space="preserve">«كانوا يدركون أنَّ المرضَ ليس مجرَّد علَّةٍ في عضو، بل اختلالٌ</w:t>
      </w:r>
      <w:r>
        <w:rPr>
          <w:iCs/>
          <w:i/>
        </w:rPr>
        <w:t xml:space="preserve"> </w:t>
      </w:r>
      <w:r>
        <w:rPr>
          <w:iCs/>
          <w:i/>
        </w:rPr>
        <w:t xml:space="preserve">في التَّوازن الكونيّ — في الماعت. حين يَكذِبُ الإنسان أو يَظلِم، يَمرضُ</w:t>
      </w:r>
      <w:r>
        <w:rPr>
          <w:iCs/>
          <w:i/>
        </w:rPr>
        <w:t xml:space="preserve"> </w:t>
      </w:r>
      <w:r>
        <w:rPr>
          <w:iCs/>
          <w:i/>
        </w:rPr>
        <w:t xml:space="preserve">جَسدُه لأنَّ روحه مريضة. والطبيب الحقيقيُّ يعيد الروحَ إلى توازنها</w:t>
      </w:r>
      <w:r>
        <w:rPr>
          <w:iCs/>
          <w:i/>
        </w:rPr>
        <w:t xml:space="preserve"> </w:t>
      </w:r>
      <w:r>
        <w:rPr>
          <w:iCs/>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Cs/>
          <w:i/>
        </w:rPr>
        <w:t xml:space="preserve">«هذا الخاتم ليس مجرد حُلية، يا حفيدي. احتفظ به قريبًا منك</w:t>
      </w:r>
      <w:r>
        <w:rPr>
          <w:iCs/>
          <w:i/>
        </w:rPr>
        <w:t xml:space="preserve"> </w:t>
      </w:r>
      <w:r>
        <w:rPr>
          <w:iCs/>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Cs/>
          <w:i/>
        </w:rPr>
        <w:t xml:space="preserve">«أحتاج أن أتحدث ��عك.</w:t>
      </w:r>
      <w:r>
        <w:rPr>
          <w:iCs/>
          <w:i/>
        </w:rPr>
        <w:t xml:space="preserve"> </w:t>
      </w:r>
      <w:r>
        <w:rPr>
          <w:iCs/>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Cs/>
          <w:i/>
        </w:rPr>
        <w:t xml:space="preserve">«أنت هنا، لكنك لست هنا. جسدك معي، لكن روحك في مكان آخر، في زمان آخر.</w:t>
      </w:r>
      <w:r>
        <w:rPr>
          <w:iCs/>
          <w:i/>
        </w:rPr>
        <w:t xml:space="preserve"> </w:t>
      </w:r>
      <w:r>
        <w:rPr>
          <w:iCs/>
          <w:i/>
        </w:rPr>
        <w:t xml:space="preserve">أنا متزوجة من شبح رجل، من قشرة فارغة. أنا — حتى أنا — مجرد ملحقٍ في</w:t>
      </w:r>
      <w:r>
        <w:rPr>
          <w:iCs/>
          <w:i/>
        </w:rPr>
        <w:t xml:space="preserve"> </w:t>
      </w:r>
      <w:r>
        <w:rPr>
          <w:iCs/>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Cs/>
          <w:i/>
        </w:rPr>
        <w:t xml:space="preserve">«أنت متعلق بالأموات</w:t>
      </w:r>
      <w:r>
        <w:rPr>
          <w:iCs/>
          <w:i/>
        </w:rPr>
        <w:t xml:space="preserve"> </w:t>
      </w:r>
      <w:r>
        <w:rPr>
          <w:iCs/>
          <w:i/>
        </w:rPr>
        <w:t xml:space="preserve">أكثر من الأحياء، يا أحمد. تعيش أسيرًا للماضي، وتنسى أن الحاضر يحتاجك</w:t>
      </w:r>
      <w:r>
        <w:rPr>
          <w:iCs/>
          <w:i/>
        </w:rPr>
        <w:t xml:space="preserve"> </w:t>
      </w:r>
      <w:r>
        <w:rPr>
          <w:iCs/>
          <w:i/>
        </w:rPr>
        <w:t xml:space="preserve">أيضًا. أنا… لم أعد أستطيع المنافسة مع فراعنة ماتوا قبل ثلاثة آلاف</w:t>
      </w:r>
      <w:r>
        <w:rPr>
          <w:iCs/>
          <w:i/>
        </w:rPr>
        <w:t xml:space="preserve"> </w:t>
      </w:r>
      <w:r>
        <w:rPr>
          <w:iCs/>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Cs/>
          <w:i/>
        </w:rPr>
        <w:t xml:space="preserve">«بردية تحوت ليست أسطورة. رأيتها بعيني. لكنني لم أفهم. ربما لم يكن</w:t>
      </w:r>
      <w:r>
        <w:rPr>
          <w:iCs/>
          <w:i/>
        </w:rPr>
        <w:t xml:space="preserve"> </w:t>
      </w:r>
      <w:r>
        <w:rPr>
          <w:iCs/>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Cs/>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Cs/>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Cs/>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5"/>
    <w:bookmarkStart w:id="26" w:name="الفصل-الأول-نداء-الكرنك"/>
    <w:p>
      <w:pPr>
        <w:pStyle w:val="Heading2"/>
      </w:pPr>
      <w:r>
        <w:t xml:space="preserve">الفصل الأول: نداء الكرنك</w:t>
      </w:r>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«كَم مِن قِصَصٍ تُخَبِّئين؟» هَمَسَ لِلعَمود.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��َن يَعرِفُ أكثَرَ مِمَّا يَقول.</w:t>
      </w:r>
    </w:p>
    <w:p>
      <w:pPr>
        <w:pStyle w:val="BodyText"/>
      </w:pPr>
      <w:r>
        <w:t xml:space="preserve">«نَعَم، يا عَمّ.» أَجابَ أَحمد.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بِوُ����وح.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«مِفتاحُ الزَّمَن؟» تَمتَمَ أَحمد.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6"/>
    <w:bookmarkStart w:id="27" w:name="الفصل-الثاني-المعادلة"/>
    <w:p>
      <w:pPr>
        <w:pStyle w:val="Heading2"/>
      </w:pPr>
      <w:r>
        <w:t xml:space="preserve">الفصل الثاني: المعادلة</w:t>
      </w:r>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Cs/>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Cs/>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Cs/>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7"/>
    <w:bookmarkStart w:id="28" w:name="الفصل-الثالث-العبور"/>
    <w:p>
      <w:pPr>
        <w:pStyle w:val="Heading2"/>
      </w:pPr>
      <w:r>
        <w:t xml:space="preserve">الفصل الثالث: العبور</w:t>
      </w:r>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المَكانُ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بِبُطء. «أنتَ طَبيب»، قالَ لِنَفسِه.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بِبُطء.</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8"/>
    <w:bookmarkEnd w:id="29"/>
    <w:bookmarkStart w:id="36" w:name="القسم-الثاني-الغريب-في-طيبة"/>
    <w:p>
      <w:pPr>
        <w:pStyle w:val="Heading1"/>
      </w:pPr>
      <w:r>
        <w:t xml:space="preserve">القسم الثاني: الغريبُ في طِيبَة</w:t>
      </w:r>
    </w:p>
    <w:p>
      <w:pPr>
        <w:pStyle w:val="BlockText"/>
      </w:pPr>
      <w:r>
        <w:rPr>
          <w:iCs/>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0" w:name="الفصل-الرابع-لغة-الشفاء"/>
    <w:p>
      <w:pPr>
        <w:pStyle w:val="Heading2"/>
      </w:pPr>
      <w:r>
        <w:t xml:space="preserve">الفصل الرابع: لغة الشفاء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Cs/>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Cs/>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bookmarkEnd w:id="30"/>
    <w:bookmarkStart w:id="31" w:name="الفصل-الخامس-الاختبار-الأول"/>
    <w:p>
      <w:pPr>
        <w:pStyle w:val="Heading2"/>
      </w:pPr>
      <w:r>
        <w:t xml:space="preserve">الفصل الخامس: الاختبار الأول</w:t>
      </w:r>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��خر غرزة،</w:t>
      </w:r>
      <w:r>
        <w:t xml:space="preserve"> </w:t>
      </w:r>
      <w:r>
        <w:t xml:space="preserve">شعر أحمد بموجةٍ من الإنهاك. كانت ملابسه الكتّانية البيض��ء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م��تقبلٍ بعيد،</w:t>
      </w:r>
      <w:r>
        <w:t xml:space="preserve"> </w:t>
      </w:r>
      <w:r>
        <w:t xml:space="preserve">وتاجرٍ فينيقي يجوب البحار بحثًا عمّا لا يباع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1"/>
    <w:bookmarkStart w:id="32" w:name="الفصل-السادس-كاتبة-المعبد"/>
    <w:p>
      <w:pPr>
        <w:pStyle w:val="Heading2"/>
      </w:pPr>
      <w:r>
        <w:t xml:space="preserve">الفصل السادس: كاتبة المعبد</w:t>
      </w:r>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2"/>
    <w:bookmarkStart w:id="33" w:name="الفصل-السابع-المريض-الغامض"/>
    <w:p>
      <w:pPr>
        <w:pStyle w:val="Heading2"/>
      </w:pPr>
      <w:r>
        <w:t xml:space="preserve">الفصل السابع: المريض الغامض</w:t>
      </w:r>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3"/>
    <w:bookmarkStart w:id="34" w:name="الفصل-الثامن-ليلة-الاعترافات"/>
    <w:p>
      <w:pPr>
        <w:pStyle w:val="Heading2"/>
      </w:pPr>
      <w:r>
        <w:t xml:space="preserve">الفصل الثامن: ليلة الاعترافات</w:t>
      </w:r>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��جّالٍ يختلق القصص. الدجالون</w:t>
      </w:r>
      <w:r>
        <w:t xml:space="preserve"> </w:t>
      </w:r>
      <w:r>
        <w:t xml:space="preserve">يكذبون أكاذيب صغيرة قابلة ��لتصديق،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 تطيع أوامره ولا تسأل.»</w:t>
      </w:r>
    </w:p>
    <w:p>
      <w:pPr>
        <w:pStyle w:val="BodyText"/>
      </w:pPr>
      <w:r>
        <w:t xml:space="preserve">صمتَت لحظة، ثم أضافت بصوتٍ أخفض: «ولن يكون لي ذلك أبدًا.»</w:t>
      </w:r>
    </w:p>
    <w:bookmarkEnd w:id="34"/>
    <w:bookmarkStart w:id="35" w:name="الفصل-التاسع-عدو-في-الظل"/>
    <w:p>
      <w:pPr>
        <w:pStyle w:val="Heading2"/>
      </w:pPr>
      <w:r>
        <w:t xml:space="preserve">الفصل التاسع: عدو في الظل</w:t>
      </w:r>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Cs/>
          <w:i/>
        </w:rPr>
        <w:t xml:space="preserve">كان بنتاور يُراقب. وينتظر. وسيضرب في اللحظة التي تحين فيها</w:t>
      </w:r>
      <w:r>
        <w:rPr>
          <w:iCs/>
          <w:i/>
        </w:rPr>
        <w:t xml:space="preserve"> </w:t>
      </w:r>
      <w:r>
        <w:rPr>
          <w:iCs/>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Cs/>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Cs/>
          <w:i/>
        </w:rPr>
        <w:t xml:space="preserve">«إنك تفقده. مع كل يومٍ تمضيه هناك، تفقد جزءًا من هذا العالم. ذكرياتك</w:t>
      </w:r>
      <w:r>
        <w:rPr>
          <w:iCs/>
          <w:i/>
        </w:rPr>
        <w:t xml:space="preserve"> </w:t>
      </w:r>
      <w:r>
        <w:rPr>
          <w:iCs/>
          <w:i/>
        </w:rPr>
        <w:t xml:space="preserve">تتآكل كالصخر تحت الماء الجاري. وجوه أحبائك تبهت كصورةٍ قديمة تركتها في</w:t>
      </w:r>
      <w:r>
        <w:rPr>
          <w:iCs/>
          <w:i/>
        </w:rPr>
        <w:t xml:space="preserve"> </w:t>
      </w:r>
      <w:r>
        <w:rPr>
          <w:iCs/>
          <w:i/>
        </w:rPr>
        <w:t xml:space="preserve">الشمس. سيستمرّ هذا حتى يتلاشى كل شيء… حتى لا يتبقى لك شيءٌ تعود</w:t>
      </w:r>
      <w:r>
        <w:rPr>
          <w:iCs/>
          <w:i/>
        </w:rPr>
        <w:t xml:space="preserve"> </w:t>
      </w:r>
      <w:r>
        <w:rPr>
          <w:iCs/>
          <w:i/>
        </w:rPr>
        <w:t xml:space="preserve">إليه.»</w:t>
      </w:r>
    </w:p>
    <w:p>
      <w:pPr>
        <w:pStyle w:val="BodyText"/>
      </w:pPr>
      <w:r>
        <w:t xml:space="preserve">صرخ في الفراغ:</w:t>
      </w:r>
    </w:p>
    <w:p>
      <w:pPr>
        <w:pStyle w:val="BodyText"/>
      </w:pPr>
      <w:r>
        <w:t xml:space="preserve">«لا! لا أريد أن أنسى!»</w:t>
      </w:r>
    </w:p>
    <w:p>
      <w:pPr>
        <w:pStyle w:val="BodyText"/>
      </w:pPr>
      <w:r>
        <w:rPr>
          <w:iCs/>
          <w:i/>
        </w:rPr>
        <w:t xml:space="preserve">«لكنك تنسى بالفعل. متى آخر مرة تذكرت فيها رقم هاتفك؟ متى آخر مرة</w:t>
      </w:r>
      <w:r>
        <w:rPr>
          <w:iCs/>
          <w:i/>
        </w:rPr>
        <w:t xml:space="preserve"> </w:t>
      </w:r>
      <w:r>
        <w:rPr>
          <w:iCs/>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Cs/>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Cs/>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Cs/>
          <w:i/>
        </w:rPr>
        <w:t xml:space="preserve">متى سيأتي اليوم الذي تتلاشى فيه صورة القاهرة من ذاكرتي</w:t>
      </w:r>
      <w:r>
        <w:rPr>
          <w:iCs/>
          <w:i/>
        </w:rPr>
        <w:t xml:space="preserve"> </w:t>
      </w:r>
      <w:r>
        <w:rPr>
          <w:iCs/>
          <w:i/>
        </w:rPr>
        <w:t xml:space="preserve">تمامًا؟</w:t>
      </w:r>
    </w:p>
    <w:p>
      <w:pPr>
        <w:pStyle w:val="BodyText"/>
      </w:pPr>
      <w:r>
        <w:rPr>
          <w:iCs/>
          <w:i/>
        </w:rPr>
        <w:t xml:space="preserve">متى سأنسى رائحة القهوة التركية في الصباح؟</w:t>
      </w:r>
    </w:p>
    <w:p>
      <w:pPr>
        <w:pStyle w:val="BodyText"/>
      </w:pPr>
      <w:r>
        <w:rPr>
          <w:iCs/>
          <w:i/>
        </w:rPr>
        <w:t xml:space="preserve">متى سأنسى صوت أم كلثوم؟</w:t>
      </w:r>
    </w:p>
    <w:p>
      <w:pPr>
        <w:pStyle w:val="BodyText"/>
      </w:pPr>
      <w:r>
        <w:rPr>
          <w:iCs/>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Cs/>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Cs/>
          <w:b/>
        </w:rPr>
        <w:t xml:space="preserve">أوزوريس</w:t>
      </w:r>
      <w:r>
        <w:t xml:space="preserve">، سيد ��لعالم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Cs/>
          <w:i/>
        </w:rPr>
        <w:t xml:space="preserve">«أحمد سليم، الغريب القادم من زمنٍ لم يُولد بعد. سيُوزَن قلبُك الآن</w:t>
      </w:r>
      <w:r>
        <w:rPr>
          <w:iCs/>
          <w:i/>
        </w:rPr>
        <w:t xml:space="preserve"> </w:t>
      </w:r>
      <w:r>
        <w:rPr>
          <w:iCs/>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Cs/>
          <w:i/>
        </w:rPr>
        <w:t xml:space="preserve">«قلبك مُثقلٌ بالذنوب والأسرار! مَن ذا الذي أنقذته ولم يكن مُقدَ��رًا</w:t>
      </w:r>
      <w:r>
        <w:rPr>
          <w:iCs/>
          <w:i/>
        </w:rPr>
        <w:t xml:space="preserve"> </w:t>
      </w:r>
      <w:r>
        <w:rPr>
          <w:iCs/>
          <w:i/>
        </w:rPr>
        <w:t xml:space="preserve">له النجاة؟ تلك الطفلة التي كان المرض سيأخذها، ذلك الجندي الذي كانت</w:t>
      </w:r>
      <w:r>
        <w:rPr>
          <w:iCs/>
          <w:i/>
        </w:rPr>
        <w:t xml:space="preserve"> </w:t>
      </w:r>
      <w:r>
        <w:rPr>
          <w:iCs/>
          <w:i/>
        </w:rPr>
        <w:t xml:space="preserve">الحُمّى ستُهلكه، ذلك الطفل الذي استخرجت الحصى من مثانته—كلهم كانوا</w:t>
      </w:r>
      <w:r>
        <w:rPr>
          <w:iCs/>
          <w:i/>
        </w:rPr>
        <w:t xml:space="preserve"> </w:t>
      </w:r>
      <w:r>
        <w:rPr>
          <w:iCs/>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Cs/>
          <w:i/>
        </w:rPr>
        <w:t xml:space="preserve">«وما الذي غيّرته في مسار القدر الذي لم يكن لك أن تمسّه؟ كل حياةٍ</w:t>
      </w:r>
      <w:r>
        <w:rPr>
          <w:iCs/>
          <w:i/>
        </w:rPr>
        <w:t xml:space="preserve"> </w:t>
      </w:r>
      <w:r>
        <w:rPr>
          <w:iCs/>
          <w:i/>
        </w:rPr>
        <w:t xml:space="preserve">أنقذتها، كل موتٍ منعته، كل ألمٍ خفّفته—كلها تموّجات في بحر الزمن.</w:t>
      </w:r>
      <w:r>
        <w:rPr>
          <w:iCs/>
          <w:i/>
        </w:rPr>
        <w:t xml:space="preserve"> </w:t>
      </w:r>
      <w:r>
        <w:rPr>
          <w:iCs/>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Cs/>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Cs/>
          <w:i/>
        </w:rPr>
        <w:t xml:space="preserve">كان يُغيّر التاريخ مع كل مريضٍ يشفيه.</w:t>
      </w:r>
    </w:p>
    <w:p>
      <w:pPr>
        <w:pStyle w:val="BodyText"/>
      </w:pPr>
      <w:r>
        <w:rPr>
          <w:iCs/>
          <w:i/>
        </w:rPr>
        <w:t xml:space="preserve">كان يتدخّل في نسيج الأحداث المُقدَّرة.</w:t>
      </w:r>
    </w:p>
    <w:p>
      <w:pPr>
        <w:pStyle w:val="BodyText"/>
      </w:pPr>
      <w:r>
        <w:rPr>
          <w:iCs/>
          <w:i/>
        </w:rPr>
        <w:t xml:space="preserve">وربما كان الثمن الذي سيدفعه مقابل ذلك، أكبر بكثير مما يستطيع</w:t>
      </w:r>
      <w:r>
        <w:rPr>
          <w:iCs/>
          <w:i/>
        </w:rPr>
        <w:t xml:space="preserve"> </w:t>
      </w:r>
      <w:r>
        <w:rPr>
          <w:iCs/>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Cs/>
          <w:i/>
        </w:rPr>
        <w:t xml:space="preserve">هاتان اليدان قد تُغيّران مصير أمةٍ بأكملها.</w:t>
      </w:r>
    </w:p>
    <w:p>
      <w:pPr>
        <w:pStyle w:val="BodyText"/>
      </w:pPr>
      <w:r>
        <w:rPr>
          <w:iCs/>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5"/>
    <w:bookmarkEnd w:id="36"/>
    <w:bookmarkStart w:id="45" w:name="القسم-الثالث-الأزمة-الكبرى"/>
    <w:p>
      <w:pPr>
        <w:pStyle w:val="Heading1"/>
      </w:pPr>
      <w:r>
        <w:t xml:space="preserve">القسم الثالث: الأزمة الكبرى</w:t>
      </w:r>
    </w:p>
    <w:p>
      <w:pPr>
        <w:pStyle w:val="BlockText"/>
      </w:pPr>
      <w:r>
        <w:rPr>
          <w:iCs/>
          <w:i/>
        </w:rPr>
        <w:t xml:space="preserve">«لَستُ أنا مَن يَشفي، بَل إيزيسُ التي في يَدي.»</w:t>
      </w:r>
    </w:p>
    <w:p>
      <w:pPr>
        <w:pStyle w:val="BlockText"/>
      </w:pPr>
      <w:r>
        <w:t xml:space="preserve">— مِن رُقَى بَرديَّة إيبرس،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7" w:name="الفصل-العاشر-نذر-الكارثة"/>
    <w:p>
      <w:pPr>
        <w:pStyle w:val="Heading2"/>
      </w:pPr>
      <w:r>
        <w:t xml:space="preserve">الفصل العاشر: نذر الكارثة</w:t>
      </w:r>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bookmarkEnd w:id="37"/>
    <w:bookmarkStart w:id="38" w:name="الفصل-الحادي-عشر-الوباء"/>
    <w:p>
      <w:pPr>
        <w:pStyle w:val="Heading2"/>
      </w:pPr>
      <w:r>
        <w:t xml:space="preserve">الفصل الحادي عشر: الوباء</w:t>
      </w:r>
    </w:p>
    <w:p>
      <w:pPr>
        <w:pStyle w:val="FirstParagraph"/>
      </w:pPr>
      <w:r>
        <w:rPr>
          <w:rFonts w:ascii="Amiri" w:hAnsi="Amiri" w:cs="Amiri"/>
          <w:b/>
          <w:bCs/>
          <w:color w:val="C9A227"/>
          <w:sz w:val="36"/>
          <w:szCs w:val="36"/>
        </w:rPr>
        <w:t xml:space="preserve">انتشر</w:t>
      </w:r>
      <w:r>
        <w:t xml:space="preserve">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المهترئة، جسدُه</w:t>
      </w:r>
      <w:r>
        <w:t xml:space="preserve"> </w:t>
      </w:r>
      <w:r>
        <w:t xml:space="preserve">منحنٍ على ذاته انحناءة السنبلة التي أثقلها الندى حتى كادت تنكسر. كانت</w:t>
      </w:r>
      <w:r>
        <w:t xml:space="preserve"> </w:t>
      </w:r>
      <w:r>
        <w:t xml:space="preserve">عيناه زائغ��ين تتحرّكان بلا توقّف،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8"/>
    <w:bookmarkStart w:id="39" w:name="الفصل-الثاني-عشر-في-قلب-الجحيم"/>
    <w:p>
      <w:pPr>
        <w:pStyle w:val="Heading2"/>
      </w:pPr>
      <w:r>
        <w:t xml:space="preserve">الفصل الثاني عشر: في قلب الجحيم</w:t>
      </w:r>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9"/>
    <w:bookmarkStart w:id="40" w:name="الفصل-الثالث-عشر-الطفل-والقدر"/>
    <w:p>
      <w:pPr>
        <w:pStyle w:val="Heading2"/>
      </w:pPr>
      <w:r>
        <w:t xml:space="preserve">الفصل الثالث عشر: الطفل والقدر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bookmarkEnd w:id="40"/>
    <w:bookmarkStart w:id="41" w:name="الفصل-الرابع-عشر-طبول-الحرب"/>
    <w:p>
      <w:pPr>
        <w:pStyle w:val="Heading2"/>
      </w:pPr>
      <w:r>
        <w:t xml:space="preserve">الفصل الرابع عشر: طبول الحرب</w:t>
      </w:r>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1"/>
    <w:bookmarkStart w:id="42" w:name="الفصل-الخامس-عشر-المعركة"/>
    <w:p>
      <w:pPr>
        <w:pStyle w:val="Heading2"/>
      </w:pPr>
      <w:r>
        <w:t xml:space="preserve">الفصل الخامس عشر: المعركة</w:t>
      </w:r>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Cs/>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Cs/>
          <w:i/>
        </w:rPr>
        <w:t xml:space="preserve">لقد قتلت رجلًا.</w:t>
      </w:r>
    </w:p>
    <w:p>
      <w:pPr>
        <w:pStyle w:val="BodyText"/>
      </w:pPr>
      <w:r>
        <w:t xml:space="preserve">الفكرة اخترقت عقله كالصاعقة.</w:t>
      </w:r>
    </w:p>
    <w:p>
      <w:pPr>
        <w:pStyle w:val="BodyText"/>
      </w:pPr>
      <w:r>
        <w:rPr>
          <w:iCs/>
          <w:i/>
        </w:rPr>
        <w:t xml:space="preserve">أنا، الطبيب الذي أقسم يوم تخرّجه على صون الحياة واحترامها. أنا، الذي</w:t>
      </w:r>
      <w:r>
        <w:rPr>
          <w:iCs/>
          <w:i/>
        </w:rPr>
        <w:t xml:space="preserve"> </w:t>
      </w:r>
      <w:r>
        <w:rPr>
          <w:iCs/>
          <w:i/>
        </w:rPr>
        <w:t xml:space="preserve">قضى سنواتٍ يحارب الموت وينتزع المرضى من براثنه. أنا… قد أزهقت للتو</w:t>
      </w:r>
      <w:r>
        <w:rPr>
          <w:iCs/>
          <w:i/>
        </w:rPr>
        <w:t xml:space="preserve"> </w:t>
      </w:r>
      <w:r>
        <w:rPr>
          <w:iCs/>
          <w:i/>
        </w:rPr>
        <w:t xml:space="preserve">روحًا بيديّ هاتين.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Cs/>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2"/>
    <w:bookmarkStart w:id="43" w:name="الفصل-السادس-عشر-ثقل-الدم"/>
    <w:p>
      <w:pPr>
        <w:pStyle w:val="Heading2"/>
      </w:pPr>
      <w:r>
        <w:t xml:space="preserve">الفصل السادس عشر: ثقل الدم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Cs/>
          <w:i/>
        </w:rPr>
        <w:t xml:space="preserve">كيف له أن يعود طبيبًا وقد صار قاتلًا؟ كيف لليدين اللتين سفكتا الدم أن</w:t>
      </w:r>
      <w:r>
        <w:rPr>
          <w:iCs/>
          <w:i/>
        </w:rPr>
        <w:t xml:space="preserve"> </w:t>
      </w:r>
      <w:r>
        <w:rPr>
          <w:iCs/>
          <w:i/>
        </w:rPr>
        <w:t xml:space="preserve">تعودا للشفاء؟ كيف للقلب الذي ا��كسر أن يعود كاملًا؟</w:t>
      </w:r>
    </w:p>
    <w:p>
      <w:pPr>
        <w:pStyle w:val="BodyText"/>
      </w:pPr>
      <w:r>
        <w:t xml:space="preserve">لم يجد جوابًا. ولم يكن يتوقع أن يجده.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3"/>
    <w:bookmarkStart w:id="44" w:name="الفصل-السابع-عشر-العودة"/>
    <w:p>
      <w:pPr>
        <w:pStyle w:val="Heading2"/>
      </w:pPr>
      <w:r>
        <w:t xml:space="preserve">الفصل السابع عشر: العودة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4"/>
    <w:bookmarkEnd w:id="45"/>
    <w:bookmarkStart w:id="53" w:name="القسم-الرابع-المؤامرة"/>
    <w:p>
      <w:pPr>
        <w:pStyle w:val="Heading1"/>
      </w:pPr>
      <w:r>
        <w:t xml:space="preserve">القسم الرابع: المؤامرة</w:t>
      </w:r>
    </w:p>
    <w:p>
      <w:pPr>
        <w:pStyle w:val="BlockText"/>
      </w:pPr>
      <w:r>
        <w:rPr>
          <w:iCs/>
          <w:i/>
        </w:rPr>
        <w:t xml:space="preserve">«الخَصمُ الذي تَراهُ أَقَلُّ خَطَرًا مِن الصَّديقِ الذي لا تَراه.»</w:t>
      </w:r>
    </w:p>
    <w:p>
      <w:pPr>
        <w:pStyle w:val="BlockText"/>
      </w:pPr>
      <w:r>
        <w:t xml:space="preserve">— مُستَوحًى مِن تَعاليم أَني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9" w:name="الفصل-الثامن-عشر-الظلال-تتحرك"/>
    <w:p>
      <w:pPr>
        <w:pStyle w:val="Heading2"/>
      </w:pPr>
      <w:r>
        <w:t xml:space="preserve">الفصل الثامن عشر: الظلال تتحرك</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هز</w:t>
      </w:r>
      <w:r>
        <w:t xml:space="preserve">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6" w:name="عيد-الأوبت"/>
    <w:p>
      <w:pPr>
        <w:pStyle w:val="Heading3"/>
      </w:pPr>
      <w:r>
        <w:t xml:space="preserve">عيد الأوبت</w:t>
      </w:r>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6"/>
    <w:bookmarkStart w:id="47" w:name="لحظة-شك"/>
    <w:p>
      <w:pPr>
        <w:pStyle w:val="Heading3"/>
      </w:pPr>
      <w:r>
        <w:t xml:space="preserve">لحظة شك</w:t>
      </w:r>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Cs/>
          <w:i/>
        </w:rPr>
        <w:t xml:space="preserve">«نعرف أين تسكن. نعرف</w:t>
      </w:r>
      <w:r>
        <w:rPr>
          <w:iCs/>
          <w:i/>
        </w:rPr>
        <w:t xml:space="preserve"> </w:t>
      </w:r>
      <w:r>
        <w:rPr>
          <w:iCs/>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7"/>
    <w:bookmarkStart w:id="48" w:name="الضربة-الأولى-التي-أصابت"/>
    <w:p>
      <w:pPr>
        <w:pStyle w:val="GroupHeading"/>
      </w:pPr>
      <w:r>
        <w:t xml:space="preserve">الضربة الأولى التي أصابت</w:t>
      </w:r>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bookmarkEnd w:id="48"/>
    <w:bookmarkEnd w:id="49"/>
    <w:bookmarkStart w:id="50" w:name="الفصل-التاسع-عشر-المطاردة-في-السوق"/>
    <w:p>
      <w:pPr>
        <w:pStyle w:val="Heading2"/>
      </w:pPr>
      <w:r>
        <w:t xml:space="preserve">الفصل التاسع عشر: المطاردة في السوق</w:t>
      </w:r>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Cs/>
          <w:i/>
        </w:rPr>
        <w:t xml:space="preserve">سأموت هنا</w:t>
      </w:r>
      <w:r>
        <w:t xml:space="preserve">، فكَّر وهو يشعر بالرعب يتسرب إلى عظامه كبردٍ قارس.</w:t>
      </w:r>
      <w:r>
        <w:t xml:space="preserve"> </w:t>
      </w:r>
      <w:r>
        <w:rPr>
          <w:iCs/>
          <w:i/>
        </w:rPr>
        <w:t xml:space="preserve">سأموت في هذا الزقاق القذر، وسط روائح العفن والقمامة، ولن يعلم أحدٌ بما</w:t>
      </w:r>
      <w:r>
        <w:rPr>
          <w:iCs/>
          <w:i/>
        </w:rPr>
        <w:t xml:space="preserve"> </w:t>
      </w:r>
      <w:r>
        <w:rPr>
          <w:iCs/>
          <w:i/>
        </w:rPr>
        <w:t xml:space="preserve">جرى. سيختفي جسدي، وستبقى نفرتاري تنتظر رجلًا لن يعود</w:t>
      </w:r>
      <w:r>
        <w:rPr>
          <w:iCs/>
          <w:i/>
        </w:rPr>
        <w:t xml:space="preserve"> </w:t>
      </w:r>
      <w:r>
        <w:rPr>
          <w:iCs/>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Cs/>
          <w:i/>
        </w:rPr>
        <w:t xml:space="preserve">أهذا هو مستقبلي؟</w:t>
      </w:r>
      <w:r>
        <w:t xml:space="preserve"> </w:t>
      </w:r>
      <w:r>
        <w:t xml:space="preserve">فكَّر في ذعر.</w:t>
      </w:r>
      <w:r>
        <w:t xml:space="preserve"> </w:t>
      </w:r>
      <w:r>
        <w:rPr>
          <w:iCs/>
          <w:i/>
        </w:rPr>
        <w:t xml:space="preserve">أأعود إلى زماني كي ألقى حتفي هناك؟</w:t>
      </w:r>
      <w:r>
        <w:rPr>
          <w:iCs/>
          <w:i/>
        </w:rPr>
        <w:t xml:space="preserve"> </w:t>
      </w:r>
      <w:r>
        <w:rPr>
          <w:iCs/>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Cs/>
          <w:i/>
        </w:rPr>
        <w:t xml:space="preserve">ماذا يعني كل هذا؟ ما الرابط بين الزمنين؟ لماذا يريني الجُعْران هذا</w:t>
      </w:r>
      <w:r>
        <w:rPr>
          <w:iCs/>
          <w:i/>
        </w:rPr>
        <w:t xml:space="preserve"> </w:t>
      </w:r>
      <w:r>
        <w:rPr>
          <w:iCs/>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0"/>
    <w:bookmarkStart w:id="51" w:name="الفصل-العشرون-المحاكمة"/>
    <w:p>
      <w:pPr>
        <w:pStyle w:val="Heading2"/>
      </w:pPr>
      <w:r>
        <w:t xml:space="preserve">الفصل العشرون: المحاكمة</w:t>
      </w:r>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1"/>
    <w:bookmarkStart w:id="52" w:name="الفصل-الحادي-والعشرون-يوم-الكسوف"/>
    <w:p>
      <w:pPr>
        <w:pStyle w:val="Heading2"/>
      </w:pPr>
      <w:r>
        <w:t xml:space="preserve">الفصل الحادي والعشرون: يوم الكسوف</w:t>
      </w:r>
    </w:p>
    <w:p>
      <w:pPr>
        <w:pStyle w:val="FirstParagraph"/>
      </w:pPr>
      <w:r>
        <w:rPr>
          <w:rFonts w:ascii="Amiri" w:hAnsi="Amiri" w:cs="Amiri"/>
          <w:b/>
          <w:bCs/>
          <w:color w:val="C9A227"/>
          <w:sz w:val="36"/>
          <w:szCs w:val="36"/>
        </w:rPr>
        <w:t xml:space="preserve">مرَّت</w:t>
      </w:r>
      <w:r>
        <w:t xml:space="preserve">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ظهرت</w:t>
      </w:r>
      <w:r>
        <w:t xml:space="preserve">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2"/>
    <w:bookmarkEnd w:id="53"/>
    <w:bookmarkStart w:id="64" w:name="القسم-الخامس-الوداع-والعودة"/>
    <w:p>
      <w:pPr>
        <w:pStyle w:val="Heading1"/>
      </w:pPr>
      <w:r>
        <w:t xml:space="preserve">القسم الخامس: الوداع والعودة</w:t>
      </w:r>
    </w:p>
    <w:p>
      <w:pPr>
        <w:pStyle w:val="BlockText"/>
      </w:pPr>
      <w:r>
        <w:rPr>
          <w:iCs/>
          <w:i/>
        </w:rPr>
        <w:t xml:space="preserve">«جيلٌ يَمضي وآخَرُ يَبقى. والَّذينَ كانوا قَبلُ يَرقُدونَ الآنَ في مَقابِرِهِم.</w:t>
      </w:r>
      <w:r>
        <w:t xml:space="preserve"> </w:t>
      </w:r>
      <w:r>
        <w:rPr>
          <w:iCs/>
          <w:i/>
        </w:rPr>
        <w:t xml:space="preserve">طَيِّبْ قَلبَكَ — فَلا يَعودُ أَحَدٌ لِيَقولَ ما حالُ الذَّاهِبين.»</w:t>
      </w:r>
    </w:p>
    <w:p>
      <w:pPr>
        <w:pStyle w:val="BlockText"/>
      </w:pPr>
      <w:r>
        <w:t xml:space="preserve">— مِن أُغنيَّة الهارِب، مَقبَرَة إنتِف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58" w:name="الفصل-الثاني-والعشرون-ما-بعد-الظلام"/>
    <w:p>
      <w:pPr>
        <w:pStyle w:val="Heading2"/>
      </w:pPr>
      <w:r>
        <w:t xml:space="preserve">الفصل الثاني والعشرون: ما بعد الظلام</w:t>
      </w:r>
    </w:p>
    <w:bookmarkStart w:id="54" w:name="الجزء-الأول-الأثر"/>
    <w:p>
      <w:pPr>
        <w:pStyle w:val="GroupHeading"/>
      </w:pPr>
      <w:r>
        <w:t xml:space="preserve">الجزءُ الأوَّل: الأَثَر</w:t>
      </w:r>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4"/>
    <w:bookmarkStart w:id="55" w:name="الجزء-الثاني-عرش-رعمسيس"/>
    <w:p>
      <w:pPr>
        <w:pStyle w:val="GroupHeading"/>
      </w:pPr>
      <w:r>
        <w:t xml:space="preserve">الجزءُ الثاني: عَرشُ رَعمسيس</w:t>
      </w:r>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5"/>
    <w:bookmarkStart w:id="56" w:name="الجزء-الثالث-تحت-النجوم"/>
    <w:p>
      <w:pPr>
        <w:pStyle w:val="GroupHeading"/>
      </w:pPr>
      <w:r>
        <w:t xml:space="preserve">الجزءُ الثالث: تحتَ النُّجوم</w:t>
      </w:r>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6"/>
    <w:bookmarkStart w:id="57" w:name="وجه-من-ماض-آخر"/>
    <w:p>
      <w:pPr>
        <w:pStyle w:val="Heading3"/>
      </w:pPr>
      <w:r>
        <w:t xml:space="preserve">وجهٌ من ماضٍ آخر</w:t>
      </w:r>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bookmarkEnd w:id="57"/>
    <w:bookmarkEnd w:id="58"/>
    <w:bookmarkStart w:id="59" w:name="الفصل-الثالث-والعشرون-تآكل-الذاكرة"/>
    <w:p>
      <w:pPr>
        <w:pStyle w:val="Heading2"/>
      </w:pPr>
      <w:r>
        <w:t xml:space="preserve">الفصل الثالث والعشرون: تآكل الذاكرة</w:t>
      </w:r>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9"/>
    <w:bookmarkStart w:id="62" w:name="الفصل-الرابع-والعشرون-الدائرة-المغلقة"/>
    <w:p>
      <w:pPr>
        <w:pStyle w:val="Heading2"/>
      </w:pPr>
      <w:r>
        <w:t xml:space="preserve">الفصل الرابع والعشرون: الدائرة المغلقة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0" w:name="الجزء-الأول-البردية"/>
    <w:p>
      <w:pPr>
        <w:pStyle w:val="GroupHeading"/>
      </w:pPr>
      <w:r>
        <w:t xml:space="preserve">الجزء الأول: البردية</w:t>
      </w:r>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Cs/>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Cs/>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Cs/>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Cs/>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0"/>
    <w:bookmarkStart w:id="61" w:name="الجزء-الثاني-الصراع-على-ضفة-النيل"/>
    <w:p>
      <w:pPr>
        <w:pStyle w:val="GroupHeading"/>
      </w:pPr>
      <w:r>
        <w:t xml:space="preserve">الجزء الثاني: الصراع على ضفة النيل</w:t>
      </w:r>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ولأول</w:t>
      </w:r>
      <w:r>
        <w:t xml:space="preserve">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bookmarkEnd w:id="61"/>
    <w:bookmarkEnd w:id="62"/>
    <w:bookmarkStart w:id="63" w:name="الفصل-الخامس-والعشرون-رسالة-الغريب"/>
    <w:p>
      <w:pPr>
        <w:pStyle w:val="Heading2"/>
      </w:pPr>
      <w:r>
        <w:t xml:space="preserve">الفصل الخامس والعشرون: رسالة الغريب</w:t>
      </w:r>
    </w:p>
    <w:p>
      <w:pPr>
        <w:pStyle w:val="GroupHeading"/>
      </w:pPr>
      <w:r>
        <w:t xml:space="preserve">معمل آثار، القاهرة —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تجاوزه. ظلّت ساعةً كاملة تنظر إليه. لم تكن تعرف لماذا. غادرت دون أن تدوّن شيئًا. في تلك الليلة، في غرفة الفندق، كتبت في دفترها جملةً واحدة: «هل قرأ أحمد هذا السطر؟» ثم محتها. ثم أعادت كتابتها. ثم تركتها.</w:t>
      </w:r>
    </w:p>
    <w:p>
      <w:pPr>
        <w:pStyle w:val="BodyText"/>
      </w:pPr>
      <w:r>
        <w:t xml:space="preserve">وفي السنة الثامنة، حين دافعت عن أطروحتها أمام لجنة من خمسة أساتذة، سألها أكبرهم سؤالًا تقنيًّا عن ترتيبٍ زمنيٍّ في عهد رعمسيس الثاني. أجابت بدقّةٍ مهنيّة. صفّق لها الجميع. لكنّها وهي تنزل من المنصّة شعرت بشيءٍ غريب: لم تكن تدافع عن أطروحة. كانت تترافع عن غائب. وكان أصعب ما في الأمر أنّ الغائب لم يكن في القاعة ليسمع.</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يَدًا أُنثَويَّةً صَبورَةً نَقَشَته.</w:t>
      </w:r>
    </w:p>
    <w:p>
      <w:pPr>
        <w:pStyle w:val="BodyText"/>
      </w:pPr>
      <w:r>
        <w:t xml:space="preserve">تَرجَمَتهُ بِصَوتٍ خافِت:</w:t>
      </w:r>
    </w:p>
    <w:p>
      <w:pPr>
        <w:pStyle w:val="BodyText"/>
      </w:pPr>
      <w:r>
        <w:rPr>
          <w:iCs/>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3"/>
    <w:bookmarkEnd w:id="64"/>
    <w:bookmarkStart w:id="69" w:name="كلمة-من-المؤلف"/>
    <w:p>
      <w:pPr>
        <w:pStyle w:val="Heading1"/>
      </w:pPr>
      <w:r>
        <w:t xml:space="preserve">كَلِمةٌ من المؤلِّف</w:t>
      </w:r>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5" w:name="عن-الدقة-التاريخية"/>
    <w:p>
      <w:pPr>
        <w:pStyle w:val="Heading2"/>
      </w:pPr>
      <w:r>
        <w:t xml:space="preserve">عن الدقَّة التاريخيَّة</w:t>
      </w:r>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bookmarkEnd w:id="65"/>
    <w:bookmarkStart w:id="66" w:name="عن-الحرية-الأدبية"/>
    <w:p>
      <w:pPr>
        <w:pStyle w:val="Heading2"/>
      </w:pPr>
      <w:r>
        <w:t xml:space="preserve">عن الحُرِّيَّة الأَدَبيَّة</w:t>
      </w:r>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bookmarkEnd w:id="66"/>
    <w:bookmarkStart w:id="67" w:name="عن-الكتابة-من-خارج-المهنة"/>
    <w:p>
      <w:pPr>
        <w:pStyle w:val="Heading2"/>
      </w:pPr>
      <w:r>
        <w:t xml:space="preserve">عن الكِتابةِ من خارجِ المِهنَة</w:t>
      </w:r>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bookmarkEnd w:id="67"/>
    <w:bookmarkStart w:id="68" w:name="شكر-أخير-للقارئ"/>
    <w:p>
      <w:pPr>
        <w:pStyle w:val="Heading2"/>
      </w:pPr>
      <w:r>
        <w:t xml:space="preserve">شُكرٌ أَخيرٌ لِلقارئ</w:t>
      </w:r>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Cs/>
          <w:b/>
        </w:rPr>
        <w:t xml:space="preserve">أحمد علَّام</w:t>
      </w:r>
      <w:r>
        <w:t xml:space="preserve"> </w:t>
      </w:r>
      <w:r>
        <w:t xml:space="preserve">القاهرة، ٢٠٢٥</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8"/>
    <w:bookmarkEnd w:id="69"/>
    <w:bookmarkStart w:id="70" w:name="شكر-وتقدير"/>
    <w:p>
      <w:pPr>
        <w:pStyle w:val="Heading1"/>
      </w:pPr>
      <w:r>
        <w:t xml:space="preserve">شُكرٌ وتَقدير</w:t>
      </w:r>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0"/>
    <w:bookmarkStart w:id="76" w:name="مسرد-المصطلحات"/>
    <w:p>
      <w:pPr>
        <w:pStyle w:val="Heading1"/>
      </w:pPr>
      <w:r>
        <w:t xml:space="preserve">مَسرَدُ المُصطَلَحات</w:t>
      </w:r>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bookmarkStart w:id="71" w:name="الأماكن"/>
    <w:p>
      <w:pPr>
        <w:pStyle w:val="Heading2"/>
      </w:pPr>
      <w:r>
        <w:t xml:space="preserve">الأَماكِن</w:t>
      </w:r>
    </w:p>
    <w:p>
      <w:pPr>
        <w:numPr>
          <w:ilvl w:val="0"/>
          <w:numId w:val="1011"/>
        </w:numPr>
        <w:pStyle w:val="Compact"/>
      </w:pPr>
      <w:r>
        <w:rPr>
          <w:bCs/>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1"/>
        </w:numPr>
        <w:pStyle w:val="Compact"/>
      </w:pPr>
      <w:r>
        <w:rPr>
          <w:bCs/>
          <w:b/>
        </w:rPr>
        <w:t xml:space="preserve">الكَرنَك</w:t>
      </w:r>
      <w:r>
        <w:t xml:space="preserve"> </w:t>
      </w:r>
      <w:r>
        <w:t xml:space="preserve">— أَضخَمُ مُجَمَّعٍ مَعبَديٍّ في العالَمِ القَديم، مُخَصَّصٌ في جَوهَرِه لِعِبادَةِ الإلَه آمون.</w:t>
      </w:r>
    </w:p>
    <w:p>
      <w:pPr>
        <w:numPr>
          <w:ilvl w:val="0"/>
          <w:numId w:val="1011"/>
        </w:numPr>
        <w:pStyle w:val="Compact"/>
      </w:pPr>
      <w:r>
        <w:rPr>
          <w:bCs/>
          <w:b/>
        </w:rPr>
        <w:t xml:space="preserve">مَعبَدُ الأُقصُر</w:t>
      </w:r>
      <w:r>
        <w:t xml:space="preserve"> </w:t>
      </w:r>
      <w:r>
        <w:t xml:space="preserve">— مَعبَدٌ مُلاصِقٌ لِلنِّيل، مُرتَبِطٌ بِالكَرنَك عَبرَ طَريقِ أَبي الهَولِ الطَّويل.</w:t>
      </w:r>
    </w:p>
    <w:p>
      <w:pPr>
        <w:numPr>
          <w:ilvl w:val="0"/>
          <w:numId w:val="1011"/>
        </w:numPr>
        <w:pStyle w:val="Compact"/>
      </w:pPr>
      <w:r>
        <w:rPr>
          <w:bCs/>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1"/>
        </w:numPr>
        <w:pStyle w:val="Compact"/>
      </w:pPr>
      <w:r>
        <w:rPr>
          <w:bCs/>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bookmarkEnd w:id="71"/>
    <w:bookmarkStart w:id="72" w:name="الآلهة"/>
    <w:p>
      <w:pPr>
        <w:pStyle w:val="Heading2"/>
      </w:pPr>
      <w:r>
        <w:t xml:space="preserve">الآلِهَة</w:t>
      </w:r>
    </w:p>
    <w:p>
      <w:pPr>
        <w:numPr>
          <w:ilvl w:val="0"/>
          <w:numId w:val="1012"/>
        </w:numPr>
        <w:pStyle w:val="Compact"/>
      </w:pPr>
      <w:r>
        <w:rPr>
          <w:bCs/>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2"/>
        </w:numPr>
        <w:pStyle w:val="Compact"/>
      </w:pPr>
      <w:r>
        <w:rPr>
          <w:bCs/>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2"/>
        </w:numPr>
        <w:pStyle w:val="Compact"/>
      </w:pPr>
      <w:r>
        <w:rPr>
          <w:bCs/>
          <w:b/>
        </w:rPr>
        <w:t xml:space="preserve">حَتحور</w:t>
      </w:r>
      <w:r>
        <w:t xml:space="preserve"> </w:t>
      </w:r>
      <w:r>
        <w:t xml:space="preserve">— رَبَّةُ الحُبِّ والفَرَحِ والأُمومَة، وحاميَةُ النِّساء. رَمزُها البَقَرَة.</w:t>
      </w:r>
    </w:p>
    <w:p>
      <w:pPr>
        <w:numPr>
          <w:ilvl w:val="0"/>
          <w:numId w:val="1012"/>
        </w:numPr>
        <w:pStyle w:val="Compact"/>
      </w:pPr>
      <w:r>
        <w:rPr>
          <w:bCs/>
          <w:b/>
        </w:rPr>
        <w:t xml:space="preserve">سِخمِت</w:t>
      </w:r>
      <w:r>
        <w:t xml:space="preserve"> </w:t>
      </w:r>
      <w:r>
        <w:t xml:space="preserve">— رَبَّةُ الحَربِ والأَوبِئَةِ والشِّفاء. رَأسُها لَبؤَة. يُقالُ إنَّها تُرسِلُ الوَباءَ وتَرفَعُه مَعًا.</w:t>
      </w:r>
    </w:p>
    <w:p>
      <w:pPr>
        <w:numPr>
          <w:ilvl w:val="0"/>
          <w:numId w:val="1012"/>
        </w:numPr>
        <w:pStyle w:val="Compact"/>
      </w:pPr>
      <w:r>
        <w:rPr>
          <w:bCs/>
          <w:b/>
        </w:rPr>
        <w:t xml:space="preserve">تِحوت</w:t>
      </w:r>
      <w:r>
        <w:t xml:space="preserve"> </w:t>
      </w:r>
      <w:r>
        <w:t xml:space="preserve">— إلَهُ الحِكمَةِ والكِتابَةِ والطِّبِّ والفَلَك. رَأسُه أبو مِنجَل. حامي الكَتَبَة.</w:t>
      </w:r>
    </w:p>
    <w:p>
      <w:pPr>
        <w:numPr>
          <w:ilvl w:val="0"/>
          <w:numId w:val="1012"/>
        </w:numPr>
        <w:pStyle w:val="Compact"/>
      </w:pPr>
      <w:r>
        <w:rPr>
          <w:bCs/>
          <w:b/>
        </w:rPr>
        <w:t xml:space="preserve">أوزيريس</w:t>
      </w:r>
      <w:r>
        <w:t xml:space="preserve"> </w:t>
      </w:r>
      <w:r>
        <w:t xml:space="preserve">— إلَهُ العالَمِ الآخَرِ والقِيامَة. كلُّ مَيتٍ يُصبِحُ «أوزيريسَ» في رِحلَةِ ما بَعدَ المَوت.</w:t>
      </w:r>
    </w:p>
    <w:p>
      <w:pPr>
        <w:numPr>
          <w:ilvl w:val="0"/>
          <w:numId w:val="1012"/>
        </w:numPr>
        <w:pStyle w:val="Compact"/>
      </w:pPr>
      <w:r>
        <w:rPr>
          <w:bCs/>
          <w:b/>
        </w:rPr>
        <w:t xml:space="preserve">حورس</w:t>
      </w:r>
      <w:r>
        <w:t xml:space="preserve"> </w:t>
      </w:r>
      <w:r>
        <w:t xml:space="preserve">— ابنُ إيزيس وأوزيريس، وحامي الفِرعَون. رَأسُه صَقر.</w:t>
      </w:r>
    </w:p>
    <w:p>
      <w:pPr>
        <w:numPr>
          <w:ilvl w:val="0"/>
          <w:numId w:val="1012"/>
        </w:numPr>
        <w:pStyle w:val="Compact"/>
      </w:pPr>
      <w:r>
        <w:rPr>
          <w:bCs/>
          <w:b/>
        </w:rPr>
        <w:t xml:space="preserve">أنوبيس</w:t>
      </w:r>
      <w:r>
        <w:t xml:space="preserve"> </w:t>
      </w:r>
      <w:r>
        <w:t xml:space="preserve">— إلَهُ التَّحنيطِ ومُرشِدُ أَرواحِ المَوتى. رَأسُه ابنُ آوى.</w:t>
      </w:r>
    </w:p>
    <w:bookmarkEnd w:id="72"/>
    <w:bookmarkStart w:id="73" w:name="الأشخاص-والرتب"/>
    <w:p>
      <w:pPr>
        <w:pStyle w:val="Heading2"/>
      </w:pPr>
      <w:r>
        <w:t xml:space="preserve">الأَشخاصُ والرُّتَب</w:t>
      </w:r>
    </w:p>
    <w:p>
      <w:pPr>
        <w:numPr>
          <w:ilvl w:val="0"/>
          <w:numId w:val="1013"/>
        </w:numPr>
        <w:pStyle w:val="Compact"/>
      </w:pPr>
      <w:r>
        <w:rPr>
          <w:bCs/>
          <w:b/>
        </w:rPr>
        <w:t xml:space="preserve">الفِرعَون</w:t>
      </w:r>
      <w:r>
        <w:t xml:space="preserve"> </w:t>
      </w:r>
      <w:r>
        <w:t xml:space="preserve">— المَلِك، وهو في المُعتَقَدِ المِصريِّ القَديمِ تَجَلٍّ حَيٌّ لِلإلَه حورس على الأَرض.</w:t>
      </w:r>
    </w:p>
    <w:p>
      <w:pPr>
        <w:numPr>
          <w:ilvl w:val="0"/>
          <w:numId w:val="1013"/>
        </w:numPr>
        <w:pStyle w:val="Compact"/>
      </w:pPr>
      <w:r>
        <w:rPr>
          <w:bCs/>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3"/>
        </w:numPr>
        <w:pStyle w:val="Compact"/>
      </w:pPr>
      <w:r>
        <w:rPr>
          <w:bCs/>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3"/>
        </w:numPr>
        <w:pStyle w:val="Compact"/>
      </w:pPr>
      <w:r>
        <w:rPr>
          <w:bCs/>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3"/>
        </w:numPr>
        <w:pStyle w:val="Compact"/>
      </w:pPr>
      <w:r>
        <w:rPr>
          <w:bCs/>
          <w:b/>
        </w:rPr>
        <w:t xml:space="preserve">كاتِبُ المَعبَد</w:t>
      </w:r>
      <w:r>
        <w:t xml:space="preserve"> </w:t>
      </w:r>
      <w:r>
        <w:t xml:space="preserve">— مَن أَتقَنَ الهِيروغليفيَّةَ والهيراطِيقيَّة. مَكانَةٌ رَفيعَةٌ في المُجتَمَع، ومَدخَلٌ لِلإدارَةِ والدِّين.</w:t>
      </w:r>
    </w:p>
    <w:bookmarkEnd w:id="73"/>
    <w:bookmarkStart w:id="74" w:name="الأدوات-والماهيم"/>
    <w:p>
      <w:pPr>
        <w:pStyle w:val="Heading2"/>
      </w:pPr>
      <w:r>
        <w:t xml:space="preserve">الأَدَواتُ والمَ��اهيم</w:t>
      </w:r>
    </w:p>
    <w:p>
      <w:pPr>
        <w:numPr>
          <w:ilvl w:val="0"/>
          <w:numId w:val="1014"/>
        </w:numPr>
        <w:pStyle w:val="Compact"/>
      </w:pPr>
      <w:r>
        <w:rPr>
          <w:bCs/>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4"/>
        </w:numPr>
        <w:pStyle w:val="Compact"/>
      </w:pPr>
      <w:r>
        <w:rPr>
          <w:bCs/>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4"/>
        </w:numPr>
        <w:pStyle w:val="Compact"/>
      </w:pPr>
      <w:r>
        <w:rPr>
          <w:bCs/>
          <w:b/>
        </w:rPr>
        <w:t xml:space="preserve">الهِيراطِيقيَّة</w:t>
      </w:r>
      <w:r>
        <w:t xml:space="preserve"> </w:t>
      </w:r>
      <w:r>
        <w:t xml:space="preserve">— صيغَةٌ مُسَرَّعَةٌ مِن الهِيروغليفيَّةِ كانَ يَستَخدِمُها الكَتَبَةُ في الوَثائِقِ اليَوميَّة.</w:t>
      </w:r>
    </w:p>
    <w:p>
      <w:pPr>
        <w:numPr>
          <w:ilvl w:val="0"/>
          <w:numId w:val="1014"/>
        </w:numPr>
        <w:pStyle w:val="Compact"/>
      </w:pPr>
      <w:r>
        <w:rPr>
          <w:bCs/>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4"/>
        </w:numPr>
        <w:pStyle w:val="Compact"/>
      </w:pPr>
      <w:r>
        <w:rPr>
          <w:bCs/>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4"/>
        </w:numPr>
        <w:pStyle w:val="Compact"/>
      </w:pPr>
      <w:r>
        <w:rPr>
          <w:bCs/>
          <w:b/>
        </w:rPr>
        <w:t xml:space="preserve">الكارتوش</w:t>
      </w:r>
      <w:r>
        <w:t xml:space="preserve"> </w:t>
      </w:r>
      <w:r>
        <w:t xml:space="preserve">— إطارٌ بَيضَويٌّ يُحيطُ باسمِ الفِرعَون، يَعني «الحَلَقَةَ التي تَحميه».</w:t>
      </w:r>
    </w:p>
    <w:p>
      <w:pPr>
        <w:numPr>
          <w:ilvl w:val="0"/>
          <w:numId w:val="1014"/>
        </w:numPr>
        <w:pStyle w:val="Compact"/>
      </w:pPr>
      <w:r>
        <w:rPr>
          <w:bCs/>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4"/>
        </w:numPr>
        <w:pStyle w:val="Compact"/>
      </w:pPr>
      <w:r>
        <w:rPr>
          <w:bCs/>
          <w:b/>
        </w:rPr>
        <w:t xml:space="preserve">الكا</w:t>
      </w:r>
      <w:r>
        <w:t xml:space="preserve"> </w:t>
      </w:r>
      <w:r>
        <w:t xml:space="preserve">— الرُّوحُ الحَيَّةُ التي تَبقى مُلازِمَةً لِلجَسَدِ بَعدَ المَوت، وتَحتاجُ إلى القَرابين.</w:t>
      </w:r>
    </w:p>
    <w:p>
      <w:pPr>
        <w:numPr>
          <w:ilvl w:val="0"/>
          <w:numId w:val="1014"/>
        </w:numPr>
        <w:pStyle w:val="Compact"/>
      </w:pPr>
      <w:r>
        <w:rPr>
          <w:bCs/>
          <w:b/>
        </w:rPr>
        <w:t xml:space="preserve">البا</w:t>
      </w:r>
      <w:r>
        <w:t xml:space="preserve"> </w:t>
      </w:r>
      <w:r>
        <w:t xml:space="preserve">— الرُّوحُ الفَرديَّةُ التي تَتَحَرَّرُ مِن الجَسَدِ بَعدَ المَوتِ كَطائرٍ ذي رَأسِ إنسان.</w:t>
      </w:r>
    </w:p>
    <w:p>
      <w:pPr>
        <w:numPr>
          <w:ilvl w:val="0"/>
          <w:numId w:val="1014"/>
        </w:numPr>
        <w:pStyle w:val="Compact"/>
      </w:pPr>
      <w:r>
        <w:rPr>
          <w:bCs/>
          <w:b/>
        </w:rPr>
        <w:t xml:space="preserve">الإزار (الشِنتي)</w:t>
      </w:r>
      <w:r>
        <w:t xml:space="preserve"> </w:t>
      </w:r>
      <w:r>
        <w:t xml:space="preserve">— لِباسُ الرَّجُلِ الأَساسيّ، قِطعَةٌ مِن الكَتَّانِ تُلَفُّ حَولَ الوَسَط.</w:t>
      </w:r>
    </w:p>
    <w:p>
      <w:pPr>
        <w:numPr>
          <w:ilvl w:val="0"/>
          <w:numId w:val="1014"/>
        </w:numPr>
        <w:pStyle w:val="Compact"/>
      </w:pPr>
      <w:r>
        <w:rPr>
          <w:bCs/>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4"/>
        </w:numPr>
        <w:pStyle w:val="Compact"/>
      </w:pPr>
      <w:r>
        <w:rPr>
          <w:bCs/>
          <w:b/>
        </w:rPr>
        <w:t xml:space="preserve">الماء المُقَدَّس</w:t>
      </w:r>
      <w:r>
        <w:t xml:space="preserve"> </w:t>
      </w:r>
      <w:r>
        <w:t xml:space="preserve">— ماءٌ مُطَهَّرٌ يُؤخَذُ مِن حَوضٍ خاصٍّ في المَعبَد، يُستَخدَمُ في التَّعميدِ والرُّقى.</w:t>
      </w:r>
    </w:p>
    <w:bookmarkEnd w:id="74"/>
    <w:bookmarkStart w:id="75" w:name="الحقبة-الزمنية"/>
    <w:p>
      <w:pPr>
        <w:pStyle w:val="Heading2"/>
      </w:pPr>
      <w:r>
        <w:t xml:space="preserve">الحِقبَةُ الزَّمَنيَّة</w:t>
      </w:r>
    </w:p>
    <w:p>
      <w:pPr>
        <w:numPr>
          <w:ilvl w:val="0"/>
          <w:numId w:val="1015"/>
        </w:numPr>
        <w:pStyle w:val="Compact"/>
      </w:pPr>
      <w:r>
        <w:rPr>
          <w:bCs/>
          <w:b/>
        </w:rPr>
        <w:t xml:space="preserve">الدَّولَةُ القَديمَة</w:t>
      </w:r>
      <w:r>
        <w:t xml:space="preserve"> </w:t>
      </w:r>
      <w:r>
        <w:t xml:space="preserve">— نَحوَ ٢٦٨٦–٢١٨١ ق.م. عَصرُ الأَهرامات.</w:t>
      </w:r>
    </w:p>
    <w:p>
      <w:pPr>
        <w:numPr>
          <w:ilvl w:val="0"/>
          <w:numId w:val="1015"/>
        </w:numPr>
        <w:pStyle w:val="Compact"/>
      </w:pPr>
      <w:r>
        <w:rPr>
          <w:bCs/>
          <w:b/>
        </w:rPr>
        <w:t xml:space="preserve">الدَّولَةُ الوُسطى</w:t>
      </w:r>
      <w:r>
        <w:t xml:space="preserve"> </w:t>
      </w:r>
      <w:r>
        <w:t xml:space="preserve">— نَحوَ ٢٠٥٥–١٦٥٠ ق.م.</w:t>
      </w:r>
    </w:p>
    <w:p>
      <w:pPr>
        <w:numPr>
          <w:ilvl w:val="0"/>
          <w:numId w:val="1015"/>
        </w:numPr>
        <w:pStyle w:val="Compact"/>
      </w:pPr>
      <w:r>
        <w:rPr>
          <w:bCs/>
          <w:b/>
        </w:rPr>
        <w:t xml:space="preserve">الدَّولَةُ الحَديثَة</w:t>
      </w:r>
      <w:r>
        <w:t xml:space="preserve"> </w:t>
      </w:r>
      <w:r>
        <w:t xml:space="preserve">— نَحوَ ١٥٥٠–١٠٦٩ ق.م. ذُروَةُ الإمبراطوريَّةِ المِصريَّة. تَشمَلُ الأُسَرَ ١٨ و١٩ و٢٠.</w:t>
      </w:r>
    </w:p>
    <w:p>
      <w:pPr>
        <w:numPr>
          <w:ilvl w:val="0"/>
          <w:numId w:val="1015"/>
        </w:numPr>
        <w:pStyle w:val="Compact"/>
      </w:pPr>
      <w:r>
        <w:rPr>
          <w:bCs/>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5"/>
    <w:bookmarkEnd w:id="76"/>
    <w:bookmarkStart w:id="77" w:name="عن-المؤلف"/>
    <w:p>
      <w:pPr>
        <w:pStyle w:val="Heading1"/>
      </w:pPr>
      <w:r>
        <w:t xml:space="preserve">عن المؤلِّف</w:t>
      </w:r>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7"/>
    <w:bookmarkStart w:id="78" w:name="نبذة-الغلاف-الخلفي"/>
    <w:p>
      <w:pPr>
        <w:pStyle w:val="Heading1"/>
      </w:pPr>
      <w:r>
        <w:t xml:space="preserve">نَبذَةُ الغِلافِ الخَلفيّ</w:t>
      </w:r>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Cs/>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Cs/>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Cs/>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8"/>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bidi="ar-SA" w:val="en-US"/>
  <w:decimalSymbol w:val="."/>
  <w:listSeparator w:val=","/>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cs="Amiri" w:eastAsiaTheme="minorHAnsi" w:hAnsi="Amiri"/>
        <w:sz w:val="26"/>
        <w:szCs w:val="26"/>
        <w:lang w:bidi="ar-SA" w:eastAsia="ar-SA" w:val="ar-SA"/>
      </w:rPr>
    </w:rPrDefault>
    <w:pPrDefault>
      <w:pPr>
        <w:bidi/>
        <w:widowControl/>
        <w:autoSpaceDE w:val="0"/>
        <w:autoSpaceDN w:val="0"/>
        <w:adjustRightInd w:val="0"/>
        <w:spacing w:after="120" w:before="0" w:line="360" w:lineRule="auto"/>
        <w:jc w:val="both"/>
        <w:textAlignment w:val="baseline"/>
      </w:pPr>
    </w:pPrDefault>
  </w:docDefaults>
  <w:latentStyles w:count="276" w:defLockedState="0" w:defQFormat="0" w:defSemiHidden="0" w:defUIPriority="0" w:defUnhideWhenUsed="0"/>
  <w:style w:default="1" w:styleId="Normal" w:type="paragraph">
    <w:name w:val="Normal"/>
    <w:qFormat/>
    <w:pPr>
      <w:bidi/>
    </w:pPr>
  </w:style>
  <w:style w:styleId="BodyText" w:type="paragraph">
    <w:name w:val="Body Text"/>
    <w:basedOn w:val="Normal"/>
    <w:link w:val="BodyTextChar"/>
    <w:qFormat/>
    <w:pPr>
      <w:bidi/>
      <w:widowControl/>
      <w:spacing w:after="0" w:before="0" w:line="360" w:lineRule="auto"/>
      <w:ind w:firstLine="567"/>
      <w:jc w:val="both"/>
    </w:pPr>
    <w:rPr>
      <w:rFonts w:ascii="Amiri" w:cs="Amiri" w:hAnsi="Amiri"/>
      <w:sz w:val="26"/>
      <w:szCs w:val="26"/>
    </w:rPr>
  </w:style>
  <w:style w:customStyle="1" w:styleId="FirstParagraph" w:type="paragraph">
    <w:name w:val="First Paragraph"/>
    <w:basedOn w:val="BodyText"/>
    <w:next w:val="BodyText"/>
    <w:qFormat/>
    <w:pPr>
      <w:bidi/>
      <w:widowControl/>
      <w:spacing w:after="0" w:before="360" w:line="360" w:lineRule="auto"/>
      <w:ind w:firstLine="0"/>
      <w:jc w:val="both"/>
    </w:pPr>
    <w:rPr>
      <w:rFonts w:ascii="Amiri" w:cs="Amiri" w:hAnsi="Amiri"/>
      <w:sz w:val="26"/>
      <w:szCs w:val="26"/>
    </w:rPr>
  </w:style>
  <w:style w:customStyle="1" w:styleId="Compact" w:type="paragraph">
    <w:name w:val="Compact"/>
    <w:basedOn w:val="BodyText"/>
    <w:qFormat/>
    <w:pPr>
      <w:bidi/>
      <w:spacing w:after="36" w:before="36"/>
    </w:pPr>
  </w:style>
  <w:style w:styleId="Title" w:type="paragraph">
    <w:name w:val="Title"/>
    <w:basedOn w:val="Normal"/>
    <w:next w:val="Author"/>
    <w:qFormat/>
    <w:pPr>
      <w:bidi/>
      <w:keepNext/>
      <w:keepLines/>
      <w:widowControl/>
      <w:pageBreakBefore/>
      <w:spacing w:after="800" w:before="3600" w:line="360" w:lineRule="auto"/>
      <w:jc w:val="center"/>
    </w:pPr>
    <w:rPr>
      <w:rFonts w:ascii="Amiri" w:cs="Amiri" w:hAnsi="Amiri"/>
      <w:b/>
      <w:bCs/>
      <w:color w:val="1F4E79"/>
      <w:spacing w:val="100"/>
      <w:sz w:val="72"/>
      <w:szCs w:val="72"/>
    </w:rPr>
  </w:style>
  <w:style w:styleId="Subtitle" w:type="paragraph">
    <w:name w:val="Subtitle"/>
    <w:basedOn w:val="Normal"/>
    <w:next w:val="Author"/>
    <w:qFormat/>
    <w:pPr>
      <w:bidi/>
      <w:keepNext/>
      <w:widowControl/>
      <w:pageBreakBefore w:val="0"/>
      <w:spacing w:after="400" w:before="600" w:line="360" w:lineRule="auto"/>
      <w:jc w:val="center"/>
    </w:pPr>
    <w:rPr>
      <w:rFonts w:ascii="Amiri" w:cs="Amiri" w:hAnsi="Amiri"/>
      <w:i/>
      <w:iCs/>
      <w:color w:val="C9A227"/>
      <w:spacing w:val="120"/>
      <w:sz w:val="32"/>
      <w:szCs w:val="32"/>
    </w:rPr>
  </w:style>
  <w:style w:customStyle="1" w:styleId="Author" w:type="paragraph">
    <w:name w:val="Author"/>
    <w:basedOn w:val="Normal"/>
    <w:next w:val="BodyText"/>
    <w:qFormat/>
    <w:pPr>
      <w:bidi/>
      <w:widowControl/>
      <w:pageBreakBefore w:val="0"/>
      <w:spacing w:after="2400" w:before="200" w:line="360" w:lineRule="auto"/>
      <w:jc w:val="center"/>
    </w:pPr>
    <w:rPr>
      <w:rFonts w:ascii="Amiri" w:cs="Amiri" w:hAnsi="Amiri"/>
      <w:b/>
      <w:bCs/>
      <w:color w:val="1F4E79"/>
      <w:spacing w:val="80"/>
      <w:sz w:val="32"/>
      <w:szCs w:val="32"/>
    </w:rPr>
  </w:style>
  <w:style w:styleId="Date" w:type="paragraph">
    <w:name w:val="Date"/>
    <w:next w:val="BodyText"/>
    <w:qFormat/>
    <w:pPr>
      <w:bidi/>
      <w:keepNext/>
      <w:keepLines/>
      <w:jc w:val="center"/>
    </w:pPr>
  </w:style>
  <w:style w:customStyle="1" w:styleId="Abstract" w:type="paragraph">
    <w:name w:val="Abstract"/>
    <w:basedOn w:val="Normal"/>
    <w:next w:val="BodyText"/>
    <w:qFormat/>
    <w:pPr>
      <w:bidi/>
      <w:keepNext/>
      <w:keepLines/>
      <w:spacing w:after="300" w:before="300"/>
    </w:pPr>
    <w:rPr>
      <w:sz w:val="20"/>
      <w:szCs w:val="20"/>
    </w:rPr>
  </w:style>
  <w:style w:styleId="Bibliography" w:type="paragraph">
    <w:name w:val="Bibliography"/>
    <w:basedOn w:val="Normal"/>
    <w:next w:val="Bibliography"/>
    <w:qFormat/>
    <w:pPr/>
    <w:rPr/>
    <w:pPr>
      <w:bidi/>
    </w:pPr>
  </w:style>
  <w:style w:styleId="Heading1" w:type="paragraph">
    <w:name w:val="Heading 1"/>
    <w:basedOn w:val="Normal"/>
    <w:next w:val="BodyText"/>
    <w:qFormat/>
    <w:pPr>
      <w:bidi/>
      <w:keepNext/>
      <w:keepLines/>
      <w:widowControl/>
      <w:pageBreakBefore/>
      <w:pBdr>
        <w:top w:color="C9A227" w:space="14" w:sz="6" w:val="double"/>
        <w:bottom w:color="C9A227" w:space="14" w:sz="6" w:val="double"/>
      </w:pBdr>
      <w:spacing w:after="1200" w:before="3600" w:line="360" w:lineRule="auto"/>
      <w:jc w:val="center"/>
      <w:outlineLvl w:val="0"/>
    </w:pPr>
    <w:rPr>
      <w:rFonts w:ascii="Amiri" w:cs="Amiri" w:hAnsi="Amiri"/>
      <w:b/>
      <w:bCs/>
      <w:color w:val="1F4E79"/>
      <w:spacing w:val="100"/>
      <w:sz w:val="44"/>
      <w:szCs w:val="44"/>
    </w:rPr>
  </w:style>
  <w:style w:styleId="Heading2" w:type="paragraph">
    <w:name w:val="Heading 2"/>
    <w:basedOn w:val="Normal"/>
    <w:next w:val="FirstParagraph"/>
    <w:qFormat/>
    <w:pPr>
      <w:bidi/>
      <w:keepNext/>
      <w:keepLines/>
      <w:widowControl/>
      <w:pageBreakBefore/>
      <w:pBdr>
        <w:bottom w:color="C9A227" w:space="14" w:sz="8" w:val="single"/>
      </w:pBdr>
      <w:spacing w:after="800" w:before="2400" w:line="360" w:lineRule="auto"/>
      <w:jc w:val="center"/>
      <w:outlineLvl w:val="1"/>
    </w:pPr>
    <w:rPr>
      <w:rFonts w:ascii="Amiri" w:cs="Amiri" w:hAnsi="Amiri"/>
      <w:b/>
      <w:bCs/>
      <w:color w:val="1F4E79"/>
      <w:spacing w:val="80"/>
      <w:sz w:val="36"/>
      <w:szCs w:val="36"/>
    </w:rPr>
  </w:style>
  <w:style w:styleId="Heading3" w:type="paragraph">
    <w:name w:val="Heading 3"/>
    <w:basedOn w:val="Normal"/>
    <w:next w:val="FirstParagraph"/>
    <w:qFormat/>
    <w:pPr>
      <w:bidi/>
      <w:keepNext/>
      <w:keepLines/>
      <w:widowControl/>
      <w:spacing w:after="240" w:before="600" w:line="360" w:lineRule="auto"/>
      <w:jc w:val="center"/>
      <w:outlineLvl w:val="2"/>
    </w:pPr>
    <w:rPr>
      <w:rFonts w:ascii="Amiri" w:cs="Amiri" w:hAnsi="Amiri"/>
      <w:b/>
      <w:bCs/>
      <w:i/>
      <w:iCs/>
      <w:color w:val="2E75B6"/>
      <w:spacing w:val="40"/>
      <w:sz w:val="30"/>
      <w:szCs w:val="30"/>
    </w:rPr>
  </w:style>
  <w:style w:styleId="Heading4" w:type="paragraph">
    <w:name w:val="Heading 4"/>
    <w:basedOn w:val="Normal"/>
    <w:next w:val="BodyText"/>
    <w:uiPriority w:val="9"/>
    <w:unhideWhenUsed/>
    <w:qFormat/>
    <w:pPr>
      <w:bidi/>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qFormat/>
    <w:pPr>
      <w:bidi/>
      <w:widowControl/>
      <w:keepLines/>
      <w:pBdr>
        <w:top w:color="C9A227" w:space="10" w:sz="4" w:val="single"/>
        <w:bottom w:color="C9A227" w:space="10" w:sz="4" w:val="single"/>
      </w:pBdr>
      <w:spacing w:after="360" w:before="360" w:line="360" w:lineRule="auto"/>
      <w:ind w:left="850" w:right="850"/>
      <w:jc w:val="center"/>
    </w:pPr>
    <w:rPr>
      <w:rFonts w:ascii="Amiri" w:cs="Amiri" w:hAnsi="Amiri"/>
      <w:i/>
      <w:iCs/>
      <w:color w:val="3F3F3F"/>
      <w:sz w:val="24"/>
      <w:szCs w:val="24"/>
    </w:r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GroupHeading" w:type="paragraph">
    <w:name w:val="Group Heading"/>
    <w:basedOn w:val="Normal"/>
    <w:next w:val="Normal"/>
    <w:qFormat/>
    <w:pPr>
      <w:bidi/>
      <w:keepNext/>
      <w:keepLines/>
      <w:widowControl/>
      <w:spacing w:after="240" w:before="480" w:line="360" w:lineRule="auto"/>
      <w:jc w:val="center"/>
    </w:pPr>
    <w:rPr>
      <w:rFonts w:ascii="Amiri" w:cs="Amiri" w:hAnsi="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2026-04-29T04:10:24Z</dcterms:created>
  <dcterms:modified xsi:type="dcterms:W3CDTF">2026-04-29T04:10:24Z</dcterms:modified>
</cp:coreProperties>
</file>

<file path=docProps/custom.xml><?xml version="1.0" encoding="utf-8"?>
<Properties xmlns="http://schemas.openxmlformats.org/officeDocument/2006/custom-properties" xmlns:vt="http://schemas.openxmlformats.org/officeDocument/2006/docPropsVTypes"/>
</file>