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320"/>
      </w:pPr>
      <w:r>
        <w:rPr>
          <w:rFonts w:ascii="Arial" w:cs="Arial" w:eastAsia="Arial" w:hAnsi="Arial"/>
          <w:b/>
          <w:bCs/>
          <w:color w:val="1B5E35"/>
          <w:sz w:val="52"/>
          <w:szCs w:val="52"/>
        </w:rPr>
        <w:t xml:space="preserve">Website Review Report</w:t>
      </w:r>
    </w:p>
    <w:p>
      <w:pPr>
        <w:spacing w:after="60" w:before="0"/>
      </w:pPr>
      <w:r>
        <w:rPr>
          <w:rFonts w:ascii="Arial" w:cs="Arial" w:eastAsia="Arial" w:hAnsi="Arial"/>
          <w:color w:val="555555"/>
          <w:sz w:val="22"/>
          <w:szCs w:val="22"/>
        </w:rPr>
        <w:t xml:space="preserve">muslim-will-drab.vercel.app</w:t>
      </w:r>
    </w:p>
    <w:p>
      <w:pPr>
        <w:spacing w:after="0" w:before="0"/>
      </w:pPr>
      <w:r>
        <w:rPr>
          <w:rFonts w:ascii="Arial" w:cs="Arial" w:eastAsia="Arial" w:hAnsi="Arial"/>
          <w:color w:val="555555"/>
          <w:sz w:val="20"/>
          <w:szCs w:val="20"/>
        </w:rPr>
        <w:t xml:space="preserve">Prepared for the Muslim Will Marketing Team  •  April 2026</w:t>
      </w:r>
    </w:p>
    <w:p>
      <w:pPr>
        <w:pBdr>
          <w:bottom w:val="single" w:color="1B5E35" w:sz="6" w:space="1"/>
        </w:pBdr>
        <w:spacing w:after="200" w:before="200"/>
      </w:pPr>
      <w:r>
        <w:t xml:space="preserve"/>
      </w:r>
    </w:p>
    <w:p>
      <w:pPr>
        <w:pStyle w:val="Heading1"/>
        <w:spacing w:after="160" w:before="320"/>
      </w:pPr>
      <w:r>
        <w:rPr>
          <w:rFonts w:ascii="Arial" w:cs="Arial" w:eastAsia="Arial" w:hAnsi="Arial"/>
          <w:b/>
          <w:bCs/>
          <w:color w:val="1B5E35"/>
          <w:sz w:val="26"/>
          <w:szCs w:val="26"/>
        </w:rPr>
        <w:t xml:space="preserve">Overview</w:t>
      </w:r>
    </w:p>
    <w:p>
      <w:pPr>
        <w:spacing w:after="80" w:before="80"/>
      </w:pPr>
      <w:r>
        <w:rPr>
          <w:rFonts w:ascii="Arial" w:cs="Arial" w:eastAsia="Arial" w:hAnsi="Arial"/>
          <w:color w:val="1A1A1A"/>
          <w:sz w:val="22"/>
          <w:szCs w:val="22"/>
        </w:rPr>
        <w:t xml:space="preserve">This report provides a structured review of the Muslim Will homepage draft, assessed against the platform’s known operational model, client workflow, and positioning within the Canadian Muslim community. The review is organized into three sections: what is working well, what requires attention, and a prioritized action list for the team.</w:t>
      </w:r>
    </w:p>
    <w:p>
      <w:pPr>
        <w:spacing w:after="80" w:before="80"/>
      </w:pPr>
      <w:r>
        <w:rPr>
          <w:rFonts w:ascii="Arial" w:cs="Arial" w:eastAsia="Arial" w:hAnsi="Arial"/>
          <w:color w:val="1A1A1A"/>
          <w:sz w:val="22"/>
          <w:szCs w:val="22"/>
        </w:rPr>
        <w:t xml:space="preserve">The homepage was reviewed as a standalone page. Several inner pages (How It Works, FAQ, Charitable Legacy) returned 404 errors and could not be assessed.</w:t>
      </w:r>
    </w:p>
    <w:p>
      <w:pPr>
        <w:spacing w:after="0" w:before="160"/>
      </w:pPr>
      <w:r>
        <w:t xml:space="preserve"/>
      </w:r>
    </w:p>
    <w:p>
      <w:pPr>
        <w:pBdr>
          <w:bottom w:val="single" w:color="1B5E35" w:sz="6" w:space="1"/>
        </w:pBdr>
        <w:spacing w:after="200" w:before="200"/>
      </w:pPr>
      <w:r>
        <w:t xml:space="preserve"/>
      </w:r>
    </w:p>
    <w:p>
      <w:pPr>
        <w:pStyle w:val="Heading1"/>
        <w:spacing w:after="160" w:before="320"/>
      </w:pPr>
      <w:r>
        <w:rPr>
          <w:rFonts w:ascii="Arial" w:cs="Arial" w:eastAsia="Arial" w:hAnsi="Arial"/>
          <w:b/>
          <w:bCs/>
          <w:color w:val="1B5E35"/>
          <w:sz w:val="26"/>
          <w:szCs w:val="26"/>
        </w:rPr>
        <w:t xml:space="preserve">What Is Working Well</w:t>
      </w:r>
    </w:p>
    <w:p>
      <w:pPr>
        <w:pStyle w:val="Heading2"/>
        <w:spacing w:after="100" w:before="220"/>
      </w:pPr>
      <w:r>
        <w:rPr>
          <w:rFonts w:ascii="Arial" w:cs="Arial" w:eastAsia="Arial" w:hAnsi="Arial"/>
          <w:b/>
          <w:bCs/>
          <w:color w:val="1A1A1A"/>
          <w:sz w:val="22"/>
          <w:szCs w:val="22"/>
        </w:rPr>
        <w:t xml:space="preserve">1. Legal Disclaimer Architecture</w:t>
      </w:r>
    </w:p>
    <w:p>
      <w:pPr>
        <w:spacing w:after="80" w:before="80"/>
      </w:pPr>
      <w:r>
        <w:rPr>
          <w:rFonts w:ascii="Arial" w:cs="Arial" w:eastAsia="Arial" w:hAnsi="Arial"/>
          <w:color w:val="1A1A1A"/>
          <w:sz w:val="22"/>
          <w:szCs w:val="22"/>
        </w:rPr>
        <w:t xml:space="preserve">The repeated disclosure that Muslim Will is not a law firm, does not issue fatwas, and that legal validity depends on proper execution is correctly placed and worded. This protects the brand and sets honest expectations with first-time visitors.</w:t>
      </w:r>
    </w:p>
    <w:p>
      <w:pPr>
        <w:pStyle w:val="Heading2"/>
        <w:spacing w:after="100" w:before="220"/>
      </w:pPr>
      <w:r>
        <w:rPr>
          <w:rFonts w:ascii="Arial" w:cs="Arial" w:eastAsia="Arial" w:hAnsi="Arial"/>
          <w:b/>
          <w:bCs/>
          <w:color w:val="1A1A1A"/>
          <w:sz w:val="22"/>
          <w:szCs w:val="22"/>
        </w:rPr>
        <w:t xml:space="preserve">2. Layered Professional Boundary Framing</w:t>
      </w:r>
    </w:p>
    <w:p>
      <w:pPr>
        <w:spacing w:after="80" w:before="80"/>
      </w:pPr>
      <w:r>
        <w:rPr>
          <w:rFonts w:ascii="Arial" w:cs="Arial" w:eastAsia="Arial" w:hAnsi="Arial"/>
          <w:color w:val="1A1A1A"/>
          <w:sz w:val="22"/>
          <w:szCs w:val="22"/>
        </w:rPr>
        <w:t xml:space="preserve">The three-layer model (Platform / Islamic Guidance / Independent Legal Review) is a genuine differentiator and builds credibility with a community that is rightly cautious about who they trust with estate documents. This section should be given greater visual prominence — currently it is buried toward the bottom of the page.</w:t>
      </w:r>
    </w:p>
    <w:p>
      <w:pPr>
        <w:pStyle w:val="Heading2"/>
        <w:spacing w:after="100" w:before="220"/>
      </w:pPr>
      <w:r>
        <w:rPr>
          <w:rFonts w:ascii="Arial" w:cs="Arial" w:eastAsia="Arial" w:hAnsi="Arial"/>
          <w:b/>
          <w:bCs/>
          <w:color w:val="1A1A1A"/>
          <w:sz w:val="22"/>
          <w:szCs w:val="22"/>
        </w:rPr>
        <w:t xml:space="preserve">3. The ‘Delay, Not Rejection’ Reframe</w:t>
      </w:r>
    </w:p>
    <w:p>
      <w:pPr>
        <w:spacing w:after="80" w:before="80"/>
      </w:pPr>
      <w:r>
        <w:rPr>
          <w:rFonts w:ascii="Arial" w:cs="Arial" w:eastAsia="Arial" w:hAnsi="Arial"/>
          <w:color w:val="1A1A1A"/>
          <w:sz w:val="22"/>
          <w:szCs w:val="22"/>
        </w:rPr>
        <w:t xml:space="preserve">Positioning the core barrier as a lack of clarity rather than a lack of motivation is accurate and will resonate with the target audience. Most Muslim families already understand the obligation. Naming the real obstacle is smart positioning and differentiates Muslim Will from generic will services.</w:t>
      </w:r>
    </w:p>
    <w:p>
      <w:pPr>
        <w:pStyle w:val="Heading2"/>
        <w:spacing w:after="100" w:before="220"/>
      </w:pPr>
      <w:r>
        <w:rPr>
          <w:rFonts w:ascii="Arial" w:cs="Arial" w:eastAsia="Arial" w:hAnsi="Arial"/>
          <w:b/>
          <w:bCs/>
          <w:color w:val="1A1A1A"/>
          <w:sz w:val="22"/>
          <w:szCs w:val="22"/>
        </w:rPr>
        <w:t xml:space="preserve">4. Charitable Legacy Integration</w:t>
      </w:r>
    </w:p>
    <w:p>
      <w:pPr>
        <w:spacing w:after="80" w:before="80"/>
      </w:pPr>
      <w:r>
        <w:rPr>
          <w:rFonts w:ascii="Arial" w:cs="Arial" w:eastAsia="Arial" w:hAnsi="Arial"/>
          <w:color w:val="1A1A1A"/>
          <w:sz w:val="22"/>
          <w:szCs w:val="22"/>
        </w:rPr>
        <w:t xml:space="preserve">The sadaqah jariyah framing within the bequest section is well done. It connects legacy giving to Islamic values organically without reading as an upsell. This is one of the strongest content sections on the page.</w:t>
      </w:r>
    </w:p>
    <w:p>
      <w:pPr>
        <w:pStyle w:val="Heading2"/>
        <w:spacing w:after="100" w:before="220"/>
      </w:pPr>
      <w:r>
        <w:rPr>
          <w:rFonts w:ascii="Arial" w:cs="Arial" w:eastAsia="Arial" w:hAnsi="Arial"/>
          <w:b/>
          <w:bCs/>
          <w:color w:val="1A1A1A"/>
          <w:sz w:val="22"/>
          <w:szCs w:val="22"/>
        </w:rPr>
        <w:t xml:space="preserve">5. Tone and Quotations</w:t>
      </w:r>
    </w:p>
    <w:p>
      <w:pPr>
        <w:spacing w:after="80" w:before="80"/>
      </w:pPr>
      <w:r>
        <w:rPr>
          <w:rFonts w:ascii="Arial" w:cs="Arial" w:eastAsia="Arial" w:hAnsi="Arial"/>
          <w:color w:val="1A1A1A"/>
          <w:sz w:val="22"/>
          <w:szCs w:val="22"/>
        </w:rPr>
        <w:t xml:space="preserve">The two Arabic-flavoured quotes are appropriate in register — authentically Islamic in spirit without being preachy or excluding less observant families. The overall copy tone strikes a good balance between warmth and professional restraint.</w:t>
      </w:r>
    </w:p>
    <w:p>
      <w:pPr>
        <w:spacing w:after="0" w:before="160"/>
      </w:pPr>
      <w:r>
        <w:t xml:space="preserve"/>
      </w:r>
    </w:p>
    <w:p>
      <w:pPr>
        <w:pBdr>
          <w:bottom w:val="single" w:color="1B5E35" w:sz="6" w:space="1"/>
        </w:pBdr>
        <w:spacing w:after="200" w:before="200"/>
      </w:pPr>
      <w:r>
        <w:t xml:space="preserve"/>
      </w:r>
    </w:p>
    <w:p>
      <w:pPr>
        <w:pStyle w:val="Heading1"/>
        <w:spacing w:after="160" w:before="320"/>
      </w:pPr>
      <w:r>
        <w:rPr>
          <w:rFonts w:ascii="Arial" w:cs="Arial" w:eastAsia="Arial" w:hAnsi="Arial"/>
          <w:b/>
          <w:bCs/>
          <w:color w:val="1B5E35"/>
          <w:sz w:val="26"/>
          <w:szCs w:val="26"/>
        </w:rPr>
        <w:t xml:space="preserve">What Needs Attention</w:t>
      </w:r>
    </w:p>
    <w:p>
      <w:pPr>
        <w:pStyle w:val="Heading2"/>
        <w:spacing w:after="100" w:before="220"/>
      </w:pPr>
      <w:r>
        <w:rPr>
          <w:rFonts w:ascii="Arial" w:cs="Arial" w:eastAsia="Arial" w:hAnsi="Arial"/>
          <w:b/>
          <w:bCs/>
          <w:color w:val="1A1A1A"/>
          <w:sz w:val="22"/>
          <w:szCs w:val="22"/>
        </w:rPr>
        <w:t xml:space="preserve">1. The Document Package Is Invisible</w:t>
      </w:r>
    </w:p>
    <w:p>
      <w:pPr>
        <w:spacing w:after="80" w:before="80"/>
      </w:pPr>
      <w:r>
        <w:rPr>
          <w:rFonts w:ascii="Arial" w:cs="Arial" w:eastAsia="Arial" w:hAnsi="Arial"/>
          <w:color w:val="1A1A1A"/>
          <w:sz w:val="22"/>
          <w:szCs w:val="22"/>
        </w:rPr>
        <w:t xml:space="preserve">The homepage never states what a client actually receives. The Muslim Will document package — Will, Guardianship Assignment, Power of Attorney for Property, and Power of Attorney for Personal Care — is a meaningful deliverable that competing services lead with. Families evaluating the platform want to know exactly what they are getting before they commit.</w:t>
      </w:r>
    </w:p>
    <w:p>
      <w:pPr>
        <w:spacing w:after="80" w:before="80"/>
      </w:pPr>
      <w:r>
        <w:rPr>
          <w:rFonts w:ascii="Arial" w:cs="Arial" w:eastAsia="Arial" w:hAnsi="Arial"/>
          <w:color w:val="1A1A1A"/>
          <w:sz w:val="22"/>
          <w:szCs w:val="22"/>
        </w:rPr>
        <w:t xml:space="preserve">Recommendation: Add a “What’s Included” section or callout with the four documents named explicitly. This alone is likely to increase conversion confidence.</w:t>
      </w:r>
    </w:p>
    <w:p>
      <w:pPr>
        <w:pStyle w:val="Heading2"/>
        <w:spacing w:after="100" w:before="220"/>
      </w:pPr>
      <w:r>
        <w:rPr>
          <w:rFonts w:ascii="Arial" w:cs="Arial" w:eastAsia="Arial" w:hAnsi="Arial"/>
          <w:b/>
          <w:bCs/>
          <w:color w:val="1A1A1A"/>
          <w:sz w:val="22"/>
          <w:szCs w:val="22"/>
        </w:rPr>
        <w:t xml:space="preserve">2. The Attestation Workflow Is Not Surfaced</w:t>
      </w:r>
    </w:p>
    <w:p>
      <w:pPr>
        <w:spacing w:after="80" w:before="80"/>
      </w:pPr>
      <w:r>
        <w:rPr>
          <w:rFonts w:ascii="Arial" w:cs="Arial" w:eastAsia="Arial" w:hAnsi="Arial"/>
          <w:color w:val="1A1A1A"/>
          <w:sz w:val="22"/>
          <w:szCs w:val="22"/>
        </w:rPr>
        <w:t xml:space="preserve">Muslim Will operates a structured four-meeting Zoom-based workflow: Document Review (Meeting 1), Islamic / Sharia Compliance Review (Meeting 2), Pre-Attestation Demo with all parties (Meeting 3), and Final Attestation Session (Meeting 4). None of this is reflected on the homepage.</w:t>
      </w:r>
    </w:p>
    <w:p>
      <w:pPr>
        <w:spacing w:after="80" w:before="80"/>
      </w:pPr>
      <w:r>
        <w:rPr>
          <w:rFonts w:ascii="Arial" w:cs="Arial" w:eastAsia="Arial" w:hAnsi="Arial"/>
          <w:color w:val="1A1A1A"/>
          <w:sz w:val="22"/>
          <w:szCs w:val="22"/>
        </w:rPr>
        <w:t xml:space="preserve">The current “How It Works” four-step summary reads as generic. Families choosing between will services will be more confident knowing that a human-guided, professionally coordinated process is in place. This is a trust-builder, not a burden.</w:t>
      </w:r>
    </w:p>
    <w:p>
      <w:pPr>
        <w:spacing w:after="80" w:before="80"/>
      </w:pPr>
      <w:r>
        <w:rPr>
          <w:rFonts w:ascii="Arial" w:cs="Arial" w:eastAsia="Arial" w:hAnsi="Arial"/>
          <w:color w:val="1A1A1A"/>
          <w:sz w:val="22"/>
          <w:szCs w:val="22"/>
        </w:rPr>
        <w:t xml:space="preserve">Recommendation: Surface a simplified version of the meeting-based process — even just naming the stages — in the How It Works section.</w:t>
      </w:r>
    </w:p>
    <w:p>
      <w:pPr>
        <w:pStyle w:val="Heading2"/>
        <w:spacing w:after="100" w:before="220"/>
      </w:pPr>
      <w:r>
        <w:rPr>
          <w:rFonts w:ascii="Arial" w:cs="Arial" w:eastAsia="Arial" w:hAnsi="Arial"/>
          <w:b/>
          <w:bCs/>
          <w:color w:val="1A1A1A"/>
          <w:sz w:val="22"/>
          <w:szCs w:val="22"/>
        </w:rPr>
        <w:t xml:space="preserve">3. The Scholar’s Role Is Undefined</w:t>
      </w:r>
    </w:p>
    <w:p>
      <w:pPr>
        <w:spacing w:after="80" w:before="80"/>
      </w:pPr>
      <w:r>
        <w:rPr>
          <w:rFonts w:ascii="Arial" w:cs="Arial" w:eastAsia="Arial" w:hAnsi="Arial"/>
          <w:color w:val="1A1A1A"/>
          <w:sz w:val="22"/>
          <w:szCs w:val="22"/>
        </w:rPr>
        <w:t xml:space="preserve">Islamic inheritance guidance is referenced throughout the page, but there is no mention of an actual Islamic scholar reviewing the documents. For a community that places high value on scholarly credibility, this is a meaningful gap. Visitors will reasonably wonder whether the Islamic compliance layer is a person or an algorithm.</w:t>
      </w:r>
    </w:p>
    <w:p>
      <w:pPr>
        <w:spacing w:after="80" w:before="80"/>
      </w:pPr>
      <w:r>
        <w:rPr>
          <w:rFonts w:ascii="Arial" w:cs="Arial" w:eastAsia="Arial" w:hAnsi="Arial"/>
          <w:color w:val="1A1A1A"/>
          <w:sz w:val="22"/>
          <w:szCs w:val="22"/>
        </w:rPr>
        <w:t xml:space="preserve">Recommendation: Name, credential, or at minimum describe the scholar involvement in the compliance layer. Even a line such as “Islamic inheritance structure reviewed by a qualified scholar” would address the concern.</w:t>
      </w:r>
    </w:p>
    <w:p>
      <w:pPr>
        <w:pStyle w:val="Heading2"/>
        <w:spacing w:after="100" w:before="220"/>
      </w:pPr>
      <w:r>
        <w:rPr>
          <w:rFonts w:ascii="Arial" w:cs="Arial" w:eastAsia="Arial" w:hAnsi="Arial"/>
          <w:b/>
          <w:bCs/>
          <w:color w:val="1A1A1A"/>
          <w:sz w:val="22"/>
          <w:szCs w:val="22"/>
        </w:rPr>
        <w:t xml:space="preserve">4. Pricing Is Entirely Absent</w:t>
      </w:r>
    </w:p>
    <w:p>
      <w:pPr>
        <w:spacing w:after="80" w:before="80"/>
      </w:pPr>
      <w:r>
        <w:rPr>
          <w:rFonts w:ascii="Arial" w:cs="Arial" w:eastAsia="Arial" w:hAnsi="Arial"/>
          <w:color w:val="1A1A1A"/>
          <w:sz w:val="22"/>
          <w:szCs w:val="22"/>
        </w:rPr>
        <w:t xml:space="preserve">There is no pricing, no starting-from figure, and no signal that pricing is transparent. For an emotionally significant purchase, complete price ambiguity increases drop-off. Many Muslim families delay estate planning partly because they assume it will be expensive.</w:t>
      </w:r>
    </w:p>
    <w:p>
      <w:pPr>
        <w:spacing w:after="80" w:before="80"/>
      </w:pPr>
      <w:r>
        <w:rPr>
          <w:rFonts w:ascii="Arial" w:cs="Arial" w:eastAsia="Arial" w:hAnsi="Arial"/>
          <w:color w:val="1A1A1A"/>
          <w:sz w:val="22"/>
          <w:szCs w:val="22"/>
        </w:rPr>
        <w:t xml:space="preserve">Recommendation: Add a “starting from” figure or at minimum a line such as “Transparent pricing — no hidden fees” to reduce the anxiety of the unknown.</w:t>
      </w:r>
    </w:p>
    <w:p>
      <w:pPr>
        <w:pStyle w:val="Heading2"/>
        <w:spacing w:after="100" w:before="220"/>
      </w:pPr>
      <w:r>
        <w:rPr>
          <w:rFonts w:ascii="Arial" w:cs="Arial" w:eastAsia="Arial" w:hAnsi="Arial"/>
          <w:b/>
          <w:bCs/>
          <w:color w:val="1A1A1A"/>
          <w:sz w:val="22"/>
          <w:szCs w:val="22"/>
        </w:rPr>
        <w:t xml:space="preserve">5. Unsubstantiated Statistics in the Hero</w:t>
      </w:r>
    </w:p>
    <w:p>
      <w:pPr>
        <w:spacing w:after="80" w:before="80"/>
      </w:pPr>
      <w:r>
        <w:rPr>
          <w:rFonts w:ascii="Arial" w:cs="Arial" w:eastAsia="Arial" w:hAnsi="Arial"/>
          <w:color w:val="1A1A1A"/>
          <w:sz w:val="22"/>
          <w:szCs w:val="22"/>
        </w:rPr>
        <w:t xml:space="preserve">The hero section displays “500+ Families Served” and “4.9/5 User Rating” without any attribution, source, or link to supporting evidence. For a trust-sensitive service, unsupported statistics can undermine rather than build confidence.</w:t>
      </w:r>
    </w:p>
    <w:p>
      <w:pPr>
        <w:spacing w:after="80" w:before="80"/>
      </w:pPr>
      <w:r>
        <w:rPr>
          <w:rFonts w:ascii="Arial" w:cs="Arial" w:eastAsia="Arial" w:hAnsi="Arial"/>
          <w:color w:val="1A1A1A"/>
          <w:sz w:val="22"/>
          <w:szCs w:val="22"/>
        </w:rPr>
        <w:t xml:space="preserve">Recommendation: Either substantiate these figures with a testimonial section or review platform reference, or replace them with verifiable claims such as “Reviewed by Ontario-licensed legal professionals”.</w:t>
      </w:r>
    </w:p>
    <w:p>
      <w:pPr>
        <w:pStyle w:val="Heading2"/>
        <w:spacing w:after="100" w:before="220"/>
      </w:pPr>
      <w:r>
        <w:rPr>
          <w:rFonts w:ascii="Arial" w:cs="Arial" w:eastAsia="Arial" w:hAnsi="Arial"/>
          <w:b/>
          <w:bCs/>
          <w:color w:val="1A1A1A"/>
          <w:sz w:val="22"/>
          <w:szCs w:val="22"/>
        </w:rPr>
        <w:t xml:space="preserve">6. “Ontario as the Clearest Legal Anchor” Is Overused</w:t>
      </w:r>
    </w:p>
    <w:p>
      <w:pPr>
        <w:spacing w:after="80" w:before="80"/>
      </w:pPr>
      <w:r>
        <w:rPr>
          <w:rFonts w:ascii="Arial" w:cs="Arial" w:eastAsia="Arial" w:hAnsi="Arial"/>
          <w:color w:val="1A1A1A"/>
          <w:sz w:val="22"/>
          <w:szCs w:val="22"/>
        </w:rPr>
        <w:t xml:space="preserve">This phrase or a close variant appears at least four times on the homepage. Once establishes the geographic scope. Twice provides emphasis. Four times begins to signal uncertainty about the platform’s own positioning.</w:t>
      </w:r>
    </w:p>
    <w:p>
      <w:pPr>
        <w:spacing w:after="80" w:before="80"/>
      </w:pPr>
      <w:r>
        <w:rPr>
          <w:rFonts w:ascii="Arial" w:cs="Arial" w:eastAsia="Arial" w:hAnsi="Arial"/>
          <w:color w:val="1A1A1A"/>
          <w:sz w:val="22"/>
          <w:szCs w:val="22"/>
        </w:rPr>
        <w:t xml:space="preserve">Recommendation: Consolidate into a single, clearly placed note about current provincial scope and planned expansion. Consider a dedicated “Where We Operate” aside in the footer or compliance section.</w:t>
      </w:r>
    </w:p>
    <w:p>
      <w:pPr>
        <w:pStyle w:val="Heading2"/>
        <w:spacing w:after="100" w:before="220"/>
      </w:pPr>
      <w:r>
        <w:rPr>
          <w:rFonts w:ascii="Arial" w:cs="Arial" w:eastAsia="Arial" w:hAnsi="Arial"/>
          <w:b/>
          <w:bCs/>
          <w:color w:val="1A1A1A"/>
          <w:sz w:val="22"/>
          <w:szCs w:val="22"/>
        </w:rPr>
        <w:t xml:space="preserve">7. No Testimonials or Community Proof</w:t>
      </w:r>
    </w:p>
    <w:p>
      <w:pPr>
        <w:spacing w:after="80" w:before="80"/>
      </w:pPr>
      <w:r>
        <w:rPr>
          <w:rFonts w:ascii="Arial" w:cs="Arial" w:eastAsia="Arial" w:hAnsi="Arial"/>
          <w:color w:val="1A1A1A"/>
          <w:sz w:val="22"/>
          <w:szCs w:val="22"/>
        </w:rPr>
        <w:t xml:space="preserve">The page promises community trust but provides no evidence of it beyond the unattributed statistics noted above. The Muslim community relies heavily on word-of-mouth, peer referrals, and community leader endorsements. The absence of any testimonials or named endorsements is a missed opportunity.</w:t>
      </w:r>
    </w:p>
    <w:p>
      <w:pPr>
        <w:spacing w:after="80" w:before="80"/>
      </w:pPr>
      <w:r>
        <w:rPr>
          <w:rFonts w:ascii="Arial" w:cs="Arial" w:eastAsia="Arial" w:hAnsi="Arial"/>
          <w:color w:val="1A1A1A"/>
          <w:sz w:val="22"/>
          <w:szCs w:val="22"/>
        </w:rPr>
        <w:t xml:space="preserve">Recommendation: Add one or two testimonials from real families (anonymized if preferred) or a brief endorsement from a masjid, imam, or community organization partner.</w:t>
      </w:r>
    </w:p>
    <w:p>
      <w:pPr>
        <w:pStyle w:val="Heading2"/>
        <w:spacing w:after="100" w:before="220"/>
      </w:pPr>
      <w:r>
        <w:rPr>
          <w:rFonts w:ascii="Arial" w:cs="Arial" w:eastAsia="Arial" w:hAnsi="Arial"/>
          <w:b/>
          <w:bCs/>
          <w:color w:val="1A1A1A"/>
          <w:sz w:val="22"/>
          <w:szCs w:val="22"/>
        </w:rPr>
        <w:t xml:space="preserve">8. CTA Hierarchy Is Unclear</w:t>
      </w:r>
    </w:p>
    <w:p>
      <w:pPr>
        <w:spacing w:after="80" w:before="80"/>
      </w:pPr>
      <w:r>
        <w:rPr>
          <w:rFonts w:ascii="Arial" w:cs="Arial" w:eastAsia="Arial" w:hAnsi="Arial"/>
          <w:color w:val="1A1A1A"/>
          <w:sz w:val="22"/>
          <w:szCs w:val="22"/>
        </w:rPr>
        <w:t xml:space="preserve">“Start Your Will” and “Book a Call” appear as equal-weight calls to action throughout the page. For a first-time visitor who is still evaluating the service, the higher-friction action (starting the will) should not be the primary CTA. There is no guidance on which to choose or when.</w:t>
      </w:r>
    </w:p>
    <w:p>
      <w:pPr>
        <w:spacing w:after="80" w:before="80"/>
      </w:pPr>
      <w:r>
        <w:rPr>
          <w:rFonts w:ascii="Arial" w:cs="Arial" w:eastAsia="Arial" w:hAnsi="Arial"/>
          <w:color w:val="1A1A1A"/>
          <w:sz w:val="22"/>
          <w:szCs w:val="22"/>
        </w:rPr>
        <w:t xml:space="preserve">Recommendation: Make “Book a Call” the primary CTA for cold visitors and position “Start Your Will” as the secondary option for those already decided. Add a brief line explaining when each is appropriate (e.g., “Not sure where to begin? Book a free call first.”).</w:t>
      </w:r>
    </w:p>
    <w:p>
      <w:pPr>
        <w:pStyle w:val="Heading2"/>
        <w:spacing w:after="100" w:before="220"/>
      </w:pPr>
      <w:r>
        <w:rPr>
          <w:rFonts w:ascii="Arial" w:cs="Arial" w:eastAsia="Arial" w:hAnsi="Arial"/>
          <w:b/>
          <w:bCs/>
          <w:color w:val="1A1A1A"/>
          <w:sz w:val="22"/>
          <w:szCs w:val="22"/>
        </w:rPr>
        <w:t xml:space="preserve">9. Brand Name Inconsistency</w:t>
      </w:r>
    </w:p>
    <w:p>
      <w:pPr>
        <w:spacing w:after="80" w:before="80"/>
      </w:pPr>
      <w:r>
        <w:rPr>
          <w:rFonts w:ascii="Arial" w:cs="Arial" w:eastAsia="Arial" w:hAnsi="Arial"/>
          <w:color w:val="1A1A1A"/>
          <w:sz w:val="22"/>
          <w:szCs w:val="22"/>
        </w:rPr>
        <w:t xml:space="preserve">The brand alternates between “Muslim Will” and “The Muslim Will” across the homepage and inner pages. Ahmed Gohar’s bio uses “The Muslim Will,” the footer email address is themuslimwill.com, and the main nav uses “Muslim Will”. The article “the” matters for search indexing and brand recognition.</w:t>
      </w:r>
    </w:p>
    <w:p>
      <w:pPr>
        <w:spacing w:after="80" w:before="80"/>
      </w:pPr>
      <w:r>
        <w:rPr>
          <w:rFonts w:ascii="Arial" w:cs="Arial" w:eastAsia="Arial" w:hAnsi="Arial"/>
          <w:color w:val="1A1A1A"/>
          <w:sz w:val="22"/>
          <w:szCs w:val="22"/>
        </w:rPr>
        <w:t xml:space="preserve">Recommendation: Standardize to one form across all touchpoints before launch.</w:t>
      </w:r>
    </w:p>
    <w:p>
      <w:pPr>
        <w:pStyle w:val="Heading2"/>
        <w:spacing w:after="100" w:before="220"/>
      </w:pPr>
      <w:r>
        <w:rPr>
          <w:rFonts w:ascii="Arial" w:cs="Arial" w:eastAsia="Arial" w:hAnsi="Arial"/>
          <w:b/>
          <w:bCs/>
          <w:color w:val="1A1A1A"/>
          <w:sz w:val="22"/>
          <w:szCs w:val="22"/>
        </w:rPr>
        <w:t xml:space="preserve">10. Inner Pages Are All Returning 404 Errors</w:t>
      </w:r>
    </w:p>
    <w:p>
      <w:pPr>
        <w:spacing w:after="80" w:before="80"/>
      </w:pPr>
      <w:r>
        <w:rPr>
          <w:rFonts w:ascii="Arial" w:cs="Arial" w:eastAsia="Arial" w:hAnsi="Arial"/>
          <w:color w:val="1A1A1A"/>
          <w:sz w:val="22"/>
          <w:szCs w:val="22"/>
        </w:rPr>
        <w:t xml:space="preserve">How It Works, FAQ, Charitable Legacy, For Charities, and the About subpages all return 404 errors. If this is a pre-launch draft, that is understandable. However, any real traffic arriving at these links will encounter broken pages, which immediately undermines trust — especially for a service asking families to begin a sensitive and personal process.</w:t>
      </w:r>
    </w:p>
    <w:p>
      <w:pPr>
        <w:spacing w:after="80" w:before="80"/>
      </w:pPr>
      <w:r>
        <w:rPr>
          <w:rFonts w:ascii="Arial" w:cs="Arial" w:eastAsia="Arial" w:hAnsi="Arial"/>
          <w:color w:val="1A1A1A"/>
          <w:sz w:val="22"/>
          <w:szCs w:val="22"/>
        </w:rPr>
        <w:t xml:space="preserve">Recommendation: Gate the broken navigation behind a “Coming Soon” state or disable the nav links until the pages are live.</w:t>
      </w:r>
    </w:p>
    <w:p>
      <w:pPr>
        <w:spacing w:after="0" w:before="160"/>
      </w:pPr>
      <w:r>
        <w:t xml:space="preserve"/>
      </w:r>
    </w:p>
    <w:p>
      <w:pPr>
        <w:pBdr>
          <w:bottom w:val="single" w:color="1B5E35" w:sz="6" w:space="1"/>
        </w:pBdr>
        <w:spacing w:after="200" w:before="200"/>
      </w:pPr>
      <w:r>
        <w:t xml:space="preserve"/>
      </w:r>
    </w:p>
    <w:p>
      <w:pPr>
        <w:pStyle w:val="Heading1"/>
        <w:spacing w:after="160" w:before="320"/>
      </w:pPr>
      <w:r>
        <w:rPr>
          <w:rFonts w:ascii="Arial" w:cs="Arial" w:eastAsia="Arial" w:hAnsi="Arial"/>
          <w:b/>
          <w:bCs/>
          <w:color w:val="1B5E35"/>
          <w:sz w:val="26"/>
          <w:szCs w:val="26"/>
        </w:rPr>
        <w:t xml:space="preserve">Priority Action List</w:t>
      </w:r>
    </w:p>
    <w:p>
      <w:pPr>
        <w:spacing w:after="80" w:before="80"/>
      </w:pPr>
      <w:r>
        <w:rPr>
          <w:rFonts w:ascii="Arial" w:cs="Arial" w:eastAsia="Arial" w:hAnsi="Arial"/>
          <w:color w:val="1A1A1A"/>
          <w:sz w:val="22"/>
          <w:szCs w:val="22"/>
        </w:rPr>
        <w:t xml:space="preserve">The following table summarizes all recommendations in priority order for team planning.</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CCCCCC" w:sz="1"/>
              <w:left w:val="single" w:color="CCCCCC" w:sz="1"/>
              <w:bottom w:val="single" w:color="CCCCCC" w:sz="1"/>
              <w:right w:val="single" w:color="CCCCCC" w:sz="1"/>
            </w:tcBorders>
            <w:shd w:fill="1B5E35"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Priority</w:t>
            </w:r>
          </w:p>
        </w:tc>
        <w:tc>
          <w:tcPr>
            <w:tcW w:type="dxa" w:w="7760"/>
            <w:tcBorders>
              <w:top w:val="single" w:color="CCCCCC" w:sz="1"/>
              <w:left w:val="single" w:color="CCCCCC" w:sz="1"/>
              <w:bottom w:val="single" w:color="CCCCCC" w:sz="1"/>
              <w:right w:val="single" w:color="CCCCCC" w:sz="1"/>
            </w:tcBorders>
            <w:shd w:fill="1B5E35" w:val="clear"/>
            <w:tcMar>
              <w:top w:type="dxa" w:w="100"/>
              <w:left w:type="dxa" w:w="120"/>
              <w:bottom w:type="dxa" w:w="100"/>
              <w:right w:type="dxa" w:w="120"/>
            </w:tcMar>
          </w:tcPr>
          <w:p>
            <w:r>
              <w:rPr>
                <w:rFonts w:ascii="Arial" w:cs="Arial" w:eastAsia="Arial" w:hAnsi="Arial"/>
                <w:b/>
                <w:bCs/>
                <w:color w:val="FFFFFF"/>
                <w:sz w:val="20"/>
                <w:szCs w:val="20"/>
              </w:rPr>
              <w:t xml:space="preserve">Recommended Action</w:t>
            </w:r>
          </w:p>
        </w:tc>
      </w:tr>
      <w:tr>
        <w:tc>
          <w:tcPr>
            <w:tcW w:type="dxa" w:w="1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High</w:t>
            </w:r>
          </w:p>
        </w:tc>
        <w:tc>
          <w:tcPr>
            <w:tcW w:type="dxa" w:w="77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color w:val="1A1A1A"/>
                <w:sz w:val="20"/>
                <w:szCs w:val="20"/>
              </w:rPr>
              <w:t xml:space="preserve">Add a “What’s Included” section naming all four documents in the package</w:t>
            </w:r>
          </w:p>
        </w:tc>
      </w:tr>
      <w:tr>
        <w:tc>
          <w:tcPr>
            <w:tcW w:type="dxa" w:w="1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High</w:t>
            </w:r>
          </w:p>
        </w:tc>
        <w:tc>
          <w:tcPr>
            <w:tcW w:type="dxa" w:w="77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color w:val="1A1A1A"/>
                <w:sz w:val="20"/>
                <w:szCs w:val="20"/>
              </w:rPr>
              <w:t xml:space="preserve">Surface the four-meeting attestation workflow in the How It Works section</w:t>
            </w:r>
          </w:p>
        </w:tc>
      </w:tr>
      <w:tr>
        <w:tc>
          <w:tcPr>
            <w:tcW w:type="dxa" w:w="1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High</w:t>
            </w:r>
          </w:p>
        </w:tc>
        <w:tc>
          <w:tcPr>
            <w:tcW w:type="dxa" w:w="77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color w:val="1A1A1A"/>
                <w:sz w:val="20"/>
                <w:szCs w:val="20"/>
              </w:rPr>
              <w:t xml:space="preserve">Add scholar name, credential, or description to the Islamic compliance layer</w:t>
            </w:r>
          </w:p>
        </w:tc>
      </w:tr>
      <w:tr>
        <w:tc>
          <w:tcPr>
            <w:tcW w:type="dxa" w:w="1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High</w:t>
            </w:r>
          </w:p>
        </w:tc>
        <w:tc>
          <w:tcPr>
            <w:tcW w:type="dxa" w:w="77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color w:val="1A1A1A"/>
                <w:sz w:val="20"/>
                <w:szCs w:val="20"/>
              </w:rPr>
              <w:t xml:space="preserve">Fix or gate all 404 inner pages before any real traffic arrives</w:t>
            </w:r>
          </w:p>
        </w:tc>
      </w:tr>
      <w:tr>
        <w:tc>
          <w:tcPr>
            <w:tcW w:type="dxa" w:w="1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Medium</w:t>
            </w:r>
          </w:p>
        </w:tc>
        <w:tc>
          <w:tcPr>
            <w:tcW w:type="dxa" w:w="7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Add pricing or a transparent pricing signal to reduce drop-off</w:t>
            </w:r>
          </w:p>
        </w:tc>
      </w:tr>
      <w:tr>
        <w:tc>
          <w:tcPr>
            <w:tcW w:type="dxa" w:w="1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Medium</w:t>
            </w:r>
          </w:p>
        </w:tc>
        <w:tc>
          <w:tcPr>
            <w:tcW w:type="dxa" w:w="7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Substantiate hero statistics or replace with verifiable claims</w:t>
            </w:r>
          </w:p>
        </w:tc>
      </w:tr>
      <w:tr>
        <w:tc>
          <w:tcPr>
            <w:tcW w:type="dxa" w:w="1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Medium</w:t>
            </w:r>
          </w:p>
        </w:tc>
        <w:tc>
          <w:tcPr>
            <w:tcW w:type="dxa" w:w="7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Add one to two family testimonials or a community partner endorsement</w:t>
            </w:r>
          </w:p>
        </w:tc>
      </w:tr>
      <w:tr>
        <w:tc>
          <w:tcPr>
            <w:tcW w:type="dxa" w:w="1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Medium</w:t>
            </w:r>
          </w:p>
        </w:tc>
        <w:tc>
          <w:tcPr>
            <w:tcW w:type="dxa" w:w="7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Consolidate the Ontario legal anchor language to a single instance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Low</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Standardize “Muslim Will” vs. “The Muslim Will” across all touchpoints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Low</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Clarify CTA hierarchy — surface Book a Call as the primary for cold visitors</w:t>
            </w:r>
          </w:p>
        </w:tc>
      </w:tr>
    </w:tbl>
    <w:p>
      <w:pPr>
        <w:spacing w:after="0" w:before="200"/>
      </w:pPr>
      <w:r>
        <w:t xml:space="preserve"/>
      </w:r>
    </w:p>
    <w:p>
      <w:pPr>
        <w:pBdr>
          <w:bottom w:val="single" w:color="1B5E35" w:sz="6" w:space="1"/>
        </w:pBdr>
        <w:spacing w:after="200" w:before="200"/>
      </w:pPr>
      <w:r>
        <w:t xml:space="preserve"/>
      </w:r>
    </w:p>
    <w:p>
      <w:pPr>
        <w:pStyle w:val="Heading1"/>
        <w:spacing w:after="160" w:before="320"/>
      </w:pPr>
      <w:r>
        <w:rPr>
          <w:rFonts w:ascii="Arial" w:cs="Arial" w:eastAsia="Arial" w:hAnsi="Arial"/>
          <w:b/>
          <w:bCs/>
          <w:color w:val="1B5E35"/>
          <w:sz w:val="26"/>
          <w:szCs w:val="26"/>
        </w:rPr>
        <w:t xml:space="preserve">Closing Note</w:t>
      </w:r>
    </w:p>
    <w:p>
      <w:pPr>
        <w:spacing w:after="80" w:before="80"/>
      </w:pPr>
      <w:r>
        <w:rPr>
          <w:rFonts w:ascii="Arial" w:cs="Arial" w:eastAsia="Arial" w:hAnsi="Arial"/>
          <w:color w:val="1A1A1A"/>
          <w:sz w:val="22"/>
          <w:szCs w:val="22"/>
        </w:rPr>
        <w:t xml:space="preserve">The homepage is a strong foundation. The tone, legal carefulness, and Islamic framing are well-calibrated for the audience. The main gaps are around specificity — what does a family receive, from whom, through what process, and for how much. Closing those gaps is what moves a visitor from interested to enrolled.</w:t>
      </w:r>
    </w:p>
    <w:p>
      <w:pPr>
        <w:spacing w:after="0" w:before="80"/>
      </w:pPr>
      <w:r>
        <w:t xml:space="preserve"/>
      </w:r>
    </w:p>
    <w:p>
      <w:pPr>
        <w:spacing w:after="80" w:before="80"/>
      </w:pPr>
      <w:r>
        <w:rPr>
          <w:rFonts w:ascii="Arial" w:cs="Arial" w:eastAsia="Arial" w:hAnsi="Arial"/>
          <w:color w:val="555555"/>
          <w:sz w:val="22"/>
          <w:szCs w:val="22"/>
        </w:rPr>
        <w:t xml:space="preserve">This report was prepared based on a review of the homepage draft at muslim-will-drab.vercel.app as of April 2026, cross-referenced against Muslim Will’s known operational model and client workflow.</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120"/>
    </w:pPr>
    <w:r>
      <w:rPr>
        <w:rFonts w:ascii="Arial" w:cs="Arial" w:eastAsia="Arial" w:hAnsi="Arial"/>
        <w:color w:val="555555"/>
        <w:sz w:val="18"/>
        <w:szCs w:val="18"/>
      </w:rPr>
      <w:t xml:space="preserve">Prepared for Muslim Will Marketing Team  |  April 2026  |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35" w:sz="4" w:space="1"/>
      </w:pBdr>
      <w:spacing w:after="0"/>
    </w:pPr>
    <w:r>
      <w:rPr>
        <w:rFonts w:ascii="Arial" w:cs="Arial" w:eastAsia="Arial" w:hAnsi="Arial"/>
        <w:b/>
        <w:bCs/>
        <w:color w:val="1B5E35"/>
        <w:sz w:val="20"/>
        <w:szCs w:val="20"/>
      </w:rPr>
      <w:t xml:space="preserve">Muslim Will</w:t>
    </w:r>
    <w:r>
      <w:rPr>
        <w:rFonts w:ascii="Arial" w:cs="Arial" w:eastAsia="Arial" w:hAnsi="Arial"/>
        <w:color w:val="555555"/>
        <w:sz w:val="20"/>
        <w:szCs w:val="20"/>
      </w:rPr>
      <w:t xml:space="preserve">  |  Website Review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5E35"/>
      <w:sz w:val="26"/>
      <w:szCs w:val="26"/>
    </w:rPr>
  </w:style>
  <w:style w:type="paragraph" w:styleId="Heading2">
    <w:name w:val="Heading 2"/>
    <w:basedOn w:val="Normal"/>
    <w:next w:val="Normal"/>
    <w:qFormat/>
    <w:pPr>
      <w:spacing w:after="100" w:before="220"/>
      <w:outlineLvl w:val="1"/>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2026-04-23T15:24:06.947Z</dcterms:created>
  <dcterms:modified xsi:type="dcterms:W3CDTF">2026-04-23T15:24:06.949Z</dcterms:modified>
</cp:coreProperties>
</file>

<file path=docProps/custom.xml><?xml version="1.0" encoding="utf-8"?>
<Properties xmlns="http://schemas.openxmlformats.org/officeDocument/2006/custom-properties" xmlns:vt="http://schemas.openxmlformats.org/officeDocument/2006/docPropsVTypes"/>
</file>