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rsidP="732C63BF" w14:paraId="7D414315" wp14:textId="77777777">
      <w:pPr>
        <w:spacing w:before="640" w:after="280"/>
        <w:rPr>
          <w:rFonts w:ascii="Arial" w:hAnsi="Arial" w:eastAsia="Arial" w:cs="Arial"/>
          <w:b w:val="1"/>
          <w:bCs w:val="1"/>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POWER BI PORTFOLIO CASE STUDY</w:t>
      </w:r>
    </w:p>
    <w:p w:rsidR="2BA1CD1A" w:rsidP="732C63BF" w:rsidRDefault="2BA1CD1A" w14:paraId="1540B5F3" w14:textId="760773E8">
      <w:pPr>
        <w:spacing w:after="360"/>
        <w:rPr>
          <w:rFonts w:ascii="Arial" w:hAnsi="Arial" w:eastAsia="Arial" w:cs="Arial"/>
          <w:color w:val="000000" w:themeColor="text1" w:themeTint="FF" w:themeShade="FF"/>
          <w:sz w:val="20"/>
          <w:szCs w:val="20"/>
        </w:rPr>
      </w:pPr>
      <w:r w:rsidRPr="732C63BF" w:rsidR="2BA1CD1A">
        <w:rPr>
          <w:rFonts w:ascii="Arial" w:hAnsi="Arial" w:eastAsia="Arial" w:cs="Arial"/>
          <w:b w:val="1"/>
          <w:bCs w:val="1"/>
          <w:color w:val="000000" w:themeColor="text1" w:themeTint="FF" w:themeShade="FF"/>
          <w:sz w:val="21"/>
          <w:szCs w:val="21"/>
        </w:rPr>
        <w:t xml:space="preserve">Ahmed </w:t>
      </w:r>
      <w:r w:rsidRPr="732C63BF" w:rsidR="2BA1CD1A">
        <w:rPr>
          <w:rFonts w:ascii="Arial" w:hAnsi="Arial" w:eastAsia="Arial" w:cs="Arial"/>
          <w:b w:val="1"/>
          <w:bCs w:val="1"/>
          <w:color w:val="000000" w:themeColor="text1" w:themeTint="FF" w:themeShade="FF"/>
          <w:sz w:val="21"/>
          <w:szCs w:val="21"/>
        </w:rPr>
        <w:t>Aslam</w:t>
      </w:r>
      <w:r w:rsidRPr="732C63BF" w:rsidR="2BA1CD1A">
        <w:rPr>
          <w:rFonts w:ascii="Arial" w:hAnsi="Arial" w:eastAsia="Arial" w:cs="Arial"/>
          <w:color w:val="000000" w:themeColor="text1" w:themeTint="FF" w:themeShade="FF"/>
          <w:sz w:val="20"/>
          <w:szCs w:val="20"/>
        </w:rPr>
        <w:t xml:space="preserve">  |</w:t>
      </w:r>
      <w:r w:rsidRPr="732C63BF" w:rsidR="2BA1CD1A">
        <w:rPr>
          <w:rFonts w:ascii="Arial" w:hAnsi="Arial" w:eastAsia="Arial" w:cs="Arial"/>
          <w:color w:val="000000" w:themeColor="text1" w:themeTint="FF" w:themeShade="FF"/>
          <w:sz w:val="20"/>
          <w:szCs w:val="20"/>
        </w:rPr>
        <w:t xml:space="preserve">  Business Intelligence </w:t>
      </w:r>
      <w:r w:rsidRPr="732C63BF" w:rsidR="2BA1CD1A">
        <w:rPr>
          <w:rFonts w:ascii="Arial" w:hAnsi="Arial" w:eastAsia="Arial" w:cs="Arial"/>
          <w:color w:val="000000" w:themeColor="text1" w:themeTint="FF" w:themeShade="FF"/>
          <w:sz w:val="20"/>
          <w:szCs w:val="20"/>
        </w:rPr>
        <w:t>Portfolio  |</w:t>
      </w:r>
      <w:r w:rsidRPr="732C63BF" w:rsidR="2BA1CD1A">
        <w:rPr>
          <w:rFonts w:ascii="Arial" w:hAnsi="Arial" w:eastAsia="Arial" w:cs="Arial"/>
          <w:color w:val="000000" w:themeColor="text1" w:themeTint="FF" w:themeShade="FF"/>
          <w:sz w:val="20"/>
          <w:szCs w:val="20"/>
        </w:rPr>
        <w:t xml:space="preserve">  August 2026</w:t>
      </w:r>
    </w:p>
    <w:p w:rsidR="09436359" w:rsidP="732C63BF" w:rsidRDefault="09436359" w14:paraId="5959F352" w14:textId="189A0ABC">
      <w:pPr>
        <w:pStyle w:val="SmallNote"/>
        <w:jc w:val="left"/>
        <w:rPr>
          <w:rFonts w:ascii="Arial" w:hAnsi="Arial" w:eastAsia="Arial" w:cs="Arial"/>
          <w:i w:val="1"/>
          <w:iCs w:val="1"/>
          <w:color w:val="000000" w:themeColor="text1" w:themeTint="FF" w:themeShade="FF"/>
          <w:sz w:val="17"/>
          <w:szCs w:val="17"/>
        </w:rPr>
      </w:pPr>
      <w:r w:rsidRPr="732C63BF" w:rsidR="09436359">
        <w:rPr>
          <w:rFonts w:ascii="Arial" w:hAnsi="Arial" w:eastAsia="Arial" w:cs="Arial"/>
          <w:i w:val="1"/>
          <w:iCs w:val="1"/>
          <w:color w:val="000000" w:themeColor="text1" w:themeTint="FF" w:themeShade="FF"/>
          <w:sz w:val="17"/>
          <w:szCs w:val="17"/>
        </w:rPr>
        <w:t>Real public data | Illustrative business scenario | Portfolio project</w:t>
      </w:r>
    </w:p>
    <w:p xmlns:wp14="http://schemas.microsoft.com/office/word/2010/wordml" w:rsidP="732C63BF" w14:paraId="5B2399DB" wp14:textId="77777777">
      <w:pPr>
        <w:spacing w:after="140"/>
        <w:rPr>
          <w:rFonts w:ascii="Arial" w:hAnsi="Arial" w:eastAsia="Arial" w:cs="Arial"/>
          <w:b w:val="1"/>
          <w:bCs w:val="1"/>
          <w:color w:val="000000" w:themeColor="text1" w:themeTint="FF" w:themeShade="FF"/>
          <w:sz w:val="56"/>
          <w:szCs w:val="56"/>
        </w:rPr>
      </w:pPr>
      <w:r w:rsidRPr="732C63BF" w:rsidR="732C63BF">
        <w:rPr>
          <w:rFonts w:ascii="Arial" w:hAnsi="Arial" w:eastAsia="Arial" w:cs="Arial"/>
          <w:b w:val="1"/>
          <w:bCs w:val="1"/>
          <w:color w:val="000000" w:themeColor="text1" w:themeTint="FF" w:themeShade="FF"/>
          <w:sz w:val="56"/>
          <w:szCs w:val="56"/>
        </w:rPr>
        <w:t>GCC Port Efficiency &amp;</w:t>
      </w:r>
      <w:r>
        <w:br/>
      </w:r>
      <w:r w:rsidRPr="732C63BF" w:rsidR="732C63BF">
        <w:rPr>
          <w:rFonts w:ascii="Arial" w:hAnsi="Arial" w:eastAsia="Arial" w:cs="Arial"/>
          <w:b w:val="1"/>
          <w:bCs w:val="1"/>
          <w:color w:val="000000" w:themeColor="text1" w:themeTint="FF" w:themeShade="FF"/>
          <w:sz w:val="56"/>
          <w:szCs w:val="56"/>
        </w:rPr>
        <w:t>Diversion Readiness</w:t>
      </w:r>
    </w:p>
    <w:p xmlns:wp14="http://schemas.microsoft.com/office/word/2010/wordml" w:rsidP="732C63BF" w14:paraId="48057143" wp14:textId="38ACA540">
      <w:pPr>
        <w:spacing w:after="320"/>
        <w:pBdr>
          <w:bottom w:val="single" w:color="267CB5" w:sz="12" w:space="8"/>
        </w:pBdr>
        <w:rPr>
          <w:rFonts w:ascii="Arial" w:hAnsi="Arial" w:eastAsia="Arial" w:cs="Arial"/>
          <w:color w:val="000000" w:themeColor="text1" w:themeTint="FF" w:themeShade="FF"/>
          <w:sz w:val="26"/>
          <w:szCs w:val="26"/>
        </w:rPr>
      </w:pPr>
      <w:r w:rsidRPr="732C63BF" w:rsidR="732C63BF">
        <w:rPr>
          <w:rFonts w:ascii="Arial" w:hAnsi="Arial" w:eastAsia="Arial" w:cs="Arial"/>
          <w:color w:val="000000" w:themeColor="text1" w:themeTint="FF" w:themeShade="FF"/>
          <w:sz w:val="26"/>
          <w:szCs w:val="26"/>
        </w:rPr>
        <w:t>A decision</w:t>
      </w:r>
      <w:r w:rsidRPr="732C63BF" w:rsidR="4EC5C5CC">
        <w:rPr>
          <w:rFonts w:ascii="Arial" w:hAnsi="Arial" w:eastAsia="Arial" w:cs="Arial"/>
          <w:color w:val="000000" w:themeColor="text1" w:themeTint="FF" w:themeShade="FF"/>
          <w:sz w:val="26"/>
          <w:szCs w:val="26"/>
        </w:rPr>
        <w:t xml:space="preserve"> </w:t>
      </w:r>
      <w:r w:rsidRPr="732C63BF" w:rsidR="732C63BF">
        <w:rPr>
          <w:rFonts w:ascii="Arial" w:hAnsi="Arial" w:eastAsia="Arial" w:cs="Arial"/>
          <w:color w:val="000000" w:themeColor="text1" w:themeTint="FF" w:themeShade="FF"/>
          <w:sz w:val="26"/>
          <w:szCs w:val="26"/>
        </w:rPr>
        <w:t>support dashboard built from World Bank CPPI data, 2020-2025</w:t>
      </w:r>
    </w:p>
    <w:p xmlns:wp14="http://schemas.microsoft.com/office/word/2010/wordml" w:rsidP="732C63BF" w14:paraId="2664F4B3" wp14:textId="77777777">
      <w:pPr>
        <w:pStyle w:val="Heading1"/>
        <w:keepNext w:val="1"/>
        <w:rPr>
          <w:rFonts w:ascii="Arial" w:hAnsi="Arial" w:eastAsia="Arial" w:cs="Arial"/>
          <w:color w:val="000000" w:themeColor="text1" w:themeTint="FF" w:themeShade="FF"/>
        </w:rPr>
      </w:pPr>
      <w:r w:rsidRPr="732C63BF" w:rsidR="732C63BF">
        <w:rPr>
          <w:rFonts w:ascii="Arial" w:hAnsi="Arial" w:eastAsia="Arial" w:cs="Arial"/>
          <w:color w:val="000000" w:themeColor="text1" w:themeTint="FF" w:themeShade="FF"/>
        </w:rPr>
        <w:t>Executive Summary</w:t>
      </w:r>
    </w:p>
    <w:p xmlns:wp14="http://schemas.microsoft.com/office/word/2010/wordml" w:rsidP="732C63BF" w14:paraId="1B674C40"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dashboard consolidates six years of CPPI data into a clear view of GCC port performance, deterioration risk and regional peer positioning.</w:t>
      </w:r>
    </w:p>
    <w:p xmlns:wp14="http://schemas.microsoft.com/office/word/2010/wordml" w:rsidP="732C63BF" w14:paraId="2C710C44"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2025 GCC average recovered to 55.98 from 47.38 in 2024, but performance remained uneven: Salalah led the region at 135.87 while two ports deteriorated year on year.</w:t>
      </w:r>
    </w:p>
    <w:p xmlns:wp14="http://schemas.microsoft.com/office/word/2010/wordml" w:rsidP="732C63BF" w14:paraId="22C6F720" wp14:textId="6906D4C5">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For a Jebel Ali disruption scenario, the model shortlisted 11 data</w:t>
      </w:r>
      <w:r w:rsidRPr="732C63BF" w:rsidR="5FA33168">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eligible alternatives and ranked Salalah first with a readiness score of 89.0. The score is a performance screen, not a substitute for operational feasibility assessment.</w:t>
      </w:r>
    </w:p>
    <w:p xmlns:wp14="http://schemas.microsoft.com/office/word/2010/wordml" w:rsidP="732C63BF" w14:paraId="311A5264" wp14:textId="77777777">
      <w:pPr>
        <w:pStyle w:val="Heading2"/>
        <w:keepNext w:val="1"/>
        <w:rPr>
          <w:rFonts w:ascii="Arial" w:hAnsi="Arial" w:eastAsia="Arial" w:cs="Arial"/>
          <w:color w:val="000000" w:themeColor="text1" w:themeTint="FF" w:themeShade="FF"/>
        </w:rPr>
      </w:pPr>
      <w:r w:rsidRPr="732C63BF" w:rsidR="732C63BF">
        <w:rPr>
          <w:rFonts w:ascii="Arial" w:hAnsi="Arial" w:eastAsia="Arial" w:cs="Arial"/>
          <w:color w:val="000000" w:themeColor="text1" w:themeTint="FF" w:themeShade="FF"/>
        </w:rPr>
        <w:t>Headline metrics</w:t>
      </w:r>
    </w:p>
    <w:p xmlns:wp14="http://schemas.microsoft.com/office/word/2010/wordml" w:rsidP="732C63BF" w14:paraId="47C49ED9" wp14:textId="77777777">
      <w:pPr>
        <w:spacing w:after="40"/>
        <w:rPr>
          <w:rFonts w:ascii="Arial" w:hAnsi="Arial" w:eastAsia="Arial" w:cs="Arial"/>
          <w:color w:val="000000" w:themeColor="text1" w:themeTint="FF" w:themeShade="FF"/>
          <w:sz w:val="20"/>
          <w:szCs w:val="20"/>
        </w:rPr>
      </w:pPr>
      <w:r w:rsidRPr="732C63BF" w:rsidR="732C63BF">
        <w:rPr>
          <w:rFonts w:ascii="Arial" w:hAnsi="Arial" w:eastAsia="Arial" w:cs="Arial"/>
          <w:b w:val="1"/>
          <w:bCs w:val="1"/>
          <w:color w:val="000000" w:themeColor="text1" w:themeTint="FF" w:themeShade="FF"/>
          <w:sz w:val="20"/>
          <w:szCs w:val="20"/>
        </w:rPr>
        <w:t xml:space="preserve">2025 GCC average CPPI: </w:t>
      </w:r>
      <w:r w:rsidRPr="732C63BF" w:rsidR="732C63BF">
        <w:rPr>
          <w:rFonts w:ascii="Arial" w:hAnsi="Arial" w:eastAsia="Arial" w:cs="Arial"/>
          <w:color w:val="000000" w:themeColor="text1" w:themeTint="FF" w:themeShade="FF"/>
          <w:sz w:val="20"/>
          <w:szCs w:val="20"/>
        </w:rPr>
        <w:t>55.98</w:t>
      </w:r>
    </w:p>
    <w:p xmlns:wp14="http://schemas.microsoft.com/office/word/2010/wordml" w:rsidP="732C63BF" w14:paraId="19B572C2" wp14:textId="77777777">
      <w:pPr>
        <w:spacing w:after="40"/>
        <w:rPr>
          <w:rFonts w:ascii="Arial" w:hAnsi="Arial" w:eastAsia="Arial" w:cs="Arial"/>
          <w:color w:val="000000" w:themeColor="text1" w:themeTint="FF" w:themeShade="FF"/>
          <w:sz w:val="20"/>
          <w:szCs w:val="20"/>
        </w:rPr>
      </w:pPr>
      <w:r w:rsidRPr="732C63BF" w:rsidR="732C63BF">
        <w:rPr>
          <w:rFonts w:ascii="Arial" w:hAnsi="Arial" w:eastAsia="Arial" w:cs="Arial"/>
          <w:b w:val="1"/>
          <w:bCs w:val="1"/>
          <w:color w:val="000000" w:themeColor="text1" w:themeTint="FF" w:themeShade="FF"/>
          <w:sz w:val="20"/>
          <w:szCs w:val="20"/>
        </w:rPr>
        <w:t xml:space="preserve">Top GCC score - Salalah: </w:t>
      </w:r>
      <w:r w:rsidRPr="732C63BF" w:rsidR="732C63BF">
        <w:rPr>
          <w:rFonts w:ascii="Arial" w:hAnsi="Arial" w:eastAsia="Arial" w:cs="Arial"/>
          <w:color w:val="000000" w:themeColor="text1" w:themeTint="FF" w:themeShade="FF"/>
          <w:sz w:val="20"/>
          <w:szCs w:val="20"/>
        </w:rPr>
        <w:t>135.87</w:t>
      </w:r>
    </w:p>
    <w:p xmlns:wp14="http://schemas.microsoft.com/office/word/2010/wordml" w:rsidP="732C63BF" w14:paraId="38BE216A" wp14:textId="77777777">
      <w:pPr>
        <w:spacing w:after="40"/>
        <w:rPr>
          <w:rFonts w:ascii="Arial" w:hAnsi="Arial" w:eastAsia="Arial" w:cs="Arial"/>
          <w:color w:val="000000" w:themeColor="text1" w:themeTint="FF" w:themeShade="FF"/>
          <w:sz w:val="20"/>
          <w:szCs w:val="20"/>
        </w:rPr>
      </w:pPr>
      <w:r w:rsidRPr="732C63BF" w:rsidR="732C63BF">
        <w:rPr>
          <w:rFonts w:ascii="Arial" w:hAnsi="Arial" w:eastAsia="Arial" w:cs="Arial"/>
          <w:b w:val="1"/>
          <w:bCs w:val="1"/>
          <w:color w:val="000000" w:themeColor="text1" w:themeTint="FF" w:themeShade="FF"/>
          <w:sz w:val="20"/>
          <w:szCs w:val="20"/>
        </w:rPr>
        <w:t xml:space="preserve">Ports deteriorating YoY: </w:t>
      </w:r>
      <w:r w:rsidRPr="732C63BF" w:rsidR="732C63BF">
        <w:rPr>
          <w:rFonts w:ascii="Arial" w:hAnsi="Arial" w:eastAsia="Arial" w:cs="Arial"/>
          <w:color w:val="000000" w:themeColor="text1" w:themeTint="FF" w:themeShade="FF"/>
          <w:sz w:val="20"/>
          <w:szCs w:val="20"/>
        </w:rPr>
        <w:t>2</w:t>
      </w:r>
    </w:p>
    <w:p xmlns:wp14="http://schemas.microsoft.com/office/word/2010/wordml" w:rsidP="732C63BF" w14:paraId="07BAD71A" wp14:textId="77777777">
      <w:pPr>
        <w:spacing w:after="40"/>
        <w:rPr>
          <w:rFonts w:ascii="Arial" w:hAnsi="Arial" w:eastAsia="Arial" w:cs="Arial"/>
          <w:color w:val="000000" w:themeColor="text1" w:themeTint="FF" w:themeShade="FF"/>
          <w:sz w:val="20"/>
          <w:szCs w:val="20"/>
        </w:rPr>
      </w:pPr>
      <w:r w:rsidRPr="732C63BF" w:rsidR="732C63BF">
        <w:rPr>
          <w:rFonts w:ascii="Arial" w:hAnsi="Arial" w:eastAsia="Arial" w:cs="Arial"/>
          <w:b w:val="1"/>
          <w:bCs w:val="1"/>
          <w:color w:val="000000" w:themeColor="text1" w:themeTint="FF" w:themeShade="FF"/>
          <w:sz w:val="20"/>
          <w:szCs w:val="20"/>
        </w:rPr>
        <w:t xml:space="preserve">Eligible alternatives: </w:t>
      </w:r>
      <w:r w:rsidRPr="732C63BF" w:rsidR="732C63BF">
        <w:rPr>
          <w:rFonts w:ascii="Arial" w:hAnsi="Arial" w:eastAsia="Arial" w:cs="Arial"/>
          <w:color w:val="000000" w:themeColor="text1" w:themeTint="FF" w:themeShade="FF"/>
          <w:sz w:val="20"/>
          <w:szCs w:val="20"/>
        </w:rPr>
        <w:t>11</w:t>
      </w:r>
    </w:p>
    <w:p xmlns:wp14="http://schemas.microsoft.com/office/word/2010/wordml" w:rsidP="732C63BF" w14:paraId="672A6659"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0B7B9BC1" wp14:textId="77777777">
      <w:pPr>
        <w:spacing w:before="0" w:after="100"/>
        <w:rPr>
          <w:rFonts w:ascii="Arial" w:hAnsi="Arial" w:eastAsia="Arial" w:cs="Arial"/>
          <w:b w:val="1"/>
          <w:bCs w:val="1"/>
          <w:color w:val="000000" w:themeColor="text1" w:themeTint="FF" w:themeShade="FF"/>
          <w:sz w:val="17"/>
          <w:szCs w:val="17"/>
        </w:rPr>
      </w:pPr>
      <w:r w:rsidRPr="732C63BF" w:rsidR="732C63BF">
        <w:rPr>
          <w:rFonts w:ascii="Arial" w:hAnsi="Arial" w:eastAsia="Arial" w:cs="Arial"/>
          <w:b w:val="1"/>
          <w:bCs w:val="1"/>
          <w:color w:val="000000" w:themeColor="text1" w:themeTint="FF" w:themeShade="FF"/>
          <w:sz w:val="24"/>
          <w:szCs w:val="24"/>
          <w:lang w:eastAsia="en-US" w:bidi="ar-SA"/>
        </w:rPr>
        <w:t>BUSINESS CONTEXT</w:t>
      </w:r>
    </w:p>
    <w:p xmlns:wp14="http://schemas.microsoft.com/office/word/2010/wordml" w:rsidP="732C63BF" w14:paraId="1E3D4BDF" wp14:textId="77777777">
      <w:pPr>
        <w:pStyle w:val="Heading1"/>
        <w:keepNext w:val="1"/>
        <w:suppressLineNumbers w:val="0"/>
        <w:bidi w:val="0"/>
        <w:spacing w:before="240" w:beforeAutospacing="off" w:after="120" w:afterAutospacing="off" w:line="264" w:lineRule="auto"/>
        <w:ind w:left="0" w:right="0"/>
        <w:jc w:val="left"/>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region recovered in 2025, but the headline average masks material variation</w:t>
      </w:r>
    </w:p>
    <w:p xmlns:wp14="http://schemas.microsoft.com/office/word/2010/wordml" w:rsidP="732C63BF" w14:paraId="78F9CBC5" wp14:textId="29A9080D">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scenario assumes a regional importer needs an early</w:t>
      </w:r>
      <w:r w:rsidRPr="732C63BF" w:rsidR="64A86C1D">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warning view of port efficiency and a repeatable way to screen alternatives when a primary gateway is disrupted. The report was designed to support three decisions: where performance is weakening, how a selected port compares with relevant peers, and which alternatives </w:t>
      </w:r>
      <w:r w:rsidRPr="732C63BF" w:rsidR="732C63BF">
        <w:rPr>
          <w:rFonts w:ascii="Arial" w:hAnsi="Arial" w:eastAsia="Arial" w:cs="Arial"/>
          <w:color w:val="000000" w:themeColor="text1" w:themeTint="FF" w:themeShade="FF"/>
          <w:sz w:val="21"/>
          <w:szCs w:val="21"/>
        </w:rPr>
        <w:t>warrant</w:t>
      </w:r>
      <w:r w:rsidRPr="732C63BF" w:rsidR="732C63BF">
        <w:rPr>
          <w:rFonts w:ascii="Arial" w:hAnsi="Arial" w:eastAsia="Arial" w:cs="Arial"/>
          <w:color w:val="000000" w:themeColor="text1" w:themeTint="FF" w:themeShade="FF"/>
          <w:sz w:val="21"/>
          <w:szCs w:val="21"/>
        </w:rPr>
        <w:t xml:space="preserve"> operational review.</w:t>
      </w:r>
    </w:p>
    <w:p xmlns:wp14="http://schemas.microsoft.com/office/word/2010/wordml" w:rsidP="732C63BF" w14:paraId="6A8FDCDA" wp14:textId="4064EFFB">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 xml:space="preserve">The 2025 GCC average rose by 8.60 points from the 2024 </w:t>
      </w:r>
      <w:r w:rsidRPr="732C63BF" w:rsidR="0325F749">
        <w:rPr>
          <w:rFonts w:ascii="Arial" w:hAnsi="Arial" w:eastAsia="Arial" w:cs="Arial"/>
          <w:b w:val="1"/>
          <w:bCs w:val="1"/>
          <w:color w:val="000000" w:themeColor="text1" w:themeTint="FF" w:themeShade="FF"/>
          <w:sz w:val="21"/>
          <w:szCs w:val="21"/>
        </w:rPr>
        <w:t>low but</w:t>
      </w:r>
      <w:r w:rsidRPr="732C63BF" w:rsidR="732C63BF">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remained</w:t>
      </w:r>
      <w:r w:rsidRPr="732C63BF" w:rsidR="732C63BF">
        <w:rPr>
          <w:rFonts w:ascii="Arial" w:hAnsi="Arial" w:eastAsia="Arial" w:cs="Arial"/>
          <w:color w:val="000000" w:themeColor="text1" w:themeTint="FF" w:themeShade="FF"/>
          <w:sz w:val="21"/>
          <w:szCs w:val="21"/>
        </w:rPr>
        <w:t xml:space="preserve"> 31.61 points below the 2020 average. Salalah, Hamad Port and Khalifa Bin Salman Port led the 2025 ranking. Dammam and Shuaiba were the two ports with </w:t>
      </w:r>
      <w:r w:rsidRPr="732C63BF" w:rsidR="7F41DA5E">
        <w:rPr>
          <w:rFonts w:ascii="Arial" w:hAnsi="Arial" w:eastAsia="Arial" w:cs="Arial"/>
          <w:color w:val="000000" w:themeColor="text1" w:themeTint="FF" w:themeShade="FF"/>
          <w:sz w:val="21"/>
          <w:szCs w:val="21"/>
        </w:rPr>
        <w:t>a negative</w:t>
      </w:r>
      <w:r w:rsidRPr="732C63BF" w:rsidR="732C63BF">
        <w:rPr>
          <w:rFonts w:ascii="Arial" w:hAnsi="Arial" w:eastAsia="Arial" w:cs="Arial"/>
          <w:color w:val="000000" w:themeColor="text1" w:themeTint="FF" w:themeShade="FF"/>
          <w:sz w:val="21"/>
          <w:szCs w:val="21"/>
        </w:rPr>
        <w:t xml:space="preserve"> year</w:t>
      </w:r>
      <w:r w:rsidRPr="732C63BF" w:rsidR="731C4CED">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on</w:t>
      </w:r>
      <w:r w:rsidRPr="732C63BF" w:rsidR="378EE8D6">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year movement.</w:t>
      </w:r>
    </w:p>
    <w:p xmlns:wp14="http://schemas.microsoft.com/office/word/2010/wordml" w:rsidP="732C63BF" w14:paraId="0A37501D" wp14:textId="77777777">
      <w:pPr>
        <w:spacing w:before="80" w:after="60"/>
        <w:jc w:val="center"/>
        <w:rPr>
          <w:rFonts w:ascii="Arial" w:hAnsi="Arial" w:eastAsia="Arial" w:cs="Arial"/>
          <w:color w:val="000000" w:themeColor="text1" w:themeTint="FF" w:themeShade="FF"/>
        </w:rPr>
      </w:pPr>
      <w:r w:rsidR="732C63BF">
        <w:drawing>
          <wp:inline xmlns:wp14="http://schemas.microsoft.com/office/word/2010/wordprocessingDrawing" wp14:editId="7314971D" wp14:anchorId="49231F14">
            <wp:extent cx="5806440" cy="3277393"/>
            <wp:effectExtent l="0" t="0" r="0" b="0"/>
            <wp:docPr id="1" name="Picture 1" descr="Executive Overview dashboard showing the 2025 GCC average CPPI trend, efficiency versus volatility scatter plot, KPI cards and port ranking." title="Executive Overview dashboard showing the 2025 GCC average CPPI trend, efficiency versus volatility scatter plot, KPI cards and port rank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01_Executive_Overview.png"/>
                    <pic:cNvPicPr/>
                  </pic:nvPicPr>
                  <pic:blipFill>
                    <a:blip xmlns:r="http://schemas.openxmlformats.org/officeDocument/2006/relationships" r:embed="rId11"/>
                    <a:stretch>
                      <a:fillRect/>
                    </a:stretch>
                  </pic:blipFill>
                  <pic:spPr>
                    <a:xfrm>
                      <a:off x="0" y="0"/>
                      <a:ext cx="5806440" cy="3277393"/>
                    </a:xfrm>
                    <a:prstGeom prst="rect"/>
                  </pic:spPr>
                </pic:pic>
              </a:graphicData>
            </a:graphic>
          </wp:inline>
        </w:drawing>
      </w:r>
    </w:p>
    <w:p xmlns:wp14="http://schemas.microsoft.com/office/word/2010/wordml" w:rsidP="732C63BF" w14:paraId="38FD92EB" wp14:textId="77777777">
      <w:pPr>
        <w:pStyle w:val="Caption"/>
        <w:keepNext w:val="1"/>
        <w:spacing w:before="0" w:after="160"/>
        <w:jc w:val="center"/>
        <w:rPr>
          <w:rFonts w:ascii="Arial" w:hAnsi="Arial" w:eastAsia="Arial" w:cs="Arial"/>
          <w:i w:val="1"/>
          <w:iCs w:val="1"/>
          <w:color w:val="000000" w:themeColor="text1" w:themeTint="FF" w:themeShade="FF"/>
          <w:sz w:val="17"/>
          <w:szCs w:val="17"/>
        </w:rPr>
      </w:pPr>
      <w:r w:rsidRPr="732C63BF" w:rsidR="732C63BF">
        <w:rPr>
          <w:rFonts w:ascii="Arial" w:hAnsi="Arial" w:eastAsia="Arial" w:cs="Arial"/>
          <w:i w:val="1"/>
          <w:iCs w:val="1"/>
          <w:color w:val="000000" w:themeColor="text1" w:themeTint="FF" w:themeShade="FF"/>
          <w:sz w:val="17"/>
          <w:szCs w:val="17"/>
        </w:rPr>
        <w:t>Figure 1. Executive overview - selected-year GCC performance, volatility and ranking.</w:t>
      </w:r>
    </w:p>
    <w:p xmlns:wp14="http://schemas.microsoft.com/office/word/2010/wordml" w:rsidP="732C63BF" w14:paraId="1A6FFED5" wp14:textId="77777777">
      <w:pPr>
        <w:spacing w:before="100" w:after="40"/>
        <w:rPr>
          <w:rFonts w:ascii="Arial" w:hAnsi="Arial" w:eastAsia="Arial" w:cs="Arial"/>
          <w:b w:val="1"/>
          <w:bCs w:val="1"/>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Decision use</w:t>
      </w:r>
    </w:p>
    <w:p xmlns:wp14="http://schemas.microsoft.com/office/word/2010/wordml" w:rsidP="732C63BF" w14:paraId="0842DF5D" wp14:textId="77777777">
      <w:pPr>
        <w:keepNext w:val="0"/>
        <w:spacing w:after="8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overview works as a monitoring layer. It directs attention to outliers and deteriorating ports before a user moves into peer diagnostics or disruption planning.</w:t>
      </w:r>
    </w:p>
    <w:p xmlns:wp14="http://schemas.microsoft.com/office/word/2010/wordml" w:rsidP="732C63BF" w14:paraId="5DAB6C7B"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55A622BB" wp14:textId="77777777">
      <w:pPr>
        <w:pStyle w:val="Normal"/>
        <w:suppressLineNumbers w:val="0"/>
        <w:bidi w:val="0"/>
        <w:spacing w:before="0" w:beforeAutospacing="off" w:after="100" w:afterAutospacing="off" w:line="264" w:lineRule="auto"/>
        <w:ind w:left="0" w:right="0"/>
        <w:jc w:val="left"/>
        <w:rPr>
          <w:rFonts w:ascii="Arial" w:hAnsi="Arial" w:eastAsia="Arial" w:cs="Arial"/>
          <w:b w:val="1"/>
          <w:bCs w:val="1"/>
          <w:color w:val="000000" w:themeColor="text1" w:themeTint="FF" w:themeShade="FF"/>
          <w:sz w:val="17"/>
          <w:szCs w:val="17"/>
        </w:rPr>
      </w:pPr>
      <w:r w:rsidRPr="732C63BF" w:rsidR="732C63BF">
        <w:rPr>
          <w:rFonts w:ascii="Arial" w:hAnsi="Arial" w:eastAsia="Arial" w:cs="Arial"/>
          <w:b w:val="1"/>
          <w:bCs w:val="1"/>
          <w:color w:val="000000" w:themeColor="text1" w:themeTint="FF" w:themeShade="FF"/>
          <w:sz w:val="24"/>
          <w:szCs w:val="24"/>
        </w:rPr>
        <w:t>DATA AND SEMANTIC MODEL</w:t>
      </w:r>
    </w:p>
    <w:p xmlns:wp14="http://schemas.microsoft.com/office/word/2010/wordml" w:rsidP="732C63BF" w14:paraId="417B1904" wp14:textId="77777777">
      <w:pPr>
        <w:pStyle w:val="Heading1"/>
        <w:keepNext w:val="1"/>
        <w:suppressLineNumbers w:val="0"/>
        <w:bidi w:val="0"/>
        <w:spacing w:before="240" w:beforeAutospacing="off" w:after="120" w:afterAutospacing="off" w:line="264" w:lineRule="auto"/>
        <w:ind w:left="0" w:right="0"/>
        <w:jc w:val="left"/>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A compact star schema separates reusable dimensions from annual and diagnostic facts</w:t>
      </w:r>
    </w:p>
    <w:p xmlns:wp14="http://schemas.microsoft.com/office/word/2010/wordml" w:rsidP="732C63BF" w14:paraId="66A3983B" wp14:textId="7EFB06B4">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The source is the World Bank CPPI 2025 Annex, which </w:t>
      </w:r>
      <w:r w:rsidRPr="732C63BF" w:rsidR="732C63BF">
        <w:rPr>
          <w:rFonts w:ascii="Arial" w:hAnsi="Arial" w:eastAsia="Arial" w:cs="Arial"/>
          <w:color w:val="000000" w:themeColor="text1" w:themeTint="FF" w:themeShade="FF"/>
          <w:sz w:val="21"/>
          <w:szCs w:val="21"/>
        </w:rPr>
        <w:t>contains</w:t>
      </w:r>
      <w:r w:rsidRPr="732C63BF" w:rsidR="732C63BF">
        <w:rPr>
          <w:rFonts w:ascii="Arial" w:hAnsi="Arial" w:eastAsia="Arial" w:cs="Arial"/>
          <w:color w:val="000000" w:themeColor="text1" w:themeTint="FF" w:themeShade="FF"/>
          <w:sz w:val="21"/>
          <w:szCs w:val="21"/>
        </w:rPr>
        <w:t xml:space="preserve"> 426 port records and 20 fields, including CPPI scores for 2020-2025, maritime</w:t>
      </w:r>
      <w:r w:rsidRPr="732C63BF" w:rsidR="16F72D25">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service regions, 2025 ranking and diagnostic index components. The portfolio scenario focuses on </w:t>
      </w:r>
      <w:r w:rsidRPr="732C63BF" w:rsidR="6B1826B4">
        <w:rPr>
          <w:rFonts w:ascii="Arial" w:hAnsi="Arial" w:eastAsia="Arial" w:cs="Arial"/>
          <w:color w:val="000000" w:themeColor="text1" w:themeTint="FF" w:themeShade="FF"/>
          <w:sz w:val="21"/>
          <w:szCs w:val="21"/>
        </w:rPr>
        <w:t>six</w:t>
      </w:r>
      <w:r w:rsidRPr="732C63BF" w:rsidR="732C63BF">
        <w:rPr>
          <w:rFonts w:ascii="Arial" w:hAnsi="Arial" w:eastAsia="Arial" w:cs="Arial"/>
          <w:color w:val="000000" w:themeColor="text1" w:themeTint="FF" w:themeShade="FF"/>
          <w:sz w:val="21"/>
          <w:szCs w:val="21"/>
        </w:rPr>
        <w:t xml:space="preserve"> GCC</w:t>
      </w:r>
      <w:r w:rsidRPr="732C63BF" w:rsidR="732C63BF">
        <w:rPr>
          <w:rFonts w:ascii="Arial" w:hAnsi="Arial" w:eastAsia="Arial" w:cs="Arial"/>
          <w:color w:val="000000" w:themeColor="text1" w:themeTint="FF" w:themeShade="FF"/>
          <w:sz w:val="21"/>
          <w:szCs w:val="21"/>
        </w:rPr>
        <w:t xml:space="preserve"> countries. Thirteen ports have a reported 2025 score</w:t>
      </w:r>
      <w:r w:rsidRPr="732C63BF" w:rsidR="76BA6516">
        <w:rPr>
          <w:rFonts w:ascii="Arial" w:hAnsi="Arial" w:eastAsia="Arial" w:cs="Arial"/>
          <w:color w:val="000000" w:themeColor="text1" w:themeTint="FF" w:themeShade="FF"/>
          <w:sz w:val="21"/>
          <w:szCs w:val="21"/>
        </w:rPr>
        <w:t>,</w:t>
      </w:r>
      <w:r w:rsidRPr="732C63BF" w:rsidR="732C63BF">
        <w:rPr>
          <w:rFonts w:ascii="Arial" w:hAnsi="Arial" w:eastAsia="Arial" w:cs="Arial"/>
          <w:color w:val="000000" w:themeColor="text1" w:themeTint="FF" w:themeShade="FF"/>
          <w:sz w:val="21"/>
          <w:szCs w:val="21"/>
        </w:rPr>
        <w:t xml:space="preserve"> King Abdullah Port is present historically but has no 2025 score.</w:t>
      </w:r>
    </w:p>
    <w:p xmlns:wp14="http://schemas.microsoft.com/office/word/2010/wordml" w:rsidP="732C63BF" w14:paraId="51A60BC5" wp14:textId="47A281FF">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In Power Query, the annual score columns were reshaped into a port</w:t>
      </w:r>
      <w:r w:rsidRPr="732C63BF" w:rsidR="2B7F3115">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year fact table while the 2025 diagnostic fields were </w:t>
      </w:r>
      <w:r w:rsidRPr="732C63BF" w:rsidR="732C63BF">
        <w:rPr>
          <w:rFonts w:ascii="Arial" w:hAnsi="Arial" w:eastAsia="Arial" w:cs="Arial"/>
          <w:color w:val="000000" w:themeColor="text1" w:themeTint="FF" w:themeShade="FF"/>
          <w:sz w:val="21"/>
          <w:szCs w:val="21"/>
        </w:rPr>
        <w:t>retained</w:t>
      </w:r>
      <w:r w:rsidRPr="732C63BF" w:rsidR="732C63BF">
        <w:rPr>
          <w:rFonts w:ascii="Arial" w:hAnsi="Arial" w:eastAsia="Arial" w:cs="Arial"/>
          <w:color w:val="000000" w:themeColor="text1" w:themeTint="FF" w:themeShade="FF"/>
          <w:sz w:val="21"/>
          <w:szCs w:val="21"/>
        </w:rPr>
        <w:t xml:space="preserve"> at port grain. Port and year dimensions provide consistent filtering across both facts. Disconnected selector tables support scenario logic without creating ambiguous relationships.</w:t>
      </w:r>
    </w:p>
    <w:p xmlns:wp14="http://schemas.microsoft.com/office/word/2010/wordml" w:rsidP="732C63BF" w14:paraId="02EB378F" wp14:textId="77777777">
      <w:pPr>
        <w:spacing w:before="80" w:after="60"/>
        <w:jc w:val="center"/>
        <w:rPr>
          <w:rFonts w:ascii="Arial" w:hAnsi="Arial" w:eastAsia="Arial" w:cs="Arial"/>
          <w:color w:val="000000" w:themeColor="text1" w:themeTint="FF" w:themeShade="FF"/>
        </w:rPr>
      </w:pPr>
      <w:r w:rsidR="732C63BF">
        <w:drawing>
          <wp:inline xmlns:wp14="http://schemas.microsoft.com/office/word/2010/wordprocessingDrawing" wp14:editId="2D3E5BDD" wp14:anchorId="73C7FD05">
            <wp:extent cx="5806440" cy="3512710"/>
            <wp:effectExtent l="0" t="0" r="0" b="0"/>
            <wp:docPr id="2" name="Picture 2" descr="Power BI model view showing dim Port and dim Year related one-to-many to annual CPPI and 2025 diagnostics fact tables, with disconnected selector tables and a calculations table." title="Power BI model view showing dim Port and dim Year related one-to-many to annual CPPI and 2025 diagnostics fact tables, with disconnected selector tables and a calculations t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05_Data_Model.png"/>
                    <pic:cNvPicPr/>
                  </pic:nvPicPr>
                  <pic:blipFill>
                    <a:blip xmlns:r="http://schemas.openxmlformats.org/officeDocument/2006/relationships" r:embed="rId12"/>
                    <a:stretch>
                      <a:fillRect/>
                    </a:stretch>
                  </pic:blipFill>
                  <pic:spPr>
                    <a:xfrm>
                      <a:off x="0" y="0"/>
                      <a:ext cx="5806440" cy="3512710"/>
                    </a:xfrm>
                    <a:prstGeom prst="rect"/>
                  </pic:spPr>
                </pic:pic>
              </a:graphicData>
            </a:graphic>
          </wp:inline>
        </w:drawing>
      </w:r>
    </w:p>
    <w:p xmlns:wp14="http://schemas.microsoft.com/office/word/2010/wordml" w:rsidP="732C63BF" w14:paraId="52DB7491" wp14:textId="77777777">
      <w:pPr>
        <w:pStyle w:val="Caption"/>
        <w:keepNext w:val="1"/>
        <w:spacing w:before="0" w:after="160"/>
        <w:jc w:val="center"/>
        <w:rPr>
          <w:rFonts w:ascii="Arial" w:hAnsi="Arial" w:eastAsia="Arial" w:cs="Arial"/>
          <w:i w:val="1"/>
          <w:iCs w:val="1"/>
          <w:color w:val="000000" w:themeColor="text1" w:themeTint="FF" w:themeShade="FF"/>
          <w:sz w:val="17"/>
          <w:szCs w:val="17"/>
        </w:rPr>
      </w:pPr>
      <w:r w:rsidRPr="732C63BF" w:rsidR="732C63BF">
        <w:rPr>
          <w:rFonts w:ascii="Arial" w:hAnsi="Arial" w:eastAsia="Arial" w:cs="Arial"/>
          <w:i w:val="1"/>
          <w:iCs w:val="1"/>
          <w:color w:val="000000" w:themeColor="text1" w:themeTint="FF" w:themeShade="FF"/>
          <w:sz w:val="17"/>
          <w:szCs w:val="17"/>
        </w:rPr>
        <w:t>Figure 2. Power BI semantic model - dimensions, fact tables, scenario selectors and measure table.</w:t>
      </w:r>
    </w:p>
    <w:p xmlns:wp14="http://schemas.microsoft.com/office/word/2010/wordml" w:rsidP="732C63BF" w14:paraId="32E4EBB7" wp14:textId="1A36241B">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Grain control: annual trends are stored at one row per port and year</w:t>
      </w:r>
      <w:r w:rsidRPr="732C63BF" w:rsidR="06CD9F9A">
        <w:rPr>
          <w:rFonts w:ascii="Arial" w:hAnsi="Arial" w:eastAsia="Arial" w:cs="Arial"/>
          <w:color w:val="000000" w:themeColor="text1" w:themeTint="FF" w:themeShade="FF"/>
          <w:sz w:val="21"/>
          <w:szCs w:val="21"/>
        </w:rPr>
        <w:t>,</w:t>
      </w:r>
      <w:r w:rsidRPr="732C63BF" w:rsidR="732C63BF">
        <w:rPr>
          <w:rFonts w:ascii="Arial" w:hAnsi="Arial" w:eastAsia="Arial" w:cs="Arial"/>
          <w:color w:val="000000" w:themeColor="text1" w:themeTint="FF" w:themeShade="FF"/>
          <w:sz w:val="21"/>
          <w:szCs w:val="21"/>
        </w:rPr>
        <w:t xml:space="preserve"> 2025 diagnostics </w:t>
      </w:r>
      <w:r w:rsidRPr="732C63BF" w:rsidR="732C63BF">
        <w:rPr>
          <w:rFonts w:ascii="Arial" w:hAnsi="Arial" w:eastAsia="Arial" w:cs="Arial"/>
          <w:color w:val="000000" w:themeColor="text1" w:themeTint="FF" w:themeShade="FF"/>
          <w:sz w:val="21"/>
          <w:szCs w:val="21"/>
        </w:rPr>
        <w:t>remain</w:t>
      </w:r>
      <w:r w:rsidRPr="732C63BF" w:rsidR="732C63BF">
        <w:rPr>
          <w:rFonts w:ascii="Arial" w:hAnsi="Arial" w:eastAsia="Arial" w:cs="Arial"/>
          <w:color w:val="000000" w:themeColor="text1" w:themeTint="FF" w:themeShade="FF"/>
          <w:sz w:val="21"/>
          <w:szCs w:val="21"/>
        </w:rPr>
        <w:t xml:space="preserve"> at one row per port.</w:t>
      </w:r>
    </w:p>
    <w:p xmlns:wp14="http://schemas.microsoft.com/office/word/2010/wordml" w:rsidP="732C63BF" w14:paraId="02F6443F" wp14:textId="795FD840">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Filter design: one</w:t>
      </w:r>
      <w:r w:rsidRPr="732C63BF" w:rsidR="12EF2C2B">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to</w:t>
      </w:r>
      <w:r w:rsidRPr="732C63BF" w:rsidR="12428C85">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many, single</w:t>
      </w:r>
      <w:r w:rsidRPr="732C63BF" w:rsidR="54C3407C">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direction relationships keep context predictable and reduce double</w:t>
      </w:r>
      <w:r w:rsidRPr="732C63BF" w:rsidR="4A039576">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counting risk.</w:t>
      </w:r>
    </w:p>
    <w:p xmlns:wp14="http://schemas.microsoft.com/office/word/2010/wordml" w:rsidP="732C63BF" w14:paraId="1CBAE4F4"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Measure governance: business calculations are grouped in a dedicated Calculations table rather than spread across source tables.</w:t>
      </w:r>
    </w:p>
    <w:p xmlns:wp14="http://schemas.microsoft.com/office/word/2010/wordml" w:rsidP="732C63BF" w14:paraId="6A05A809"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334C7739" wp14:textId="77777777">
      <w:pPr>
        <w:pStyle w:val="Normal"/>
        <w:suppressLineNumbers w:val="0"/>
        <w:bidi w:val="0"/>
        <w:spacing w:before="0" w:beforeAutospacing="off" w:after="100" w:afterAutospacing="off" w:line="264" w:lineRule="auto"/>
        <w:ind w:left="0" w:right="0"/>
        <w:jc w:val="left"/>
        <w:rPr>
          <w:rFonts w:ascii="Arial" w:hAnsi="Arial" w:eastAsia="Arial" w:cs="Arial"/>
          <w:b w:val="1"/>
          <w:bCs w:val="1"/>
          <w:color w:val="000000" w:themeColor="text1" w:themeTint="FF" w:themeShade="FF"/>
          <w:sz w:val="24"/>
          <w:szCs w:val="24"/>
        </w:rPr>
      </w:pPr>
      <w:r w:rsidRPr="732C63BF" w:rsidR="732C63BF">
        <w:rPr>
          <w:rFonts w:ascii="Arial" w:hAnsi="Arial" w:eastAsia="Arial" w:cs="Arial"/>
          <w:b w:val="1"/>
          <w:bCs w:val="1"/>
          <w:color w:val="000000" w:themeColor="text1" w:themeTint="FF" w:themeShade="FF"/>
          <w:sz w:val="24"/>
          <w:szCs w:val="24"/>
        </w:rPr>
        <w:t>TREND AND PEER ANALYSIS</w:t>
      </w:r>
    </w:p>
    <w:p xmlns:wp14="http://schemas.microsoft.com/office/word/2010/wordml" w:rsidP="732C63BF" w14:paraId="6BE75EAC" wp14:textId="7A87BFAA">
      <w:pPr>
        <w:pStyle w:val="Heading1"/>
        <w:keepNext w:val="1"/>
        <w:suppressLineNumbers w:val="0"/>
        <w:bidi w:val="0"/>
        <w:spacing w:before="240" w:beforeAutospacing="off" w:after="120" w:afterAutospacing="off" w:line="264" w:lineRule="auto"/>
        <w:ind w:left="0" w:right="0"/>
        <w:jc w:val="left"/>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Jebel Ali's 2025 rebound is strong, but the </w:t>
      </w:r>
      <w:r w:rsidRPr="732C63BF" w:rsidR="76CB92F3">
        <w:rPr>
          <w:rFonts w:ascii="Arial" w:hAnsi="Arial" w:eastAsia="Arial" w:cs="Arial"/>
          <w:color w:val="000000" w:themeColor="text1" w:themeTint="FF" w:themeShade="FF"/>
          <w:sz w:val="21"/>
          <w:szCs w:val="21"/>
        </w:rPr>
        <w:t>six-year</w:t>
      </w:r>
      <w:r w:rsidRPr="732C63BF" w:rsidR="732C63BF">
        <w:rPr>
          <w:rFonts w:ascii="Arial" w:hAnsi="Arial" w:eastAsia="Arial" w:cs="Arial"/>
          <w:color w:val="000000" w:themeColor="text1" w:themeTint="FF" w:themeShade="FF"/>
          <w:sz w:val="21"/>
          <w:szCs w:val="21"/>
        </w:rPr>
        <w:t xml:space="preserve"> pattern </w:t>
      </w:r>
      <w:r w:rsidRPr="732C63BF" w:rsidR="732C63BF">
        <w:rPr>
          <w:rFonts w:ascii="Arial" w:hAnsi="Arial" w:eastAsia="Arial" w:cs="Arial"/>
          <w:color w:val="000000" w:themeColor="text1" w:themeTint="FF" w:themeShade="FF"/>
          <w:sz w:val="21"/>
          <w:szCs w:val="21"/>
        </w:rPr>
        <w:t>remains</w:t>
      </w:r>
      <w:r w:rsidRPr="732C63BF" w:rsidR="732C63BF">
        <w:rPr>
          <w:rFonts w:ascii="Arial" w:hAnsi="Arial" w:eastAsia="Arial" w:cs="Arial"/>
          <w:color w:val="000000" w:themeColor="text1" w:themeTint="FF" w:themeShade="FF"/>
          <w:sz w:val="21"/>
          <w:szCs w:val="21"/>
        </w:rPr>
        <w:t xml:space="preserve"> volatile</w:t>
      </w:r>
    </w:p>
    <w:p xmlns:wp14="http://schemas.microsoft.com/office/word/2010/wordml" w:rsidP="732C63BF" w14:paraId="745C80CC" wp14:textId="5A9311C5">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Jebel Ali improved from -7.00 in 2024 to 68.18 in 2025, a </w:t>
      </w:r>
      <w:r w:rsidRPr="732C63BF" w:rsidR="759C9DC0">
        <w:rPr>
          <w:rFonts w:ascii="Arial" w:hAnsi="Arial" w:eastAsia="Arial" w:cs="Arial"/>
          <w:color w:val="000000" w:themeColor="text1" w:themeTint="FF" w:themeShade="FF"/>
          <w:sz w:val="21"/>
          <w:szCs w:val="21"/>
        </w:rPr>
        <w:t>year-on-year</w:t>
      </w:r>
      <w:r w:rsidRPr="732C63BF" w:rsidR="732C63BF">
        <w:rPr>
          <w:rFonts w:ascii="Arial" w:hAnsi="Arial" w:eastAsia="Arial" w:cs="Arial"/>
          <w:color w:val="000000" w:themeColor="text1" w:themeTint="FF" w:themeShade="FF"/>
          <w:sz w:val="21"/>
          <w:szCs w:val="21"/>
        </w:rPr>
        <w:t xml:space="preserve"> increase of 75.18 points. Its latest score sits 28.30 points above the 39.88 average for other ports in the same maritime</w:t>
      </w:r>
      <w:r w:rsidRPr="732C63BF" w:rsidR="2A613171">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services region.</w:t>
      </w:r>
    </w:p>
    <w:p xmlns:wp14="http://schemas.microsoft.com/office/word/2010/wordml" w:rsidP="732C63BF" w14:paraId="3491FEE7" wp14:textId="7DDCFD63">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The recovery should not be interpreted in isolation.</w:t>
      </w:r>
      <w:r w:rsidRPr="732C63BF" w:rsidR="732C63BF">
        <w:rPr>
          <w:rFonts w:ascii="Arial" w:hAnsi="Arial" w:eastAsia="Arial" w:cs="Arial"/>
          <w:color w:val="000000" w:themeColor="text1" w:themeTint="FF" w:themeShade="FF"/>
          <w:sz w:val="21"/>
          <w:szCs w:val="21"/>
        </w:rPr>
        <w:t xml:space="preserve"> Jebel Ali </w:t>
      </w:r>
      <w:r w:rsidRPr="732C63BF" w:rsidR="732C63BF">
        <w:rPr>
          <w:rFonts w:ascii="Arial" w:hAnsi="Arial" w:eastAsia="Arial" w:cs="Arial"/>
          <w:color w:val="000000" w:themeColor="text1" w:themeTint="FF" w:themeShade="FF"/>
          <w:sz w:val="21"/>
          <w:szCs w:val="21"/>
        </w:rPr>
        <w:t>remains</w:t>
      </w:r>
      <w:r w:rsidRPr="732C63BF" w:rsidR="732C63BF">
        <w:rPr>
          <w:rFonts w:ascii="Arial" w:hAnsi="Arial" w:eastAsia="Arial" w:cs="Arial"/>
          <w:color w:val="000000" w:themeColor="text1" w:themeTint="FF" w:themeShade="FF"/>
          <w:sz w:val="21"/>
          <w:szCs w:val="21"/>
        </w:rPr>
        <w:t xml:space="preserve"> 33.82 points below its 2020 score and has a </w:t>
      </w:r>
      <w:r w:rsidRPr="732C63BF" w:rsidR="10A53F12">
        <w:rPr>
          <w:rFonts w:ascii="Arial" w:hAnsi="Arial" w:eastAsia="Arial" w:cs="Arial"/>
          <w:color w:val="000000" w:themeColor="text1" w:themeTint="FF" w:themeShade="FF"/>
          <w:sz w:val="21"/>
          <w:szCs w:val="21"/>
        </w:rPr>
        <w:t>six-year</w:t>
      </w:r>
      <w:r w:rsidRPr="732C63BF" w:rsidR="732C63BF">
        <w:rPr>
          <w:rFonts w:ascii="Arial" w:hAnsi="Arial" w:eastAsia="Arial" w:cs="Arial"/>
          <w:color w:val="000000" w:themeColor="text1" w:themeTint="FF" w:themeShade="FF"/>
          <w:sz w:val="21"/>
          <w:szCs w:val="21"/>
        </w:rPr>
        <w:t xml:space="preserve"> volatility measure of 36.39. The report therefore presents both current performance and historical stability, avoiding a recommendation based on a </w:t>
      </w:r>
      <w:r w:rsidRPr="732C63BF" w:rsidR="0B42794D">
        <w:rPr>
          <w:rFonts w:ascii="Arial" w:hAnsi="Arial" w:eastAsia="Arial" w:cs="Arial"/>
          <w:color w:val="000000" w:themeColor="text1" w:themeTint="FF" w:themeShade="FF"/>
          <w:sz w:val="21"/>
          <w:szCs w:val="21"/>
        </w:rPr>
        <w:t>single year</w:t>
      </w:r>
      <w:r w:rsidRPr="732C63BF" w:rsidR="732C63BF">
        <w:rPr>
          <w:rFonts w:ascii="Arial" w:hAnsi="Arial" w:eastAsia="Arial" w:cs="Arial"/>
          <w:color w:val="000000" w:themeColor="text1" w:themeTint="FF" w:themeShade="FF"/>
          <w:sz w:val="21"/>
          <w:szCs w:val="21"/>
        </w:rPr>
        <w:t xml:space="preserve"> rebound.</w:t>
      </w:r>
    </w:p>
    <w:p xmlns:wp14="http://schemas.microsoft.com/office/word/2010/wordml" w:rsidP="732C63BF" w14:paraId="5A39BBE3" wp14:textId="77777777">
      <w:pPr>
        <w:spacing w:before="80" w:after="60"/>
        <w:jc w:val="center"/>
        <w:rPr>
          <w:rFonts w:ascii="Arial" w:hAnsi="Arial" w:eastAsia="Arial" w:cs="Arial"/>
          <w:color w:val="000000" w:themeColor="text1" w:themeTint="FF" w:themeShade="FF"/>
        </w:rPr>
      </w:pPr>
      <w:r w:rsidR="732C63BF">
        <w:drawing>
          <wp:inline xmlns:wp14="http://schemas.microsoft.com/office/word/2010/wordprocessingDrawing" wp14:editId="0DD43177" wp14:anchorId="53F3D501">
            <wp:extent cx="5806440" cy="3276813"/>
            <wp:effectExtent l="0" t="0" r="0" b="0"/>
            <wp:docPr id="3" name="Picture 3" descr="Trends and Peer Analysis dashboard for Jebel Ali showing CPPI versus its regional peer average, annual peer gaps, KPI cards and a latest-year comparison table." title="Trends and Peer Analysis dashboard for Jebel Ali showing CPPI versus its regional peer average, annual peer gaps, KPI cards and a latest-year comparison t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02_Trends_Peer_Analysis.png"/>
                    <pic:cNvPicPr/>
                  </pic:nvPicPr>
                  <pic:blipFill>
                    <a:blip xmlns:r="http://schemas.openxmlformats.org/officeDocument/2006/relationships" r:embed="rId13"/>
                    <a:stretch>
                      <a:fillRect/>
                    </a:stretch>
                  </pic:blipFill>
                  <pic:spPr>
                    <a:xfrm>
                      <a:off x="0" y="0"/>
                      <a:ext cx="5806440" cy="3276813"/>
                    </a:xfrm>
                    <a:prstGeom prst="rect"/>
                  </pic:spPr>
                </pic:pic>
              </a:graphicData>
            </a:graphic>
          </wp:inline>
        </w:drawing>
      </w:r>
    </w:p>
    <w:p xmlns:wp14="http://schemas.microsoft.com/office/word/2010/wordml" w:rsidP="732C63BF" w14:paraId="269E3CC6" wp14:textId="19A47056">
      <w:pPr>
        <w:pStyle w:val="Caption"/>
        <w:keepNext w:val="1"/>
        <w:spacing w:before="0" w:after="160"/>
        <w:jc w:val="center"/>
        <w:rPr>
          <w:rFonts w:ascii="Arial" w:hAnsi="Arial" w:eastAsia="Arial" w:cs="Arial"/>
          <w:i w:val="1"/>
          <w:iCs w:val="1"/>
          <w:color w:val="000000" w:themeColor="text1" w:themeTint="FF" w:themeShade="FF"/>
          <w:sz w:val="17"/>
          <w:szCs w:val="17"/>
        </w:rPr>
      </w:pPr>
      <w:r w:rsidRPr="732C63BF" w:rsidR="732C63BF">
        <w:rPr>
          <w:rFonts w:ascii="Arial" w:hAnsi="Arial" w:eastAsia="Arial" w:cs="Arial"/>
          <w:i w:val="1"/>
          <w:iCs w:val="1"/>
          <w:color w:val="000000" w:themeColor="text1" w:themeTint="FF" w:themeShade="FF"/>
          <w:sz w:val="17"/>
          <w:szCs w:val="17"/>
        </w:rPr>
        <w:t>Figure 3. Selected</w:t>
      </w:r>
      <w:r w:rsidRPr="732C63BF" w:rsidR="65887F00">
        <w:rPr>
          <w:rFonts w:ascii="Arial" w:hAnsi="Arial" w:eastAsia="Arial" w:cs="Arial"/>
          <w:i w:val="1"/>
          <w:iCs w:val="1"/>
          <w:color w:val="000000" w:themeColor="text1" w:themeTint="FF" w:themeShade="FF"/>
          <w:sz w:val="17"/>
          <w:szCs w:val="17"/>
        </w:rPr>
        <w:t xml:space="preserve"> </w:t>
      </w:r>
      <w:r w:rsidRPr="732C63BF" w:rsidR="732C63BF">
        <w:rPr>
          <w:rFonts w:ascii="Arial" w:hAnsi="Arial" w:eastAsia="Arial" w:cs="Arial"/>
          <w:i w:val="1"/>
          <w:iCs w:val="1"/>
          <w:color w:val="000000" w:themeColor="text1" w:themeTint="FF" w:themeShade="FF"/>
          <w:sz w:val="17"/>
          <w:szCs w:val="17"/>
        </w:rPr>
        <w:t xml:space="preserve">port trend, annual peer </w:t>
      </w:r>
      <w:r w:rsidRPr="732C63BF" w:rsidR="732C63BF">
        <w:rPr>
          <w:rFonts w:ascii="Arial" w:hAnsi="Arial" w:eastAsia="Arial" w:cs="Arial"/>
          <w:i w:val="1"/>
          <w:iCs w:val="1"/>
          <w:color w:val="000000" w:themeColor="text1" w:themeTint="FF" w:themeShade="FF"/>
          <w:sz w:val="17"/>
          <w:szCs w:val="17"/>
        </w:rPr>
        <w:t>gap</w:t>
      </w:r>
      <w:r w:rsidRPr="732C63BF" w:rsidR="732C63BF">
        <w:rPr>
          <w:rFonts w:ascii="Arial" w:hAnsi="Arial" w:eastAsia="Arial" w:cs="Arial"/>
          <w:i w:val="1"/>
          <w:iCs w:val="1"/>
          <w:color w:val="000000" w:themeColor="text1" w:themeTint="FF" w:themeShade="FF"/>
          <w:sz w:val="17"/>
          <w:szCs w:val="17"/>
        </w:rPr>
        <w:t xml:space="preserve"> and latest</w:t>
      </w:r>
      <w:r w:rsidRPr="732C63BF" w:rsidR="1E698649">
        <w:rPr>
          <w:rFonts w:ascii="Arial" w:hAnsi="Arial" w:eastAsia="Arial" w:cs="Arial"/>
          <w:i w:val="1"/>
          <w:iCs w:val="1"/>
          <w:color w:val="000000" w:themeColor="text1" w:themeTint="FF" w:themeShade="FF"/>
          <w:sz w:val="17"/>
          <w:szCs w:val="17"/>
        </w:rPr>
        <w:t xml:space="preserve"> </w:t>
      </w:r>
      <w:r w:rsidRPr="732C63BF" w:rsidR="732C63BF">
        <w:rPr>
          <w:rFonts w:ascii="Arial" w:hAnsi="Arial" w:eastAsia="Arial" w:cs="Arial"/>
          <w:i w:val="1"/>
          <w:iCs w:val="1"/>
          <w:color w:val="000000" w:themeColor="text1" w:themeTint="FF" w:themeShade="FF"/>
          <w:sz w:val="17"/>
          <w:szCs w:val="17"/>
        </w:rPr>
        <w:t>year peer comparison.</w:t>
      </w:r>
    </w:p>
    <w:p xmlns:wp14="http://schemas.microsoft.com/office/word/2010/wordml" w:rsidP="732C63BF" w14:paraId="4F2BBB04" wp14:textId="77777777">
      <w:pPr>
        <w:spacing w:before="100" w:after="40"/>
        <w:rPr>
          <w:rFonts w:ascii="Arial" w:hAnsi="Arial" w:eastAsia="Arial" w:cs="Arial"/>
          <w:b w:val="1"/>
          <w:bCs w:val="1"/>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Interpretation</w:t>
      </w:r>
    </w:p>
    <w:p xmlns:wp14="http://schemas.microsoft.com/office/word/2010/wordml" w:rsidP="732C63BF" w14:paraId="349B0C86" wp14:textId="77777777">
      <w:pPr>
        <w:keepNext w:val="0"/>
        <w:spacing w:after="8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current position is encouraging, but the volatility and remaining gap to the 2020 level justify continued monitoring rather than treating the recovery as established.</w:t>
      </w:r>
    </w:p>
    <w:p xmlns:wp14="http://schemas.microsoft.com/office/word/2010/wordml" w:rsidP="732C63BF" w14:paraId="41C8F396"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06D26EF8" wp14:textId="77777777">
      <w:pPr>
        <w:spacing w:before="0" w:after="100"/>
        <w:rPr>
          <w:rFonts w:ascii="Arial" w:hAnsi="Arial" w:eastAsia="Arial" w:cs="Arial"/>
          <w:b w:val="1"/>
          <w:bCs w:val="1"/>
          <w:color w:val="000000" w:themeColor="text1" w:themeTint="FF" w:themeShade="FF"/>
          <w:sz w:val="24"/>
          <w:szCs w:val="24"/>
        </w:rPr>
      </w:pPr>
      <w:r w:rsidRPr="732C63BF" w:rsidR="732C63BF">
        <w:rPr>
          <w:rFonts w:ascii="Arial" w:hAnsi="Arial" w:eastAsia="Arial" w:cs="Arial"/>
          <w:b w:val="1"/>
          <w:bCs w:val="1"/>
          <w:color w:val="000000" w:themeColor="text1" w:themeTint="FF" w:themeShade="FF"/>
          <w:sz w:val="24"/>
          <w:szCs w:val="24"/>
        </w:rPr>
        <w:t>DIVERSION SCENARIO</w:t>
      </w:r>
    </w:p>
    <w:p xmlns:wp14="http://schemas.microsoft.com/office/word/2010/wordml" w:rsidP="732C63BF" w14:paraId="30C36926" wp14:textId="77777777">
      <w:pPr>
        <w:pStyle w:val="Heading1"/>
        <w:keepNext w:val="1"/>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readiness model narrows the candidate set; it does not make the routing decision</w:t>
      </w:r>
    </w:p>
    <w:p xmlns:wp14="http://schemas.microsoft.com/office/word/2010/wordml" w:rsidP="732C63BF" w14:paraId="4B37A9E9" wp14:textId="77777777">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disruption page uses a disconnected port selector so the selected gateway can be removed from the candidate set without filtering away the alternatives. Candidates also require enough current and historical data to calculate the component measures.</w:t>
      </w:r>
    </w:p>
    <w:p xmlns:wp14="http://schemas.microsoft.com/office/word/2010/wordml" w:rsidP="732C63BF" w14:paraId="32D9D1E2" wp14:textId="58B83683">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 xml:space="preserve">The readiness score combines </w:t>
      </w:r>
      <w:r w:rsidRPr="732C63BF" w:rsidR="301C4B14">
        <w:rPr>
          <w:rFonts w:ascii="Arial" w:hAnsi="Arial" w:eastAsia="Arial" w:cs="Arial"/>
          <w:b w:val="1"/>
          <w:bCs w:val="1"/>
          <w:color w:val="000000" w:themeColor="text1" w:themeTint="FF" w:themeShade="FF"/>
          <w:sz w:val="21"/>
          <w:szCs w:val="21"/>
        </w:rPr>
        <w:t>the latest</w:t>
      </w:r>
      <w:r w:rsidRPr="732C63BF" w:rsidR="732C63BF">
        <w:rPr>
          <w:rFonts w:ascii="Arial" w:hAnsi="Arial" w:eastAsia="Arial" w:cs="Arial"/>
          <w:b w:val="1"/>
          <w:bCs w:val="1"/>
          <w:color w:val="000000" w:themeColor="text1" w:themeTint="FF" w:themeShade="FF"/>
          <w:sz w:val="21"/>
          <w:szCs w:val="21"/>
        </w:rPr>
        <w:t xml:space="preserve"> CPPI (50%), historical stability (30%)</w:t>
      </w:r>
      <w:r w:rsidRPr="732C63BF" w:rsidR="4C9AA2F6">
        <w:rPr>
          <w:rFonts w:ascii="Arial" w:hAnsi="Arial" w:eastAsia="Arial" w:cs="Arial"/>
          <w:b w:val="1"/>
          <w:bCs w:val="1"/>
          <w:color w:val="000000" w:themeColor="text1" w:themeTint="FF" w:themeShade="FF"/>
          <w:sz w:val="21"/>
          <w:szCs w:val="21"/>
        </w:rPr>
        <w:t>, and</w:t>
      </w:r>
      <w:r w:rsidRPr="732C63BF" w:rsidR="732C63BF">
        <w:rPr>
          <w:rFonts w:ascii="Arial" w:hAnsi="Arial" w:eastAsia="Arial" w:cs="Arial"/>
          <w:b w:val="1"/>
          <w:bCs w:val="1"/>
          <w:color w:val="000000" w:themeColor="text1" w:themeTint="FF" w:themeShade="FF"/>
          <w:sz w:val="21"/>
          <w:szCs w:val="21"/>
        </w:rPr>
        <w:t xml:space="preserve"> recent </w:t>
      </w:r>
      <w:r w:rsidRPr="732C63BF" w:rsidR="68B2698C">
        <w:rPr>
          <w:rFonts w:ascii="Arial" w:hAnsi="Arial" w:eastAsia="Arial" w:cs="Arial"/>
          <w:b w:val="1"/>
          <w:bCs w:val="1"/>
          <w:color w:val="000000" w:themeColor="text1" w:themeTint="FF" w:themeShade="FF"/>
          <w:sz w:val="21"/>
          <w:szCs w:val="21"/>
        </w:rPr>
        <w:t>trends</w:t>
      </w:r>
      <w:r w:rsidRPr="732C63BF" w:rsidR="732C63BF">
        <w:rPr>
          <w:rFonts w:ascii="Arial" w:hAnsi="Arial" w:eastAsia="Arial" w:cs="Arial"/>
          <w:b w:val="1"/>
          <w:bCs w:val="1"/>
          <w:color w:val="000000" w:themeColor="text1" w:themeTint="FF" w:themeShade="FF"/>
          <w:sz w:val="21"/>
          <w:szCs w:val="21"/>
        </w:rPr>
        <w:t xml:space="preserve"> (20%).</w:t>
      </w:r>
      <w:r w:rsidRPr="732C63BF" w:rsidR="732C63BF">
        <w:rPr>
          <w:rFonts w:ascii="Arial" w:hAnsi="Arial" w:eastAsia="Arial" w:cs="Arial"/>
          <w:color w:val="000000" w:themeColor="text1" w:themeTint="FF" w:themeShade="FF"/>
          <w:sz w:val="21"/>
          <w:szCs w:val="21"/>
        </w:rPr>
        <w:t xml:space="preserve"> For Jebel Ali, 11 alternatives qualify. Salalah ranks first at 89.0, followed by Hamad Port at 71.0 and Khalifa Bin Salman Port at 66.0. Because the components are balanced, the output is not simply a restatement of the latest CPPI ranking.</w:t>
      </w:r>
    </w:p>
    <w:p xmlns:wp14="http://schemas.microsoft.com/office/word/2010/wordml" w:rsidP="732C63BF" w14:paraId="72A3D3EC" wp14:textId="77777777">
      <w:pPr>
        <w:spacing w:before="80" w:after="60"/>
        <w:jc w:val="center"/>
        <w:rPr>
          <w:rFonts w:ascii="Arial" w:hAnsi="Arial" w:eastAsia="Arial" w:cs="Arial"/>
          <w:color w:val="000000" w:themeColor="text1" w:themeTint="FF" w:themeShade="FF"/>
        </w:rPr>
      </w:pPr>
      <w:r w:rsidR="732C63BF">
        <w:drawing>
          <wp:inline xmlns:wp14="http://schemas.microsoft.com/office/word/2010/wordprocessingDrawing" wp14:editId="10F52EDA" wp14:anchorId="678A608E">
            <wp:extent cx="5806440" cy="3272312"/>
            <wp:effectExtent l="0" t="0" r="0" b="0"/>
            <wp:docPr id="4" name="Picture 4" descr="Diversion Scenario dashboard for a Jebel Ali disruption showing selected-port KPIs, Salalah as the recommended alternative, top-five readiness ranking and eligible-port table." title="Diversion Scenario dashboard for a Jebel Ali disruption showing selected-port KPIs, Salalah as the recommended alternative, top-five readiness ranking and eligible-port t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03_Diversion_Scenario.png"/>
                    <pic:cNvPicPr/>
                  </pic:nvPicPr>
                  <pic:blipFill>
                    <a:blip xmlns:r="http://schemas.openxmlformats.org/officeDocument/2006/relationships" r:embed="rId14"/>
                    <a:stretch>
                      <a:fillRect/>
                    </a:stretch>
                  </pic:blipFill>
                  <pic:spPr>
                    <a:xfrm>
                      <a:off x="0" y="0"/>
                      <a:ext cx="5806440" cy="3272312"/>
                    </a:xfrm>
                    <a:prstGeom prst="rect"/>
                  </pic:spPr>
                </pic:pic>
              </a:graphicData>
            </a:graphic>
          </wp:inline>
        </w:drawing>
      </w:r>
    </w:p>
    <w:p xmlns:wp14="http://schemas.microsoft.com/office/word/2010/wordml" w:rsidP="732C63BF" w14:paraId="556E482C" wp14:textId="77777777">
      <w:pPr>
        <w:pStyle w:val="Caption"/>
        <w:keepNext w:val="1"/>
        <w:spacing w:before="0" w:after="160"/>
        <w:jc w:val="center"/>
        <w:rPr>
          <w:rFonts w:ascii="Arial" w:hAnsi="Arial" w:eastAsia="Arial" w:cs="Arial"/>
          <w:i w:val="1"/>
          <w:iCs w:val="1"/>
          <w:color w:val="000000" w:themeColor="text1" w:themeTint="FF" w:themeShade="FF"/>
          <w:sz w:val="17"/>
          <w:szCs w:val="17"/>
        </w:rPr>
      </w:pPr>
      <w:r w:rsidRPr="732C63BF" w:rsidR="732C63BF">
        <w:rPr>
          <w:rFonts w:ascii="Arial" w:hAnsi="Arial" w:eastAsia="Arial" w:cs="Arial"/>
          <w:i w:val="1"/>
          <w:iCs w:val="1"/>
          <w:color w:val="000000" w:themeColor="text1" w:themeTint="FF" w:themeShade="FF"/>
          <w:sz w:val="17"/>
          <w:szCs w:val="17"/>
        </w:rPr>
        <w:t>Figure 4. Diversion scenario - weighted readiness screen and eligible alternatives.</w:t>
      </w:r>
    </w:p>
    <w:p xmlns:wp14="http://schemas.microsoft.com/office/word/2010/wordml" w:rsidP="732C63BF" w14:paraId="47655ECE" wp14:textId="77777777">
      <w:pPr>
        <w:spacing w:before="100" w:after="40"/>
        <w:rPr>
          <w:rFonts w:ascii="Arial" w:hAnsi="Arial" w:eastAsia="Arial" w:cs="Arial"/>
          <w:b w:val="1"/>
          <w:bCs w:val="1"/>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Control point</w:t>
      </w:r>
    </w:p>
    <w:p xmlns:wp14="http://schemas.microsoft.com/office/word/2010/wordml" w:rsidP="732C63BF" w14:paraId="5FE152DC" wp14:textId="77777777">
      <w:pPr>
        <w:keepNext w:val="0"/>
        <w:spacing w:after="8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Before any diversion decision, the shortlist must be tested for spare capacity, sailing distance, service coverage, cargo compatibility, customs, inland transport and total cost.</w:t>
      </w:r>
    </w:p>
    <w:p xmlns:wp14="http://schemas.microsoft.com/office/word/2010/wordml" w:rsidP="732C63BF" w14:paraId="0D0B940D"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09911311" wp14:textId="77777777">
      <w:pPr>
        <w:pStyle w:val="Normal"/>
        <w:suppressLineNumbers w:val="0"/>
        <w:bidi w:val="0"/>
        <w:spacing w:before="0" w:beforeAutospacing="off" w:after="100" w:afterAutospacing="off" w:line="264" w:lineRule="auto"/>
        <w:ind w:left="0" w:right="0"/>
        <w:jc w:val="left"/>
        <w:rPr>
          <w:rFonts w:ascii="Arial" w:hAnsi="Arial" w:eastAsia="Arial" w:cs="Arial"/>
          <w:b w:val="1"/>
          <w:bCs w:val="1"/>
          <w:color w:val="000000" w:themeColor="text1" w:themeTint="FF" w:themeShade="FF"/>
          <w:sz w:val="24"/>
          <w:szCs w:val="24"/>
          <w:lang w:eastAsia="en-US" w:bidi="ar-SA"/>
        </w:rPr>
      </w:pPr>
      <w:r w:rsidRPr="732C63BF" w:rsidR="732C63BF">
        <w:rPr>
          <w:rFonts w:ascii="Arial" w:hAnsi="Arial" w:eastAsia="Arial" w:cs="Arial"/>
          <w:b w:val="1"/>
          <w:bCs w:val="1"/>
          <w:color w:val="000000" w:themeColor="text1" w:themeTint="FF" w:themeShade="FF"/>
          <w:sz w:val="24"/>
          <w:szCs w:val="24"/>
          <w:lang w:eastAsia="en-US" w:bidi="ar-SA"/>
        </w:rPr>
        <w:t>DRILLTHROUGH AND EXPLAINABILITY</w:t>
      </w:r>
    </w:p>
    <w:p xmlns:wp14="http://schemas.microsoft.com/office/word/2010/wordml" w:rsidP="732C63BF" w14:paraId="44D91160" wp14:textId="77777777">
      <w:pPr>
        <w:pStyle w:val="Heading1"/>
        <w:keepNext w:val="1"/>
        <w:suppressLineNumbers w:val="0"/>
        <w:bidi w:val="0"/>
        <w:spacing w:before="240" w:beforeAutospacing="off" w:after="120" w:afterAutospacing="off" w:line="264" w:lineRule="auto"/>
        <w:ind w:left="0" w:right="0"/>
        <w:jc w:val="left"/>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Salalah combines the strongest current score with comparatively low volatility</w:t>
      </w:r>
    </w:p>
    <w:p xmlns:wp14="http://schemas.microsoft.com/office/word/2010/wordml" w:rsidP="732C63BF" w14:paraId="0E798764" wp14:textId="173B3D2E">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The </w:t>
      </w:r>
      <w:r w:rsidRPr="732C63BF" w:rsidR="732C63BF">
        <w:rPr>
          <w:rFonts w:ascii="Arial" w:hAnsi="Arial" w:eastAsia="Arial" w:cs="Arial"/>
          <w:color w:val="000000" w:themeColor="text1" w:themeTint="FF" w:themeShade="FF"/>
          <w:sz w:val="21"/>
          <w:szCs w:val="21"/>
        </w:rPr>
        <w:t>drillthrough</w:t>
      </w:r>
      <w:r w:rsidRPr="732C63BF" w:rsidR="732C63BF">
        <w:rPr>
          <w:rFonts w:ascii="Arial" w:hAnsi="Arial" w:eastAsia="Arial" w:cs="Arial"/>
          <w:color w:val="000000" w:themeColor="text1" w:themeTint="FF" w:themeShade="FF"/>
          <w:sz w:val="21"/>
          <w:szCs w:val="21"/>
        </w:rPr>
        <w:t xml:space="preserve"> page provides </w:t>
      </w:r>
      <w:r w:rsidRPr="732C63BF" w:rsidR="2E381D85">
        <w:rPr>
          <w:rFonts w:ascii="Arial" w:hAnsi="Arial" w:eastAsia="Arial" w:cs="Arial"/>
          <w:color w:val="000000" w:themeColor="text1" w:themeTint="FF" w:themeShade="FF"/>
          <w:sz w:val="21"/>
          <w:szCs w:val="21"/>
        </w:rPr>
        <w:t>evidence</w:t>
      </w:r>
      <w:r w:rsidRPr="732C63BF" w:rsidR="732C63BF">
        <w:rPr>
          <w:rFonts w:ascii="Arial" w:hAnsi="Arial" w:eastAsia="Arial" w:cs="Arial"/>
          <w:color w:val="000000" w:themeColor="text1" w:themeTint="FF" w:themeShade="FF"/>
          <w:sz w:val="21"/>
          <w:szCs w:val="21"/>
        </w:rPr>
        <w:t xml:space="preserve"> behind the recommendation. Salalah records a 2025 CPPI score of 135.87, ranks first among the GCC ports in scope and is 101.63 points above its regional peer average. Its volatility measure of 9.58 is materially lower than Jebel Ali's 36.39.</w:t>
      </w:r>
    </w:p>
    <w:p xmlns:wp14="http://schemas.microsoft.com/office/word/2010/wordml" w:rsidP="732C63BF" w14:paraId="355FC2F8" wp14:textId="148DF65F">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Salalah also improved by 18.87 points year on year,</w:t>
      </w:r>
      <w:r w:rsidRPr="732C63BF" w:rsidR="732C63BF">
        <w:rPr>
          <w:rFonts w:ascii="Arial" w:hAnsi="Arial" w:eastAsia="Arial" w:cs="Arial"/>
          <w:color w:val="000000" w:themeColor="text1" w:themeTint="FF" w:themeShade="FF"/>
          <w:sz w:val="21"/>
          <w:szCs w:val="21"/>
        </w:rPr>
        <w:t xml:space="preserve"> although its latest score </w:t>
      </w:r>
      <w:r w:rsidRPr="732C63BF" w:rsidR="732C63BF">
        <w:rPr>
          <w:rFonts w:ascii="Arial" w:hAnsi="Arial" w:eastAsia="Arial" w:cs="Arial"/>
          <w:color w:val="000000" w:themeColor="text1" w:themeTint="FF" w:themeShade="FF"/>
          <w:sz w:val="21"/>
          <w:szCs w:val="21"/>
        </w:rPr>
        <w:t>remains</w:t>
      </w:r>
      <w:r w:rsidRPr="732C63BF" w:rsidR="732C63BF">
        <w:rPr>
          <w:rFonts w:ascii="Arial" w:hAnsi="Arial" w:eastAsia="Arial" w:cs="Arial"/>
          <w:color w:val="000000" w:themeColor="text1" w:themeTint="FF" w:themeShade="FF"/>
          <w:sz w:val="21"/>
          <w:szCs w:val="21"/>
        </w:rPr>
        <w:t xml:space="preserve"> 5.13 points below 2020. Showing the full annual history allows a user to distinguish a strong candidate from a flawless one and </w:t>
      </w:r>
      <w:r w:rsidRPr="732C63BF" w:rsidR="176DD331">
        <w:rPr>
          <w:rFonts w:ascii="Arial" w:hAnsi="Arial" w:eastAsia="Arial" w:cs="Arial"/>
          <w:color w:val="000000" w:themeColor="text1" w:themeTint="FF" w:themeShade="FF"/>
          <w:sz w:val="21"/>
          <w:szCs w:val="21"/>
        </w:rPr>
        <w:t>avoid</w:t>
      </w:r>
      <w:r w:rsidRPr="732C63BF" w:rsidR="732C63BF">
        <w:rPr>
          <w:rFonts w:ascii="Arial" w:hAnsi="Arial" w:eastAsia="Arial" w:cs="Arial"/>
          <w:color w:val="000000" w:themeColor="text1" w:themeTint="FF" w:themeShade="FF"/>
          <w:sz w:val="21"/>
          <w:szCs w:val="21"/>
        </w:rPr>
        <w:t xml:space="preserve"> hiding </w:t>
      </w:r>
      <w:r w:rsidRPr="732C63BF" w:rsidR="1B1DA97F">
        <w:rPr>
          <w:rFonts w:ascii="Arial" w:hAnsi="Arial" w:eastAsia="Arial" w:cs="Arial"/>
          <w:color w:val="000000" w:themeColor="text1" w:themeTint="FF" w:themeShade="FF"/>
          <w:sz w:val="21"/>
          <w:szCs w:val="21"/>
        </w:rPr>
        <w:t>counterevidence</w:t>
      </w:r>
      <w:r w:rsidRPr="732C63BF" w:rsidR="732C63BF">
        <w:rPr>
          <w:rFonts w:ascii="Arial" w:hAnsi="Arial" w:eastAsia="Arial" w:cs="Arial"/>
          <w:color w:val="000000" w:themeColor="text1" w:themeTint="FF" w:themeShade="FF"/>
          <w:sz w:val="21"/>
          <w:szCs w:val="21"/>
        </w:rPr>
        <w:t>.</w:t>
      </w:r>
    </w:p>
    <w:p xmlns:wp14="http://schemas.microsoft.com/office/word/2010/wordml" w:rsidP="732C63BF" w14:paraId="0E27B00A" wp14:textId="77777777">
      <w:pPr>
        <w:spacing w:before="80" w:after="60"/>
        <w:jc w:val="center"/>
        <w:rPr>
          <w:rFonts w:ascii="Arial" w:hAnsi="Arial" w:eastAsia="Arial" w:cs="Arial"/>
          <w:color w:val="000000" w:themeColor="text1" w:themeTint="FF" w:themeShade="FF"/>
        </w:rPr>
      </w:pPr>
      <w:r w:rsidR="732C63BF">
        <w:drawing>
          <wp:inline xmlns:wp14="http://schemas.microsoft.com/office/word/2010/wordprocessingDrawing" wp14:editId="3D459C50" wp14:anchorId="213F45C5">
            <wp:extent cx="5806440" cy="3281901"/>
            <wp:effectExtent l="0" t="0" r="0" b="0"/>
            <wp:docPr id="5" name="Picture 5" descr="Drillthrough dashboard for Salalah showing latest CPPI, GCC rank, point changes, volatility, trend against regional peers and an annual detail table." title="Drillthrough dashboard for Salalah showing latest CPPI, GCC rank, point changes, volatility, trend against regional peers and an annual detail t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04_Port_Drillthrough.png"/>
                    <pic:cNvPicPr/>
                  </pic:nvPicPr>
                  <pic:blipFill>
                    <a:blip xmlns:r="http://schemas.openxmlformats.org/officeDocument/2006/relationships" r:embed="rId15"/>
                    <a:stretch>
                      <a:fillRect/>
                    </a:stretch>
                  </pic:blipFill>
                  <pic:spPr>
                    <a:xfrm>
                      <a:off x="0" y="0"/>
                      <a:ext cx="5806440" cy="3281901"/>
                    </a:xfrm>
                    <a:prstGeom prst="rect"/>
                  </pic:spPr>
                </pic:pic>
              </a:graphicData>
            </a:graphic>
          </wp:inline>
        </w:drawing>
      </w:r>
    </w:p>
    <w:p xmlns:wp14="http://schemas.microsoft.com/office/word/2010/wordml" w:rsidP="732C63BF" w14:paraId="7D1EA101" wp14:textId="77777777">
      <w:pPr>
        <w:pStyle w:val="Caption"/>
        <w:keepNext w:val="1"/>
        <w:spacing w:before="0" w:after="160"/>
        <w:jc w:val="center"/>
        <w:rPr>
          <w:rFonts w:ascii="Arial" w:hAnsi="Arial" w:eastAsia="Arial" w:cs="Arial"/>
          <w:i w:val="1"/>
          <w:iCs w:val="1"/>
          <w:color w:val="000000" w:themeColor="text1" w:themeTint="FF" w:themeShade="FF"/>
          <w:sz w:val="17"/>
          <w:szCs w:val="17"/>
        </w:rPr>
      </w:pPr>
      <w:r w:rsidRPr="732C63BF" w:rsidR="732C63BF">
        <w:rPr>
          <w:rFonts w:ascii="Arial" w:hAnsi="Arial" w:eastAsia="Arial" w:cs="Arial"/>
          <w:i w:val="1"/>
          <w:iCs w:val="1"/>
          <w:color w:val="000000" w:themeColor="text1" w:themeTint="FF" w:themeShade="FF"/>
          <w:sz w:val="17"/>
          <w:szCs w:val="17"/>
        </w:rPr>
        <w:t>Figure 5. Port drillthrough - annual performance, GCC rank, peer gap and volatility.</w:t>
      </w:r>
    </w:p>
    <w:p xmlns:wp14="http://schemas.microsoft.com/office/word/2010/wordml" w:rsidP="732C63BF" w14:paraId="41A954D2" wp14:textId="77777777">
      <w:pPr>
        <w:spacing w:before="100" w:after="40"/>
        <w:rPr>
          <w:rFonts w:ascii="Arial" w:hAnsi="Arial" w:eastAsia="Arial" w:cs="Arial"/>
          <w:b w:val="1"/>
          <w:bCs w:val="1"/>
          <w:color w:val="000000" w:themeColor="text1" w:themeTint="FF" w:themeShade="FF"/>
          <w:sz w:val="21"/>
          <w:szCs w:val="21"/>
        </w:rPr>
      </w:pPr>
      <w:r w:rsidRPr="732C63BF" w:rsidR="732C63BF">
        <w:rPr>
          <w:rFonts w:ascii="Arial" w:hAnsi="Arial" w:eastAsia="Arial" w:cs="Arial"/>
          <w:b w:val="1"/>
          <w:bCs w:val="1"/>
          <w:color w:val="000000" w:themeColor="text1" w:themeTint="FF" w:themeShade="FF"/>
          <w:sz w:val="21"/>
          <w:szCs w:val="21"/>
        </w:rPr>
        <w:t>User experience</w:t>
      </w:r>
    </w:p>
    <w:p xmlns:wp14="http://schemas.microsoft.com/office/word/2010/wordml" w:rsidP="732C63BF" w14:paraId="3853EF8A" wp14:textId="629BC65C">
      <w:pPr>
        <w:keepNext w:val="0"/>
        <w:spacing w:after="8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Right</w:t>
      </w:r>
      <w:r w:rsidRPr="732C63BF" w:rsidR="2C39BFD4">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click </w:t>
      </w:r>
      <w:r w:rsidRPr="732C63BF" w:rsidR="732C63BF">
        <w:rPr>
          <w:rFonts w:ascii="Arial" w:hAnsi="Arial" w:eastAsia="Arial" w:cs="Arial"/>
          <w:color w:val="000000" w:themeColor="text1" w:themeTint="FF" w:themeShade="FF"/>
          <w:sz w:val="21"/>
          <w:szCs w:val="21"/>
        </w:rPr>
        <w:t>drillthrough</w:t>
      </w:r>
      <w:r w:rsidRPr="732C63BF" w:rsidR="732C63BF">
        <w:rPr>
          <w:rFonts w:ascii="Arial" w:hAnsi="Arial" w:eastAsia="Arial" w:cs="Arial"/>
          <w:color w:val="000000" w:themeColor="text1" w:themeTint="FF" w:themeShade="FF"/>
          <w:sz w:val="21"/>
          <w:szCs w:val="21"/>
        </w:rPr>
        <w:t xml:space="preserve"> keeps the overview uncluttered while giving analysts and managers a consistent route from a ranking to the supporting port history. </w:t>
      </w:r>
      <w:r w:rsidRPr="732C63BF" w:rsidR="69F2383E">
        <w:rPr>
          <w:rFonts w:ascii="Arial" w:hAnsi="Arial" w:eastAsia="Arial" w:cs="Arial"/>
          <w:color w:val="000000" w:themeColor="text1" w:themeTint="FF" w:themeShade="FF"/>
          <w:sz w:val="21"/>
          <w:szCs w:val="21"/>
        </w:rPr>
        <w:t>The back</w:t>
      </w:r>
      <w:r w:rsidRPr="732C63BF" w:rsidR="732C63BF">
        <w:rPr>
          <w:rFonts w:ascii="Arial" w:hAnsi="Arial" w:eastAsia="Arial" w:cs="Arial"/>
          <w:color w:val="000000" w:themeColor="text1" w:themeTint="FF" w:themeShade="FF"/>
          <w:sz w:val="21"/>
          <w:szCs w:val="21"/>
        </w:rPr>
        <w:t xml:space="preserve"> button returns the user to the originating page.</w:t>
      </w:r>
    </w:p>
    <w:p xmlns:wp14="http://schemas.microsoft.com/office/word/2010/wordml" w:rsidP="732C63BF" w14:paraId="60061E4C"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7A01023A" wp14:textId="77777777">
      <w:pPr>
        <w:spacing w:before="0" w:after="100"/>
        <w:rPr>
          <w:rFonts w:ascii="Arial" w:hAnsi="Arial" w:eastAsia="Arial" w:cs="Arial"/>
          <w:b w:val="1"/>
          <w:bCs w:val="1"/>
          <w:color w:val="000000" w:themeColor="text1" w:themeTint="FF" w:themeShade="FF"/>
          <w:sz w:val="24"/>
          <w:szCs w:val="24"/>
          <w:lang w:eastAsia="en-US" w:bidi="ar-SA"/>
        </w:rPr>
      </w:pPr>
      <w:r w:rsidRPr="732C63BF" w:rsidR="732C63BF">
        <w:rPr>
          <w:rFonts w:ascii="Arial" w:hAnsi="Arial" w:eastAsia="Arial" w:cs="Arial"/>
          <w:b w:val="1"/>
          <w:bCs w:val="1"/>
          <w:color w:val="000000" w:themeColor="text1" w:themeTint="FF" w:themeShade="FF"/>
          <w:sz w:val="24"/>
          <w:szCs w:val="24"/>
          <w:lang w:eastAsia="en-US" w:bidi="ar-SA"/>
        </w:rPr>
        <w:t>TECHNICAL IMPLEMENTATION</w:t>
      </w:r>
    </w:p>
    <w:p xmlns:wp14="http://schemas.microsoft.com/office/word/2010/wordml" w:rsidP="732C63BF" w14:paraId="0B4FFEEC" wp14:textId="77777777">
      <w:pPr>
        <w:pStyle w:val="Heading1"/>
        <w:keepNext w:val="1"/>
        <w:suppressLineNumbers w:val="0"/>
        <w:bidi w:val="0"/>
        <w:spacing w:before="240" w:beforeAutospacing="off" w:after="120" w:afterAutospacing="off" w:line="264" w:lineRule="auto"/>
        <w:ind w:left="0" w:right="0"/>
        <w:jc w:val="left"/>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solution uses context-aware measures and clear metric definitions</w:t>
      </w:r>
    </w:p>
    <w:p xmlns:wp14="http://schemas.microsoft.com/office/word/2010/wordml" w:rsidP="732C63BF" w14:paraId="170280FE" wp14:textId="7DFC6001">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Power Query handles reshaping, data typing, port </w:t>
      </w:r>
      <w:r w:rsidRPr="732C63BF" w:rsidR="42CDBBF1">
        <w:rPr>
          <w:rFonts w:ascii="Arial" w:hAnsi="Arial" w:eastAsia="Arial" w:cs="Arial"/>
          <w:color w:val="000000" w:themeColor="text1" w:themeTint="FF" w:themeShade="FF"/>
          <w:sz w:val="21"/>
          <w:szCs w:val="21"/>
        </w:rPr>
        <w:t>keys,</w:t>
      </w:r>
      <w:r w:rsidRPr="732C63BF" w:rsidR="732C63BF">
        <w:rPr>
          <w:rFonts w:ascii="Arial" w:hAnsi="Arial" w:eastAsia="Arial" w:cs="Arial"/>
          <w:color w:val="000000" w:themeColor="text1" w:themeTint="FF" w:themeShade="FF"/>
          <w:sz w:val="21"/>
          <w:szCs w:val="21"/>
        </w:rPr>
        <w:t xml:space="preserve"> and the GCC scope. DAX measures respond to year, port and scenario selections while preserving the comparison population required for ranks and peer averages. The report uses dynamic filters, conditional </w:t>
      </w:r>
      <w:r w:rsidRPr="732C63BF" w:rsidR="388FA942">
        <w:rPr>
          <w:rFonts w:ascii="Arial" w:hAnsi="Arial" w:eastAsia="Arial" w:cs="Arial"/>
          <w:color w:val="000000" w:themeColor="text1" w:themeTint="FF" w:themeShade="FF"/>
          <w:sz w:val="21"/>
          <w:szCs w:val="21"/>
        </w:rPr>
        <w:t>color</w:t>
      </w:r>
      <w:r w:rsidRPr="732C63BF" w:rsidR="732C63BF">
        <w:rPr>
          <w:rFonts w:ascii="Arial" w:hAnsi="Arial" w:eastAsia="Arial" w:cs="Arial"/>
          <w:color w:val="000000" w:themeColor="text1" w:themeTint="FF" w:themeShade="FF"/>
          <w:sz w:val="21"/>
          <w:szCs w:val="21"/>
        </w:rPr>
        <w:t xml:space="preserve"> for negative peer gaps, sorted ranking </w:t>
      </w:r>
      <w:r w:rsidRPr="732C63BF" w:rsidR="61992C3F">
        <w:rPr>
          <w:rFonts w:ascii="Arial" w:hAnsi="Arial" w:eastAsia="Arial" w:cs="Arial"/>
          <w:color w:val="000000" w:themeColor="text1" w:themeTint="FF" w:themeShade="FF"/>
          <w:sz w:val="21"/>
          <w:szCs w:val="21"/>
        </w:rPr>
        <w:t>visuals,</w:t>
      </w:r>
      <w:r w:rsidRPr="732C63BF" w:rsidR="732C63BF">
        <w:rPr>
          <w:rFonts w:ascii="Arial" w:hAnsi="Arial" w:eastAsia="Arial" w:cs="Arial"/>
          <w:color w:val="000000" w:themeColor="text1" w:themeTint="FF" w:themeShade="FF"/>
          <w:sz w:val="21"/>
          <w:szCs w:val="21"/>
        </w:rPr>
        <w:t xml:space="preserve"> and a hidden </w:t>
      </w:r>
      <w:r w:rsidRPr="732C63BF" w:rsidR="732C63BF">
        <w:rPr>
          <w:rFonts w:ascii="Arial" w:hAnsi="Arial" w:eastAsia="Arial" w:cs="Arial"/>
          <w:color w:val="000000" w:themeColor="text1" w:themeTint="FF" w:themeShade="FF"/>
          <w:sz w:val="21"/>
          <w:szCs w:val="21"/>
        </w:rPr>
        <w:t>drillthrough</w:t>
      </w:r>
      <w:r w:rsidRPr="732C63BF" w:rsidR="732C63BF">
        <w:rPr>
          <w:rFonts w:ascii="Arial" w:hAnsi="Arial" w:eastAsia="Arial" w:cs="Arial"/>
          <w:color w:val="000000" w:themeColor="text1" w:themeTint="FF" w:themeShade="FF"/>
          <w:sz w:val="21"/>
          <w:szCs w:val="21"/>
        </w:rPr>
        <w:t xml:space="preserve"> page.</w:t>
      </w:r>
    </w:p>
    <w:p xmlns:wp14="http://schemas.microsoft.com/office/word/2010/wordml" w:rsidP="732C63BF" w14:paraId="68A44BA3" wp14:textId="77777777">
      <w:pPr>
        <w:pStyle w:val="Heading2"/>
        <w:keepNext w:val="1"/>
        <w:rPr>
          <w:rFonts w:ascii="Arial" w:hAnsi="Arial" w:eastAsia="Arial" w:cs="Arial"/>
          <w:color w:val="000000" w:themeColor="text1" w:themeTint="FF" w:themeShade="FF"/>
        </w:rPr>
      </w:pPr>
      <w:r w:rsidRPr="732C63BF" w:rsidR="732C63BF">
        <w:rPr>
          <w:rFonts w:ascii="Arial" w:hAnsi="Arial" w:eastAsia="Arial" w:cs="Arial"/>
          <w:color w:val="000000" w:themeColor="text1" w:themeTint="FF" w:themeShade="FF"/>
        </w:rPr>
        <w:t>Metric definitions</w:t>
      </w:r>
    </w:p>
    <w:p xmlns:wp14="http://schemas.microsoft.com/office/word/2010/wordml" w:rsidP="732C63BF" w14:paraId="5AD8002F" wp14:textId="77777777">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GCC average CPPI. </w:t>
      </w:r>
      <w:r w:rsidRPr="732C63BF" w:rsidR="732C63BF">
        <w:rPr>
          <w:rFonts w:ascii="Arial" w:hAnsi="Arial" w:eastAsia="Arial" w:cs="Arial"/>
          <w:color w:val="000000" w:themeColor="text1" w:themeTint="FF" w:themeShade="FF"/>
          <w:sz w:val="19"/>
          <w:szCs w:val="19"/>
        </w:rPr>
        <w:t>Unweighted mean of nonblank port scores for the selected year. Tracks regional direction.</w:t>
      </w:r>
    </w:p>
    <w:p xmlns:wp14="http://schemas.microsoft.com/office/word/2010/wordml" w:rsidP="732C63BF" w14:paraId="4732B01A" wp14:textId="0143A31E">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YoY change (pts). </w:t>
      </w:r>
      <w:r w:rsidRPr="732C63BF" w:rsidR="732C63BF">
        <w:rPr>
          <w:rFonts w:ascii="Arial" w:hAnsi="Arial" w:eastAsia="Arial" w:cs="Arial"/>
          <w:color w:val="000000" w:themeColor="text1" w:themeTint="FF" w:themeShade="FF"/>
          <w:sz w:val="19"/>
          <w:szCs w:val="19"/>
        </w:rPr>
        <w:t>Selected</w:t>
      </w:r>
      <w:r w:rsidRPr="732C63BF" w:rsidR="703A59FC">
        <w:rPr>
          <w:rFonts w:ascii="Arial" w:hAnsi="Arial" w:eastAsia="Arial" w:cs="Arial"/>
          <w:color w:val="000000" w:themeColor="text1" w:themeTint="FF" w:themeShade="FF"/>
          <w:sz w:val="19"/>
          <w:szCs w:val="19"/>
        </w:rPr>
        <w:t xml:space="preserve"> </w:t>
      </w:r>
      <w:r w:rsidRPr="732C63BF" w:rsidR="732C63BF">
        <w:rPr>
          <w:rFonts w:ascii="Arial" w:hAnsi="Arial" w:eastAsia="Arial" w:cs="Arial"/>
          <w:color w:val="000000" w:themeColor="text1" w:themeTint="FF" w:themeShade="FF"/>
          <w:sz w:val="19"/>
          <w:szCs w:val="19"/>
        </w:rPr>
        <w:t xml:space="preserve">year CPPI </w:t>
      </w:r>
      <w:r w:rsidRPr="732C63BF" w:rsidR="14D14295">
        <w:rPr>
          <w:rFonts w:ascii="Arial" w:hAnsi="Arial" w:eastAsia="Arial" w:cs="Arial"/>
          <w:color w:val="000000" w:themeColor="text1" w:themeTint="FF" w:themeShade="FF"/>
          <w:sz w:val="19"/>
          <w:szCs w:val="19"/>
        </w:rPr>
        <w:t>less than</w:t>
      </w:r>
      <w:r w:rsidRPr="732C63BF" w:rsidR="732C63BF">
        <w:rPr>
          <w:rFonts w:ascii="Arial" w:hAnsi="Arial" w:eastAsia="Arial" w:cs="Arial"/>
          <w:color w:val="000000" w:themeColor="text1" w:themeTint="FF" w:themeShade="FF"/>
          <w:sz w:val="19"/>
          <w:szCs w:val="19"/>
        </w:rPr>
        <w:t xml:space="preserve"> the </w:t>
      </w:r>
      <w:r w:rsidRPr="732C63BF" w:rsidR="5DC97513">
        <w:rPr>
          <w:rFonts w:ascii="Arial" w:hAnsi="Arial" w:eastAsia="Arial" w:cs="Arial"/>
          <w:color w:val="000000" w:themeColor="text1" w:themeTint="FF" w:themeShade="FF"/>
          <w:sz w:val="19"/>
          <w:szCs w:val="19"/>
        </w:rPr>
        <w:t>previous year</w:t>
      </w:r>
      <w:r w:rsidRPr="732C63BF" w:rsidR="732C63BF">
        <w:rPr>
          <w:rFonts w:ascii="Arial" w:hAnsi="Arial" w:eastAsia="Arial" w:cs="Arial"/>
          <w:color w:val="000000" w:themeColor="text1" w:themeTint="FF" w:themeShade="FF"/>
          <w:sz w:val="19"/>
          <w:szCs w:val="19"/>
        </w:rPr>
        <w:t xml:space="preserve"> score. </w:t>
      </w:r>
      <w:r w:rsidRPr="732C63BF" w:rsidR="7FB166FF">
        <w:rPr>
          <w:rFonts w:ascii="Arial" w:hAnsi="Arial" w:eastAsia="Arial" w:cs="Arial"/>
          <w:color w:val="000000" w:themeColor="text1" w:themeTint="FF" w:themeShade="FF"/>
          <w:sz w:val="19"/>
          <w:szCs w:val="19"/>
        </w:rPr>
        <w:t>Flags for</w:t>
      </w:r>
      <w:r w:rsidRPr="732C63BF" w:rsidR="732C63BF">
        <w:rPr>
          <w:rFonts w:ascii="Arial" w:hAnsi="Arial" w:eastAsia="Arial" w:cs="Arial"/>
          <w:color w:val="000000" w:themeColor="text1" w:themeTint="FF" w:themeShade="FF"/>
          <w:sz w:val="19"/>
          <w:szCs w:val="19"/>
        </w:rPr>
        <w:t xml:space="preserve"> improvement or deterioration.</w:t>
      </w:r>
    </w:p>
    <w:p xmlns:wp14="http://schemas.microsoft.com/office/word/2010/wordml" w:rsidP="732C63BF" w14:paraId="16BB2F2B" wp14:textId="37AAC335">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Change since 2020 (pts). </w:t>
      </w:r>
      <w:r w:rsidRPr="732C63BF" w:rsidR="0BF81BF9">
        <w:rPr>
          <w:rFonts w:ascii="Arial" w:hAnsi="Arial" w:eastAsia="Arial" w:cs="Arial"/>
          <w:color w:val="000000" w:themeColor="text1" w:themeTint="FF" w:themeShade="FF"/>
          <w:sz w:val="19"/>
          <w:szCs w:val="19"/>
        </w:rPr>
        <w:t>The latest</w:t>
      </w:r>
      <w:r w:rsidRPr="732C63BF" w:rsidR="732C63BF">
        <w:rPr>
          <w:rFonts w:ascii="Arial" w:hAnsi="Arial" w:eastAsia="Arial" w:cs="Arial"/>
          <w:color w:val="000000" w:themeColor="text1" w:themeTint="FF" w:themeShade="FF"/>
          <w:sz w:val="19"/>
          <w:szCs w:val="19"/>
        </w:rPr>
        <w:t xml:space="preserve">/selected score </w:t>
      </w:r>
      <w:r w:rsidRPr="732C63BF" w:rsidR="006D3D11">
        <w:rPr>
          <w:rFonts w:ascii="Arial" w:hAnsi="Arial" w:eastAsia="Arial" w:cs="Arial"/>
          <w:color w:val="000000" w:themeColor="text1" w:themeTint="FF" w:themeShade="FF"/>
          <w:sz w:val="19"/>
          <w:szCs w:val="19"/>
        </w:rPr>
        <w:t>is less</w:t>
      </w:r>
      <w:r w:rsidRPr="732C63BF" w:rsidR="732C63BF">
        <w:rPr>
          <w:rFonts w:ascii="Arial" w:hAnsi="Arial" w:eastAsia="Arial" w:cs="Arial"/>
          <w:color w:val="000000" w:themeColor="text1" w:themeTint="FF" w:themeShade="FF"/>
          <w:sz w:val="19"/>
          <w:szCs w:val="19"/>
        </w:rPr>
        <w:t xml:space="preserve"> th</w:t>
      </w:r>
      <w:r w:rsidRPr="732C63BF" w:rsidR="04C7B460">
        <w:rPr>
          <w:rFonts w:ascii="Arial" w:hAnsi="Arial" w:eastAsia="Arial" w:cs="Arial"/>
          <w:color w:val="000000" w:themeColor="text1" w:themeTint="FF" w:themeShade="FF"/>
          <w:sz w:val="19"/>
          <w:szCs w:val="19"/>
        </w:rPr>
        <w:t>an</w:t>
      </w:r>
      <w:r w:rsidRPr="732C63BF" w:rsidR="732C63BF">
        <w:rPr>
          <w:rFonts w:ascii="Arial" w:hAnsi="Arial" w:eastAsia="Arial" w:cs="Arial"/>
          <w:color w:val="000000" w:themeColor="text1" w:themeTint="FF" w:themeShade="FF"/>
          <w:sz w:val="19"/>
          <w:szCs w:val="19"/>
        </w:rPr>
        <w:t xml:space="preserve"> </w:t>
      </w:r>
      <w:r w:rsidRPr="732C63BF" w:rsidR="732C63BF">
        <w:rPr>
          <w:rFonts w:ascii="Arial" w:hAnsi="Arial" w:eastAsia="Arial" w:cs="Arial"/>
          <w:color w:val="000000" w:themeColor="text1" w:themeTint="FF" w:themeShade="FF"/>
          <w:sz w:val="19"/>
          <w:szCs w:val="19"/>
        </w:rPr>
        <w:t>2020</w:t>
      </w:r>
      <w:r w:rsidRPr="732C63BF" w:rsidR="732C63BF">
        <w:rPr>
          <w:rFonts w:ascii="Arial" w:hAnsi="Arial" w:eastAsia="Arial" w:cs="Arial"/>
          <w:color w:val="000000" w:themeColor="text1" w:themeTint="FF" w:themeShade="FF"/>
          <w:sz w:val="19"/>
          <w:szCs w:val="19"/>
        </w:rPr>
        <w:t xml:space="preserve"> baseline. Shows longer</w:t>
      </w:r>
      <w:r w:rsidRPr="732C63BF" w:rsidR="2925A761">
        <w:rPr>
          <w:rFonts w:ascii="Arial" w:hAnsi="Arial" w:eastAsia="Arial" w:cs="Arial"/>
          <w:color w:val="000000" w:themeColor="text1" w:themeTint="FF" w:themeShade="FF"/>
          <w:sz w:val="19"/>
          <w:szCs w:val="19"/>
        </w:rPr>
        <w:t xml:space="preserve"> </w:t>
      </w:r>
      <w:r w:rsidRPr="732C63BF" w:rsidR="732C63BF">
        <w:rPr>
          <w:rFonts w:ascii="Arial" w:hAnsi="Arial" w:eastAsia="Arial" w:cs="Arial"/>
          <w:color w:val="000000" w:themeColor="text1" w:themeTint="FF" w:themeShade="FF"/>
          <w:sz w:val="19"/>
          <w:szCs w:val="19"/>
        </w:rPr>
        <w:t>term recovery or decline.</w:t>
      </w:r>
    </w:p>
    <w:p xmlns:wp14="http://schemas.microsoft.com/office/word/2010/wordml" w:rsidP="732C63BF" w14:paraId="561F060B" wp14:textId="77777777">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CPPI volatility. </w:t>
      </w:r>
      <w:r w:rsidRPr="732C63BF" w:rsidR="732C63BF">
        <w:rPr>
          <w:rFonts w:ascii="Arial" w:hAnsi="Arial" w:eastAsia="Arial" w:cs="Arial"/>
          <w:color w:val="000000" w:themeColor="text1" w:themeTint="FF" w:themeShade="FF"/>
          <w:sz w:val="19"/>
          <w:szCs w:val="19"/>
        </w:rPr>
        <w:t>Sample standard deviation of available annual CPPI scores, 2020-2025. Separates stable from erratic performance.</w:t>
      </w:r>
    </w:p>
    <w:p xmlns:wp14="http://schemas.microsoft.com/office/word/2010/wordml" w:rsidP="732C63BF" w14:paraId="4F0E32FE" wp14:textId="4DA86E14">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Regional peer average. </w:t>
      </w:r>
      <w:r w:rsidRPr="732C63BF" w:rsidR="732C63BF">
        <w:rPr>
          <w:rFonts w:ascii="Arial" w:hAnsi="Arial" w:eastAsia="Arial" w:cs="Arial"/>
          <w:color w:val="000000" w:themeColor="text1" w:themeTint="FF" w:themeShade="FF"/>
          <w:sz w:val="19"/>
          <w:szCs w:val="19"/>
        </w:rPr>
        <w:t xml:space="preserve">Average for the same </w:t>
      </w:r>
      <w:r w:rsidRPr="732C63BF" w:rsidR="06DF3B09">
        <w:rPr>
          <w:rFonts w:ascii="Arial" w:hAnsi="Arial" w:eastAsia="Arial" w:cs="Arial"/>
          <w:color w:val="000000" w:themeColor="text1" w:themeTint="FF" w:themeShade="FF"/>
          <w:sz w:val="19"/>
          <w:szCs w:val="19"/>
        </w:rPr>
        <w:t>maritime service</w:t>
      </w:r>
      <w:r w:rsidRPr="732C63BF" w:rsidR="732C63BF">
        <w:rPr>
          <w:rFonts w:ascii="Arial" w:hAnsi="Arial" w:eastAsia="Arial" w:cs="Arial"/>
          <w:color w:val="000000" w:themeColor="text1" w:themeTint="FF" w:themeShade="FF"/>
          <w:sz w:val="19"/>
          <w:szCs w:val="19"/>
        </w:rPr>
        <w:t xml:space="preserve"> region, excluding the selected port. Provides a context</w:t>
      </w:r>
      <w:r w:rsidRPr="732C63BF" w:rsidR="566E6305">
        <w:rPr>
          <w:rFonts w:ascii="Arial" w:hAnsi="Arial" w:eastAsia="Arial" w:cs="Arial"/>
          <w:color w:val="000000" w:themeColor="text1" w:themeTint="FF" w:themeShade="FF"/>
          <w:sz w:val="19"/>
          <w:szCs w:val="19"/>
        </w:rPr>
        <w:t xml:space="preserve"> </w:t>
      </w:r>
      <w:r w:rsidRPr="732C63BF" w:rsidR="732C63BF">
        <w:rPr>
          <w:rFonts w:ascii="Arial" w:hAnsi="Arial" w:eastAsia="Arial" w:cs="Arial"/>
          <w:color w:val="000000" w:themeColor="text1" w:themeTint="FF" w:themeShade="FF"/>
          <w:sz w:val="19"/>
          <w:szCs w:val="19"/>
        </w:rPr>
        <w:t>aware benchmark.</w:t>
      </w:r>
    </w:p>
    <w:p xmlns:wp14="http://schemas.microsoft.com/office/word/2010/wordml" w:rsidP="732C63BF" w14:paraId="70F557CE" wp14:textId="77777777">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Gap vs peer (pts). </w:t>
      </w:r>
      <w:r w:rsidRPr="732C63BF" w:rsidR="732C63BF">
        <w:rPr>
          <w:rFonts w:ascii="Arial" w:hAnsi="Arial" w:eastAsia="Arial" w:cs="Arial"/>
          <w:color w:val="000000" w:themeColor="text1" w:themeTint="FF" w:themeShade="FF"/>
          <w:sz w:val="19"/>
          <w:szCs w:val="19"/>
        </w:rPr>
        <w:t>Selected-port score less its regional peer average. Quantifies relative position.</w:t>
      </w:r>
    </w:p>
    <w:p xmlns:wp14="http://schemas.microsoft.com/office/word/2010/wordml" w:rsidP="732C63BF" w14:paraId="2864A7A8" wp14:textId="320A450F">
      <w:pPr>
        <w:spacing w:after="80" w:line="252" w:lineRule="auto"/>
        <w:rPr>
          <w:rFonts w:ascii="Arial" w:hAnsi="Arial" w:eastAsia="Arial" w:cs="Arial"/>
          <w:color w:val="000000" w:themeColor="text1" w:themeTint="FF" w:themeShade="FF"/>
          <w:sz w:val="19"/>
          <w:szCs w:val="19"/>
        </w:rPr>
      </w:pPr>
      <w:r w:rsidRPr="732C63BF" w:rsidR="732C63BF">
        <w:rPr>
          <w:rFonts w:ascii="Arial" w:hAnsi="Arial" w:eastAsia="Arial" w:cs="Arial"/>
          <w:b w:val="1"/>
          <w:bCs w:val="1"/>
          <w:color w:val="000000" w:themeColor="text1" w:themeTint="FF" w:themeShade="FF"/>
          <w:sz w:val="19"/>
          <w:szCs w:val="19"/>
        </w:rPr>
        <w:t xml:space="preserve">Readiness score. </w:t>
      </w:r>
      <w:r w:rsidRPr="732C63BF" w:rsidR="732C63BF">
        <w:rPr>
          <w:rFonts w:ascii="Arial" w:hAnsi="Arial" w:eastAsia="Arial" w:cs="Arial"/>
          <w:color w:val="000000" w:themeColor="text1" w:themeTint="FF" w:themeShade="FF"/>
          <w:sz w:val="19"/>
          <w:szCs w:val="19"/>
        </w:rPr>
        <w:t xml:space="preserve">Weighted screen: latest CPPI 50%, stability 30%, recent trend 20%. </w:t>
      </w:r>
      <w:r w:rsidRPr="732C63BF" w:rsidR="366239FC">
        <w:rPr>
          <w:rFonts w:ascii="Arial" w:hAnsi="Arial" w:eastAsia="Arial" w:cs="Arial"/>
          <w:color w:val="000000" w:themeColor="text1" w:themeTint="FF" w:themeShade="FF"/>
          <w:sz w:val="19"/>
          <w:szCs w:val="19"/>
        </w:rPr>
        <w:t>Prioritizes</w:t>
      </w:r>
      <w:r w:rsidRPr="732C63BF" w:rsidR="732C63BF">
        <w:rPr>
          <w:rFonts w:ascii="Arial" w:hAnsi="Arial" w:eastAsia="Arial" w:cs="Arial"/>
          <w:color w:val="000000" w:themeColor="text1" w:themeTint="FF" w:themeShade="FF"/>
          <w:sz w:val="19"/>
          <w:szCs w:val="19"/>
        </w:rPr>
        <w:t xml:space="preserve"> alternatives for validation.</w:t>
      </w:r>
    </w:p>
    <w:p xmlns:wp14="http://schemas.microsoft.com/office/word/2010/wordml" w:rsidP="732C63BF" w14:paraId="2A0994CA" wp14:textId="77777777">
      <w:pPr>
        <w:pStyle w:val="Heading2"/>
        <w:keepNext w:val="1"/>
        <w:rPr>
          <w:rFonts w:ascii="Arial" w:hAnsi="Arial" w:eastAsia="Arial" w:cs="Arial"/>
          <w:color w:val="000000" w:themeColor="text1" w:themeTint="FF" w:themeShade="FF"/>
        </w:rPr>
      </w:pPr>
      <w:r w:rsidRPr="732C63BF" w:rsidR="732C63BF">
        <w:rPr>
          <w:rFonts w:ascii="Arial" w:hAnsi="Arial" w:eastAsia="Arial" w:cs="Arial"/>
          <w:color w:val="000000" w:themeColor="text1" w:themeTint="FF" w:themeShade="FF"/>
        </w:rPr>
        <w:t>Quality assurance</w:t>
      </w:r>
    </w:p>
    <w:p xmlns:wp14="http://schemas.microsoft.com/office/word/2010/wordml" w:rsidP="732C63BF" w14:paraId="370050C9"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Reconciled the 2025 GCC average to 55.98 across the 13 ports with a reported current score.</w:t>
      </w:r>
    </w:p>
    <w:p xmlns:wp14="http://schemas.microsoft.com/office/word/2010/wordml" w:rsidP="732C63BF" w14:paraId="4A79760F" wp14:textId="5E4DBDF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Spot</w:t>
      </w:r>
      <w:r w:rsidRPr="732C63BF" w:rsidR="77D372FD">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checked year-on-year changes, changes since 2020, peer </w:t>
      </w:r>
      <w:r w:rsidRPr="732C63BF" w:rsidR="7012EA51">
        <w:rPr>
          <w:rFonts w:ascii="Arial" w:hAnsi="Arial" w:eastAsia="Arial" w:cs="Arial"/>
          <w:color w:val="000000" w:themeColor="text1" w:themeTint="FF" w:themeShade="FF"/>
          <w:sz w:val="21"/>
          <w:szCs w:val="21"/>
        </w:rPr>
        <w:t>gaps,</w:t>
      </w:r>
      <w:r w:rsidRPr="732C63BF" w:rsidR="732C63BF">
        <w:rPr>
          <w:rFonts w:ascii="Arial" w:hAnsi="Arial" w:eastAsia="Arial" w:cs="Arial"/>
          <w:color w:val="000000" w:themeColor="text1" w:themeTint="FF" w:themeShade="FF"/>
          <w:sz w:val="21"/>
          <w:szCs w:val="21"/>
        </w:rPr>
        <w:t xml:space="preserve"> and sample volatility for Jebel Ali and Salalah.</w:t>
      </w:r>
    </w:p>
    <w:p xmlns:wp14="http://schemas.microsoft.com/office/word/2010/wordml" w:rsidP="732C63BF" w14:paraId="3E6BA03C" wp14:textId="20E595F0">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Tested slicer </w:t>
      </w:r>
      <w:r w:rsidRPr="732C63BF" w:rsidR="1A920663">
        <w:rPr>
          <w:rFonts w:ascii="Arial" w:hAnsi="Arial" w:eastAsia="Arial" w:cs="Arial"/>
          <w:color w:val="000000" w:themeColor="text1" w:themeTint="FF" w:themeShade="FF"/>
          <w:sz w:val="21"/>
          <w:szCs w:val="21"/>
        </w:rPr>
        <w:t>behavior</w:t>
      </w:r>
      <w:r w:rsidRPr="732C63BF" w:rsidR="732C63BF">
        <w:rPr>
          <w:rFonts w:ascii="Arial" w:hAnsi="Arial" w:eastAsia="Arial" w:cs="Arial"/>
          <w:color w:val="000000" w:themeColor="text1" w:themeTint="FF" w:themeShade="FF"/>
          <w:sz w:val="21"/>
          <w:szCs w:val="21"/>
        </w:rPr>
        <w:t>, ranking order, selected</w:t>
      </w:r>
      <w:r w:rsidRPr="732C63BF" w:rsidR="1CDD3E52">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port exclusion, </w:t>
      </w:r>
      <w:r w:rsidRPr="732C63BF" w:rsidR="732C63BF">
        <w:rPr>
          <w:rFonts w:ascii="Arial" w:hAnsi="Arial" w:eastAsia="Arial" w:cs="Arial"/>
          <w:color w:val="000000" w:themeColor="text1" w:themeTint="FF" w:themeShade="FF"/>
          <w:sz w:val="21"/>
          <w:szCs w:val="21"/>
        </w:rPr>
        <w:t>drillthrough</w:t>
      </w:r>
      <w:r w:rsidRPr="732C63BF" w:rsidR="732C63BF">
        <w:rPr>
          <w:rFonts w:ascii="Arial" w:hAnsi="Arial" w:eastAsia="Arial" w:cs="Arial"/>
          <w:color w:val="000000" w:themeColor="text1" w:themeTint="FF" w:themeShade="FF"/>
          <w:sz w:val="21"/>
          <w:szCs w:val="21"/>
        </w:rPr>
        <w:t xml:space="preserve"> context and back</w:t>
      </w:r>
      <w:r w:rsidRPr="732C63BF" w:rsidR="688D39F9">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button navigation.</w:t>
      </w:r>
    </w:p>
    <w:p xmlns:wp14="http://schemas.microsoft.com/office/word/2010/wordml" w:rsidP="732C63BF" w14:paraId="13BB5CF9" wp14:textId="4D624B76">
      <w:pPr>
        <w:numPr>
          <w:ilvl w:val="0"/>
          <w:numId w:val="10"/>
        </w:numPr>
        <w:rPr>
          <w:rFonts w:ascii="Arial" w:hAnsi="Arial" w:eastAsia="Arial" w:cs="Arial"/>
          <w:color w:val="000000" w:themeColor="text1" w:themeTint="FF" w:themeShade="FF"/>
          <w:sz w:val="21"/>
          <w:szCs w:val="21"/>
        </w:rPr>
      </w:pPr>
      <w:r w:rsidRPr="732C63BF" w:rsidR="1DA25029">
        <w:rPr>
          <w:rFonts w:ascii="Arial" w:hAnsi="Arial" w:eastAsia="Arial" w:cs="Arial"/>
          <w:color w:val="000000" w:themeColor="text1" w:themeTint="FF" w:themeShade="FF"/>
          <w:sz w:val="21"/>
          <w:szCs w:val="21"/>
        </w:rPr>
        <w:t>Standardized</w:t>
      </w:r>
      <w:r w:rsidRPr="732C63BF" w:rsidR="732C63BF">
        <w:rPr>
          <w:rFonts w:ascii="Arial" w:hAnsi="Arial" w:eastAsia="Arial" w:cs="Arial"/>
          <w:color w:val="000000" w:themeColor="text1" w:themeTint="FF" w:themeShade="FF"/>
          <w:sz w:val="21"/>
          <w:szCs w:val="21"/>
        </w:rPr>
        <w:t xml:space="preserve"> point units, decimal precision, </w:t>
      </w:r>
      <w:r w:rsidRPr="732C63BF" w:rsidR="688135B3">
        <w:rPr>
          <w:rFonts w:ascii="Arial" w:hAnsi="Arial" w:eastAsia="Arial" w:cs="Arial"/>
          <w:color w:val="000000" w:themeColor="text1" w:themeTint="FF" w:themeShade="FF"/>
          <w:sz w:val="21"/>
          <w:szCs w:val="21"/>
        </w:rPr>
        <w:t>colors</w:t>
      </w:r>
      <w:r w:rsidRPr="732C63BF" w:rsidR="732C63BF">
        <w:rPr>
          <w:rFonts w:ascii="Arial" w:hAnsi="Arial" w:eastAsia="Arial" w:cs="Arial"/>
          <w:color w:val="000000" w:themeColor="text1" w:themeTint="FF" w:themeShade="FF"/>
          <w:sz w:val="21"/>
          <w:szCs w:val="21"/>
        </w:rPr>
        <w:t xml:space="preserve">, visual </w:t>
      </w:r>
      <w:r w:rsidRPr="732C63BF" w:rsidR="7A4405D9">
        <w:rPr>
          <w:rFonts w:ascii="Arial" w:hAnsi="Arial" w:eastAsia="Arial" w:cs="Arial"/>
          <w:color w:val="000000" w:themeColor="text1" w:themeTint="FF" w:themeShade="FF"/>
          <w:sz w:val="21"/>
          <w:szCs w:val="21"/>
        </w:rPr>
        <w:t>titles,</w:t>
      </w:r>
      <w:r w:rsidRPr="732C63BF" w:rsidR="732C63BF">
        <w:rPr>
          <w:rFonts w:ascii="Arial" w:hAnsi="Arial" w:eastAsia="Arial" w:cs="Arial"/>
          <w:color w:val="000000" w:themeColor="text1" w:themeTint="FF" w:themeShade="FF"/>
          <w:sz w:val="21"/>
          <w:szCs w:val="21"/>
        </w:rPr>
        <w:t xml:space="preserve"> and page navigation across the report.</w:t>
      </w:r>
    </w:p>
    <w:p xmlns:wp14="http://schemas.microsoft.com/office/word/2010/wordml" w:rsidP="732C63BF" w14:paraId="44EAFD9C" wp14:textId="77777777">
      <w:pPr>
        <w:rPr>
          <w:rFonts w:ascii="Arial" w:hAnsi="Arial" w:eastAsia="Arial" w:cs="Arial"/>
          <w:color w:val="000000" w:themeColor="text1" w:themeTint="FF" w:themeShade="FF"/>
        </w:rPr>
      </w:pPr>
      <w:r w:rsidRPr="732C63BF">
        <w:rPr>
          <w:rFonts w:ascii="Arial" w:hAnsi="Arial" w:eastAsia="Arial" w:cs="Arial"/>
          <w:color w:val="000000" w:themeColor="text1" w:themeTint="FF" w:themeShade="FF"/>
        </w:rPr>
        <w:br w:type="page"/>
      </w:r>
    </w:p>
    <w:p xmlns:wp14="http://schemas.microsoft.com/office/word/2010/wordml" w:rsidP="732C63BF" w14:paraId="1E0A44AC" wp14:textId="77777777">
      <w:pPr>
        <w:pStyle w:val="Normal"/>
        <w:suppressLineNumbers w:val="0"/>
        <w:bidi w:val="0"/>
        <w:spacing w:before="0" w:beforeAutospacing="off" w:after="100" w:afterAutospacing="off" w:line="264" w:lineRule="auto"/>
        <w:ind w:left="0" w:right="0"/>
        <w:jc w:val="left"/>
        <w:rPr>
          <w:rFonts w:ascii="Arial" w:hAnsi="Arial" w:eastAsia="Arial" w:cs="Arial"/>
          <w:b w:val="1"/>
          <w:bCs w:val="1"/>
          <w:color w:val="000000" w:themeColor="text1" w:themeTint="FF" w:themeShade="FF"/>
          <w:sz w:val="24"/>
          <w:szCs w:val="24"/>
          <w:lang w:eastAsia="en-US" w:bidi="ar-SA"/>
        </w:rPr>
      </w:pPr>
      <w:r w:rsidRPr="732C63BF" w:rsidR="732C63BF">
        <w:rPr>
          <w:rFonts w:ascii="Arial" w:hAnsi="Arial" w:eastAsia="Arial" w:cs="Arial"/>
          <w:b w:val="1"/>
          <w:bCs w:val="1"/>
          <w:color w:val="000000" w:themeColor="text1" w:themeTint="FF" w:themeShade="FF"/>
          <w:sz w:val="24"/>
          <w:szCs w:val="24"/>
          <w:lang w:eastAsia="en-US" w:bidi="ar-SA"/>
        </w:rPr>
        <w:t>RECOMMENDATIONS AND LIMITATIONS</w:t>
      </w:r>
    </w:p>
    <w:p xmlns:wp14="http://schemas.microsoft.com/office/word/2010/wordml" w:rsidP="732C63BF" w14:paraId="7D2B46D5" wp14:textId="46DB849C">
      <w:pPr>
        <w:pStyle w:val="Heading1"/>
        <w:keepNext w:val="1"/>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Use the report as an early</w:t>
      </w:r>
      <w:r w:rsidRPr="732C63BF" w:rsidR="6F659870">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warning and screening layer, then add operational evidence</w:t>
      </w:r>
    </w:p>
    <w:p xmlns:wp14="http://schemas.microsoft.com/office/word/2010/wordml" w:rsidP="732C63BF" w14:paraId="0B9B4FA5" wp14:textId="631625FE">
      <w:pPr>
        <w:keepNext w:val="0"/>
        <w:spacing w:after="120" w:line="264" w:lineRule="auto"/>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The dashboard is useful for monitoring and shortlisting. It becomes stronger when paired with operational, </w:t>
      </w:r>
      <w:r w:rsidRPr="732C63BF" w:rsidR="1C94A0E5">
        <w:rPr>
          <w:rFonts w:ascii="Arial" w:hAnsi="Arial" w:eastAsia="Arial" w:cs="Arial"/>
          <w:color w:val="000000" w:themeColor="text1" w:themeTint="FF" w:themeShade="FF"/>
          <w:sz w:val="21"/>
          <w:szCs w:val="21"/>
        </w:rPr>
        <w:t>route,</w:t>
      </w:r>
      <w:r w:rsidRPr="732C63BF" w:rsidR="732C63BF">
        <w:rPr>
          <w:rFonts w:ascii="Arial" w:hAnsi="Arial" w:eastAsia="Arial" w:cs="Arial"/>
          <w:color w:val="000000" w:themeColor="text1" w:themeTint="FF" w:themeShade="FF"/>
          <w:sz w:val="21"/>
          <w:szCs w:val="21"/>
        </w:rPr>
        <w:t xml:space="preserve"> and cost data that can confirm whether a high</w:t>
      </w:r>
      <w:r w:rsidRPr="732C63BF" w:rsidR="3DC11B44">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performing port is genuinely </w:t>
      </w:r>
      <w:r w:rsidRPr="732C63BF" w:rsidR="732C63BF">
        <w:rPr>
          <w:rFonts w:ascii="Arial" w:hAnsi="Arial" w:eastAsia="Arial" w:cs="Arial"/>
          <w:color w:val="000000" w:themeColor="text1" w:themeTint="FF" w:themeShade="FF"/>
          <w:sz w:val="21"/>
          <w:szCs w:val="21"/>
        </w:rPr>
        <w:t>viable</w:t>
      </w:r>
      <w:r w:rsidRPr="732C63BF" w:rsidR="732C63BF">
        <w:rPr>
          <w:rFonts w:ascii="Arial" w:hAnsi="Arial" w:eastAsia="Arial" w:cs="Arial"/>
          <w:color w:val="000000" w:themeColor="text1" w:themeTint="FF" w:themeShade="FF"/>
          <w:sz w:val="21"/>
          <w:szCs w:val="21"/>
        </w:rPr>
        <w:t xml:space="preserve"> for a specific shipment profile.</w:t>
      </w:r>
    </w:p>
    <w:p xmlns:wp14="http://schemas.microsoft.com/office/word/2010/wordml" w:rsidP="732C63BF" w14:paraId="3B05BC3C" wp14:textId="77777777">
      <w:pPr>
        <w:pStyle w:val="Heading2"/>
        <w:keepNext w:val="1"/>
        <w:rPr>
          <w:rFonts w:ascii="Arial" w:hAnsi="Arial" w:eastAsia="Arial" w:cs="Arial"/>
          <w:color w:val="000000" w:themeColor="text1" w:themeTint="FF" w:themeShade="FF"/>
        </w:rPr>
      </w:pPr>
      <w:r w:rsidRPr="732C63BF" w:rsidR="732C63BF">
        <w:rPr>
          <w:rFonts w:ascii="Arial" w:hAnsi="Arial" w:eastAsia="Arial" w:cs="Arial"/>
          <w:color w:val="000000" w:themeColor="text1" w:themeTint="FF" w:themeShade="FF"/>
        </w:rPr>
        <w:t>Recommended next steps</w:t>
      </w:r>
    </w:p>
    <w:p xmlns:wp14="http://schemas.microsoft.com/office/word/2010/wordml" w:rsidP="732C63BF" w14:paraId="2BAE0050"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Investigate the drivers behind Dammam's and Shuaiba's 2025 deterioration before the next planning cycle.</w:t>
      </w:r>
    </w:p>
    <w:p xmlns:wp14="http://schemas.microsoft.com/office/word/2010/wordml" w:rsidP="732C63BF" w14:paraId="1E19A99E"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Validate Salalah, Hamad Port and Khalifa Bin Salman Port against capacity, service schedules, cargo constraints, customs, inland connectivity and total landed cost.</w:t>
      </w:r>
    </w:p>
    <w:p xmlns:wp14="http://schemas.microsoft.com/office/word/2010/wordml" w:rsidP="732C63BF" w14:paraId="4A1027DC" wp14:textId="7777777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Add call volumes, berth waiting time, route distance and disruption status to move from performance screening toward operational decision support.</w:t>
      </w:r>
    </w:p>
    <w:p xmlns:wp14="http://schemas.microsoft.com/office/word/2010/wordml" w:rsidP="732C63BF" w14:paraId="7F1EAC94" wp14:textId="1F818295">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Refresh the model with each annual CPPI release and </w:t>
      </w:r>
      <w:r w:rsidRPr="732C63BF" w:rsidR="732C63BF">
        <w:rPr>
          <w:rFonts w:ascii="Arial" w:hAnsi="Arial" w:eastAsia="Arial" w:cs="Arial"/>
          <w:color w:val="000000" w:themeColor="text1" w:themeTint="FF" w:themeShade="FF"/>
          <w:sz w:val="21"/>
          <w:szCs w:val="21"/>
        </w:rPr>
        <w:t>monitor</w:t>
      </w:r>
      <w:r w:rsidRPr="732C63BF" w:rsidR="732C63BF">
        <w:rPr>
          <w:rFonts w:ascii="Arial" w:hAnsi="Arial" w:eastAsia="Arial" w:cs="Arial"/>
          <w:color w:val="000000" w:themeColor="text1" w:themeTint="FF" w:themeShade="FF"/>
          <w:sz w:val="21"/>
          <w:szCs w:val="21"/>
        </w:rPr>
        <w:t xml:space="preserve"> </w:t>
      </w:r>
      <w:r w:rsidRPr="732C63BF" w:rsidR="1E2F406E">
        <w:rPr>
          <w:rFonts w:ascii="Arial" w:hAnsi="Arial" w:eastAsia="Arial" w:cs="Arial"/>
          <w:color w:val="000000" w:themeColor="text1" w:themeTint="FF" w:themeShade="FF"/>
          <w:sz w:val="21"/>
          <w:szCs w:val="21"/>
        </w:rPr>
        <w:t>missing data</w:t>
      </w:r>
      <w:r w:rsidRPr="732C63BF" w:rsidR="732C63BF">
        <w:rPr>
          <w:rFonts w:ascii="Arial" w:hAnsi="Arial" w:eastAsia="Arial" w:cs="Arial"/>
          <w:color w:val="000000" w:themeColor="text1" w:themeTint="FF" w:themeShade="FF"/>
          <w:sz w:val="21"/>
          <w:szCs w:val="21"/>
        </w:rPr>
        <w:t xml:space="preserve"> coverage before comparing year-on-year results.</w:t>
      </w:r>
    </w:p>
    <w:p xmlns:wp14="http://schemas.microsoft.com/office/word/2010/wordml" w:rsidP="732C63BF" w14:paraId="7E534FAF" wp14:textId="77777777">
      <w:pPr>
        <w:pStyle w:val="Heading2"/>
        <w:keepNext w:val="1"/>
        <w:rPr>
          <w:rFonts w:ascii="Arial" w:hAnsi="Arial" w:eastAsia="Arial" w:cs="Arial"/>
          <w:color w:val="000000" w:themeColor="text1" w:themeTint="FF" w:themeShade="FF"/>
        </w:rPr>
      </w:pPr>
      <w:r w:rsidRPr="732C63BF" w:rsidR="732C63BF">
        <w:rPr>
          <w:rFonts w:ascii="Arial" w:hAnsi="Arial" w:eastAsia="Arial" w:cs="Arial"/>
          <w:color w:val="000000" w:themeColor="text1" w:themeTint="FF" w:themeShade="FF"/>
        </w:rPr>
        <w:t>Caveats and assumptions</w:t>
      </w:r>
    </w:p>
    <w:p xmlns:wp14="http://schemas.microsoft.com/office/word/2010/wordml" w:rsidP="732C63BF" w14:paraId="0271BE53" wp14:textId="03CFE917">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CPPI is a port</w:t>
      </w:r>
      <w:r w:rsidRPr="732C63BF" w:rsidR="70DAD2BE">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level benchmark based on vessel time in port. It </w:t>
      </w:r>
      <w:r w:rsidRPr="732C63BF" w:rsidR="732C63BF">
        <w:rPr>
          <w:rFonts w:ascii="Arial" w:hAnsi="Arial" w:eastAsia="Arial" w:cs="Arial"/>
          <w:color w:val="000000" w:themeColor="text1" w:themeTint="FF" w:themeShade="FF"/>
          <w:sz w:val="21"/>
          <w:szCs w:val="21"/>
        </w:rPr>
        <w:t>identifies</w:t>
      </w:r>
      <w:r w:rsidRPr="732C63BF" w:rsidR="732C63BF">
        <w:rPr>
          <w:rFonts w:ascii="Arial" w:hAnsi="Arial" w:eastAsia="Arial" w:cs="Arial"/>
          <w:color w:val="000000" w:themeColor="text1" w:themeTint="FF" w:themeShade="FF"/>
          <w:sz w:val="21"/>
          <w:szCs w:val="21"/>
        </w:rPr>
        <w:t xml:space="preserve"> performance gaps but does not </w:t>
      </w:r>
      <w:r w:rsidRPr="732C63BF" w:rsidR="732C63BF">
        <w:rPr>
          <w:rFonts w:ascii="Arial" w:hAnsi="Arial" w:eastAsia="Arial" w:cs="Arial"/>
          <w:color w:val="000000" w:themeColor="text1" w:themeTint="FF" w:themeShade="FF"/>
          <w:sz w:val="21"/>
          <w:szCs w:val="21"/>
        </w:rPr>
        <w:t>establish</w:t>
      </w:r>
      <w:r w:rsidRPr="732C63BF" w:rsidR="732C63BF">
        <w:rPr>
          <w:rFonts w:ascii="Arial" w:hAnsi="Arial" w:eastAsia="Arial" w:cs="Arial"/>
          <w:color w:val="000000" w:themeColor="text1" w:themeTint="FF" w:themeShade="FF"/>
          <w:sz w:val="21"/>
          <w:szCs w:val="21"/>
        </w:rPr>
        <w:t xml:space="preserve"> their causes.</w:t>
      </w:r>
    </w:p>
    <w:p xmlns:wp14="http://schemas.microsoft.com/office/word/2010/wordml" w:rsidP="732C63BF" w14:paraId="566995B4" wp14:textId="2EE4180F">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External conditions - including route changes, weather, </w:t>
      </w:r>
      <w:r w:rsidRPr="732C63BF" w:rsidR="052D860E">
        <w:rPr>
          <w:rFonts w:ascii="Arial" w:hAnsi="Arial" w:eastAsia="Arial" w:cs="Arial"/>
          <w:color w:val="000000" w:themeColor="text1" w:themeTint="FF" w:themeShade="FF"/>
          <w:sz w:val="21"/>
          <w:szCs w:val="21"/>
        </w:rPr>
        <w:t>labor</w:t>
      </w:r>
      <w:r w:rsidRPr="732C63BF" w:rsidR="732C63BF">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constraints</w:t>
      </w:r>
      <w:r w:rsidRPr="732C63BF" w:rsidR="732C63BF">
        <w:rPr>
          <w:rFonts w:ascii="Arial" w:hAnsi="Arial" w:eastAsia="Arial" w:cs="Arial"/>
          <w:color w:val="000000" w:themeColor="text1" w:themeTint="FF" w:themeShade="FF"/>
          <w:sz w:val="21"/>
          <w:szCs w:val="21"/>
        </w:rPr>
        <w:t xml:space="preserve"> and geopolitical disruption - can affect scores.</w:t>
      </w:r>
    </w:p>
    <w:p xmlns:wp14="http://schemas.microsoft.com/office/word/2010/wordml" w:rsidP="732C63BF" w14:paraId="40B86A3C" wp14:textId="79402CD2">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The GCC average is an unweighted port</w:t>
      </w:r>
      <w:r w:rsidRPr="732C63BF" w:rsidR="143B8F94">
        <w:rPr>
          <w:rFonts w:ascii="Arial" w:hAnsi="Arial" w:eastAsia="Arial" w:cs="Arial"/>
          <w:color w:val="000000" w:themeColor="text1" w:themeTint="FF" w:themeShade="FF"/>
          <w:sz w:val="21"/>
          <w:szCs w:val="21"/>
        </w:rPr>
        <w:t xml:space="preserve"> </w:t>
      </w:r>
      <w:r w:rsidRPr="732C63BF" w:rsidR="732C63BF">
        <w:rPr>
          <w:rFonts w:ascii="Arial" w:hAnsi="Arial" w:eastAsia="Arial" w:cs="Arial"/>
          <w:color w:val="000000" w:themeColor="text1" w:themeTint="FF" w:themeShade="FF"/>
          <w:sz w:val="21"/>
          <w:szCs w:val="21"/>
        </w:rPr>
        <w:t xml:space="preserve">level mean, and historical averages use the observations </w:t>
      </w:r>
      <w:r w:rsidRPr="732C63BF" w:rsidR="64E9B986">
        <w:rPr>
          <w:rFonts w:ascii="Arial" w:hAnsi="Arial" w:eastAsia="Arial" w:cs="Arial"/>
          <w:color w:val="000000" w:themeColor="text1" w:themeTint="FF" w:themeShade="FF"/>
          <w:sz w:val="21"/>
          <w:szCs w:val="21"/>
        </w:rPr>
        <w:t>available</w:t>
      </w:r>
      <w:r w:rsidRPr="732C63BF" w:rsidR="732C63BF">
        <w:rPr>
          <w:rFonts w:ascii="Arial" w:hAnsi="Arial" w:eastAsia="Arial" w:cs="Arial"/>
          <w:color w:val="000000" w:themeColor="text1" w:themeTint="FF" w:themeShade="FF"/>
          <w:sz w:val="21"/>
          <w:szCs w:val="21"/>
        </w:rPr>
        <w:t xml:space="preserve"> each year.</w:t>
      </w:r>
    </w:p>
    <w:p xmlns:wp14="http://schemas.microsoft.com/office/word/2010/wordml" w:rsidP="732C63BF" w14:paraId="5A3BF9C2" wp14:textId="0574F21C">
      <w:pPr>
        <w:numPr>
          <w:ilvl w:val="0"/>
          <w:numId w:val="10"/>
        </w:numPr>
        <w:rPr>
          <w:rFonts w:ascii="Arial" w:hAnsi="Arial" w:eastAsia="Arial" w:cs="Arial"/>
          <w:color w:val="000000" w:themeColor="text1" w:themeTint="FF" w:themeShade="FF"/>
          <w:sz w:val="21"/>
          <w:szCs w:val="21"/>
        </w:rPr>
      </w:pPr>
      <w:r w:rsidRPr="732C63BF" w:rsidR="732C63BF">
        <w:rPr>
          <w:rFonts w:ascii="Arial" w:hAnsi="Arial" w:eastAsia="Arial" w:cs="Arial"/>
          <w:color w:val="000000" w:themeColor="text1" w:themeTint="FF" w:themeShade="FF"/>
          <w:sz w:val="21"/>
          <w:szCs w:val="21"/>
        </w:rPr>
        <w:t xml:space="preserve">The readiness score is a transparent performance screen; it does not measure route feasibility, cargo compatibility, </w:t>
      </w:r>
      <w:r w:rsidRPr="732C63BF" w:rsidR="3998DEE1">
        <w:rPr>
          <w:rFonts w:ascii="Arial" w:hAnsi="Arial" w:eastAsia="Arial" w:cs="Arial"/>
          <w:color w:val="000000" w:themeColor="text1" w:themeTint="FF" w:themeShade="FF"/>
          <w:sz w:val="21"/>
          <w:szCs w:val="21"/>
        </w:rPr>
        <w:t>capacity,</w:t>
      </w:r>
      <w:r w:rsidRPr="732C63BF" w:rsidR="732C63BF">
        <w:rPr>
          <w:rFonts w:ascii="Arial" w:hAnsi="Arial" w:eastAsia="Arial" w:cs="Arial"/>
          <w:color w:val="000000" w:themeColor="text1" w:themeTint="FF" w:themeShade="FF"/>
          <w:sz w:val="21"/>
          <w:szCs w:val="21"/>
        </w:rPr>
        <w:t xml:space="preserve"> or cost.</w:t>
      </w:r>
    </w:p>
    <w:p xmlns:wp14="http://schemas.microsoft.com/office/word/2010/wordml" w:rsidP="732C63BF" w14:paraId="61BB0F09" wp14:textId="77777777">
      <w:pPr>
        <w:pStyle w:val="Normal"/>
        <w:keepNext w:val="1"/>
        <w:suppressLineNumbers w:val="0"/>
        <w:bidi w:val="0"/>
        <w:spacing w:before="0" w:beforeAutospacing="off" w:after="100" w:afterAutospacing="off" w:line="264" w:lineRule="auto"/>
        <w:ind w:left="0" w:right="0"/>
        <w:jc w:val="left"/>
        <w:rPr>
          <w:rFonts w:ascii="Arial" w:hAnsi="Arial" w:eastAsia="Arial" w:cs="Arial"/>
          <w:b w:val="1"/>
          <w:bCs w:val="1"/>
          <w:color w:val="000000" w:themeColor="text1" w:themeTint="FF" w:themeShade="FF"/>
          <w:sz w:val="24"/>
          <w:szCs w:val="24"/>
          <w:lang w:eastAsia="en-US" w:bidi="ar-SA"/>
        </w:rPr>
      </w:pPr>
      <w:r w:rsidRPr="732C63BF" w:rsidR="732C63BF">
        <w:rPr>
          <w:rFonts w:ascii="Arial" w:hAnsi="Arial" w:eastAsia="Arial" w:cs="Arial"/>
          <w:b w:val="1"/>
          <w:bCs w:val="1"/>
          <w:color w:val="000000" w:themeColor="text1" w:themeTint="FF" w:themeShade="FF"/>
          <w:sz w:val="24"/>
          <w:szCs w:val="24"/>
          <w:lang w:eastAsia="en-US" w:bidi="ar-SA"/>
        </w:rPr>
        <w:t>DATA ATTRIBUTION</w:t>
      </w:r>
    </w:p>
    <w:p xmlns:wp14="http://schemas.microsoft.com/office/word/2010/wordml" w:rsidP="732C63BF" w14:paraId="5FC8843B" wp14:textId="77777777">
      <w:pPr>
        <w:pStyle w:val="SmallNote"/>
        <w:rPr>
          <w:rFonts w:ascii="Arial" w:hAnsi="Arial" w:eastAsia="Arial" w:cs="Arial"/>
          <w:color w:val="000000" w:themeColor="text1" w:themeTint="FF" w:themeShade="FF"/>
        </w:rPr>
      </w:pPr>
      <w:hyperlink r:id="Rdcad11a98ef846c1">
        <w:r w:rsidRPr="732C63BF" w:rsidR="732C63BF">
          <w:rPr>
            <w:rFonts w:ascii="Arial" w:hAnsi="Arial" w:eastAsia="Arial" w:cs="Arial"/>
            <w:color w:val="000000" w:themeColor="text1" w:themeTint="FF" w:themeShade="FF"/>
            <w:u w:val="single"/>
          </w:rPr>
          <w:t>World Bank CPPI 2025 overview and dataset</w:t>
        </w:r>
      </w:hyperlink>
    </w:p>
    <w:p xmlns:wp14="http://schemas.microsoft.com/office/word/2010/wordml" w:rsidP="732C63BF" w14:paraId="70237310" wp14:textId="77777777">
      <w:pPr>
        <w:pStyle w:val="SmallNote"/>
        <w:rPr>
          <w:rFonts w:ascii="Arial" w:hAnsi="Arial" w:eastAsia="Arial" w:cs="Arial"/>
          <w:color w:val="000000" w:themeColor="text1" w:themeTint="FF" w:themeShade="FF"/>
        </w:rPr>
      </w:pPr>
      <w:hyperlink r:id="Rfee5ce6a76b84a23">
        <w:r w:rsidRPr="732C63BF" w:rsidR="732C63BF">
          <w:rPr>
            <w:rFonts w:ascii="Arial" w:hAnsi="Arial" w:eastAsia="Arial" w:cs="Arial"/>
            <w:color w:val="000000" w:themeColor="text1" w:themeTint="FF" w:themeShade="FF"/>
            <w:u w:val="single"/>
          </w:rPr>
          <w:t>World Bank CPPI 2025 publication</w:t>
        </w:r>
      </w:hyperlink>
    </w:p>
    <w:p xmlns:wp14="http://schemas.microsoft.com/office/word/2010/wordml" w:rsidP="732C63BF" w14:paraId="4D447C88" wp14:textId="77777777">
      <w:pPr>
        <w:pStyle w:val="SmallNote"/>
        <w:rPr>
          <w:rFonts w:ascii="Arial" w:hAnsi="Arial" w:eastAsia="Arial" w:cs="Arial"/>
          <w:color w:val="000000" w:themeColor="text1" w:themeTint="FF" w:themeShade="FF"/>
        </w:rPr>
      </w:pPr>
      <w:hyperlink r:id="R425cc8ee461446dc">
        <w:r w:rsidRPr="732C63BF" w:rsidR="732C63BF">
          <w:rPr>
            <w:rFonts w:ascii="Arial" w:hAnsi="Arial" w:eastAsia="Arial" w:cs="Arial"/>
            <w:color w:val="000000" w:themeColor="text1" w:themeTint="FF" w:themeShade="FF"/>
            <w:u w:val="single"/>
          </w:rPr>
          <w:t>CPPI Methodology Note, June 10, 2026</w:t>
        </w:r>
      </w:hyperlink>
    </w:p>
    <w:sectPr w:rsidRPr="0006063C" w:rsidR="00FC693F" w:rsidSect="00034616">
      <w:headerReference w:type="default" r:id="rId9"/>
      <w:footerReference w:type="default" r:id="rId10"/>
      <w:pgSz w:w="12240" w:h="15840" w:orient="portrait"/>
      <w:pgMar w:top="1440" w:right="1440" w:bottom="1440" w:left="1440" w:header="432"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C36B14E" wp14:textId="77777777">
    <w:pPr>
      <w:pStyle w:val="Footer"/>
      <w:spacing w:before="0" w:after="0"/>
      <w:jc w:val="center"/>
    </w:pPr>
    <w:r>
      <w:rPr>
        <w:rFonts w:ascii="Arial" w:hAnsi="Arial"/>
        <w:color w:val="5F6B76"/>
        <w:sz w:val="17"/>
      </w:rPr>
      <w:fldChar w:fldCharType="begin"/>
    </w:r>
    <w:r>
      <w:rPr>
        <w:rFonts w:ascii="Arial" w:hAnsi="Arial"/>
        <w:color w:val="5F6B76"/>
        <w:sz w:val="17"/>
      </w:rPr>
      <w:instrText xml:space="preserve"> PAGE </w:instrText>
    </w:r>
    <w:r>
      <w:rPr>
        <w:rFonts w:ascii="Arial" w:hAnsi="Arial"/>
        <w:color w:val="5F6B76"/>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B94D5A5" wp14:textId="77777777">
    <w:pPr>
      <w:pStyle w:val="Header"/>
    </w:pPr>
    <w:r/>
  </w:p>
</w:hdr>
</file>

<file path=word/intelligence2.xml><?xml version="1.0" encoding="utf-8"?>
<int2:intelligence xmlns:int2="http://schemas.microsoft.com/office/intelligence/2020/intelligence">
  <int2:observations>
    <int2:textHash int2:hashCode="4c69RHz4xY+I4X" int2:id="h73CivRE">
      <int2:state int2:type="spell" int2:value="Rejected"/>
    </int2:textHash>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nsid w:val="60c43a5a"/>
    <w:multiLevelType w:val="singleLevel"/>
    <w:lvl w:ilvl="0">
      <w:start w:val="1"/>
      <w:numFmt w:val="bullet"/>
      <w:lvlText w:val="•"/>
      <w:lvlJc w:val="left"/>
      <w:pPr>
        <w:tabs>
          <w:tab w:val="num" w:pos="720"/>
        </w:tabs>
        <w:ind w:left="720" w:hanging="360"/>
        <w:spacing w:after="120" w:line="280" w:lineRule="auto"/>
      </w:pPr>
      <w:rPr>
        <w:rFonts w:ascii="Arial" w:hAnsi="Arial"/>
      </w:rPr>
    </w:lvl>
  </w:abstractNum>
  <w:num w:numId="10">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3598"/>
    <w:rsid w:val="004A3598"/>
    <w:rsid w:val="006D3D11"/>
    <w:rsid w:val="00AA1D8D"/>
    <w:rsid w:val="00B47730"/>
    <w:rsid w:val="00CB0664"/>
    <w:rsid w:val="00FC693F"/>
    <w:rsid w:val="0325F749"/>
    <w:rsid w:val="04C7B460"/>
    <w:rsid w:val="052D860E"/>
    <w:rsid w:val="06CD9F9A"/>
    <w:rsid w:val="06DF3B09"/>
    <w:rsid w:val="09436359"/>
    <w:rsid w:val="0B42794D"/>
    <w:rsid w:val="0BF81BF9"/>
    <w:rsid w:val="10A53F12"/>
    <w:rsid w:val="12428C85"/>
    <w:rsid w:val="12EF2C2B"/>
    <w:rsid w:val="143B8F94"/>
    <w:rsid w:val="14D14295"/>
    <w:rsid w:val="16F72D25"/>
    <w:rsid w:val="176DD331"/>
    <w:rsid w:val="1A920663"/>
    <w:rsid w:val="1B1DA97F"/>
    <w:rsid w:val="1C94A0E5"/>
    <w:rsid w:val="1CB272BA"/>
    <w:rsid w:val="1CB272BA"/>
    <w:rsid w:val="1CDD3E52"/>
    <w:rsid w:val="1D92DD8F"/>
    <w:rsid w:val="1DA25029"/>
    <w:rsid w:val="1E1D8B34"/>
    <w:rsid w:val="1E2F406E"/>
    <w:rsid w:val="1E698649"/>
    <w:rsid w:val="1FC27F27"/>
    <w:rsid w:val="231388FB"/>
    <w:rsid w:val="231388FB"/>
    <w:rsid w:val="238A0C9D"/>
    <w:rsid w:val="24DD9F66"/>
    <w:rsid w:val="273FA7CA"/>
    <w:rsid w:val="2894C5D7"/>
    <w:rsid w:val="2899B046"/>
    <w:rsid w:val="2899B046"/>
    <w:rsid w:val="2925A761"/>
    <w:rsid w:val="2A613171"/>
    <w:rsid w:val="2B7F3115"/>
    <w:rsid w:val="2BA1CD1A"/>
    <w:rsid w:val="2C39BFD4"/>
    <w:rsid w:val="2C9EAA47"/>
    <w:rsid w:val="2C9EAA47"/>
    <w:rsid w:val="2DB2D432"/>
    <w:rsid w:val="2E381D85"/>
    <w:rsid w:val="301C4B14"/>
    <w:rsid w:val="366239FC"/>
    <w:rsid w:val="378EE8D6"/>
    <w:rsid w:val="388FA942"/>
    <w:rsid w:val="3998DEE1"/>
    <w:rsid w:val="3DC11B44"/>
    <w:rsid w:val="42AA585D"/>
    <w:rsid w:val="42CDBBF1"/>
    <w:rsid w:val="4581BF40"/>
    <w:rsid w:val="4661C397"/>
    <w:rsid w:val="4A039576"/>
    <w:rsid w:val="4C9AA2F6"/>
    <w:rsid w:val="4D0CAA0E"/>
    <w:rsid w:val="4D0CAA0E"/>
    <w:rsid w:val="4EC5C5CC"/>
    <w:rsid w:val="51F444DD"/>
    <w:rsid w:val="54C3407C"/>
    <w:rsid w:val="554E32EE"/>
    <w:rsid w:val="566E6305"/>
    <w:rsid w:val="576767B8"/>
    <w:rsid w:val="5CF272AC"/>
    <w:rsid w:val="5DC97513"/>
    <w:rsid w:val="5E4A931D"/>
    <w:rsid w:val="5FA33168"/>
    <w:rsid w:val="61992C3F"/>
    <w:rsid w:val="64A86C1D"/>
    <w:rsid w:val="64E9B986"/>
    <w:rsid w:val="65887F00"/>
    <w:rsid w:val="6798757E"/>
    <w:rsid w:val="688135B3"/>
    <w:rsid w:val="688D39F9"/>
    <w:rsid w:val="68B2698C"/>
    <w:rsid w:val="69B60E0C"/>
    <w:rsid w:val="69F2383E"/>
    <w:rsid w:val="6B1826B4"/>
    <w:rsid w:val="6DF476C4"/>
    <w:rsid w:val="6F316784"/>
    <w:rsid w:val="6F659870"/>
    <w:rsid w:val="7012EA51"/>
    <w:rsid w:val="703A59FC"/>
    <w:rsid w:val="709DA243"/>
    <w:rsid w:val="70DAD2BE"/>
    <w:rsid w:val="731C4CED"/>
    <w:rsid w:val="732C63BF"/>
    <w:rsid w:val="759C9DC0"/>
    <w:rsid w:val="76BA6516"/>
    <w:rsid w:val="76CB92F3"/>
    <w:rsid w:val="77D372FD"/>
    <w:rsid w:val="7940617E"/>
    <w:rsid w:val="7A4405D9"/>
    <w:rsid w:val="7E2AD18C"/>
    <w:rsid w:val="7F41DA5E"/>
    <w:rsid w:val="7FB166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71D7F28-A202-48AD-8260-6263DC04AA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120" w:line="264" w:lineRule="auto"/>
    </w:pPr>
    <w:rPr>
      <w:rFonts w:ascii="Arial" w:hAnsi="Arial"/>
      <w:color w:val="2531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Arial" w:hAnsi="Arial" w:asciiTheme="majorHAnsi" w:hAnsiTheme="majorHAnsi" w:eastAsiaTheme="majorEastAsia" w:cstheme="majorBidi"/>
      <w:b/>
      <w:bCs/>
      <w:color w:val="174F73"/>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asciiTheme="majorHAnsi" w:hAnsiTheme="majorHAnsi" w:eastAsiaTheme="majorEastAsia" w:cstheme="majorBidi"/>
      <w:b/>
      <w:bCs/>
      <w:color w:val="267C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asciiTheme="majorHAnsi" w:hAnsiTheme="majorHAnsi" w:eastAsiaTheme="majorEastAsia" w:cstheme="majorBidi"/>
      <w:b/>
      <w:bCs/>
      <w:color w:val="1539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i/>
      <w:color w:val="5F6B7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mallNote" w:customStyle="1">
    <w:name w:val="Small Note"/>
    <w:pPr>
      <w:spacing w:after="80"/>
    </w:pPr>
    <w:rPr>
      <w:rFonts w:ascii="Arial" w:hAnsi="Arial"/>
      <w:color w:val="5F6B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image" Target="media/image4.png" Id="rId14" /><Relationship Type="http://schemas.openxmlformats.org/officeDocument/2006/relationships/image" Target="media/image5.png" Id="rId15" /><Relationship Type="http://schemas.openxmlformats.org/officeDocument/2006/relationships/hyperlink" Target="https://www.worldbank.org/en/topic/transport/publication/cppi" TargetMode="External" Id="Rdcad11a98ef846c1" /><Relationship Type="http://schemas.openxmlformats.org/officeDocument/2006/relationships/hyperlink" Target="https://openknowledge.worldbank.org/entities/publication/fd314120-c813-4377-8780-178aca5dfa1b" TargetMode="External" Id="Rfee5ce6a76b84a23" /><Relationship Type="http://schemas.openxmlformats.org/officeDocument/2006/relationships/hyperlink" Target="https://thedocs.worldbank.org/en/doc/aac122f6df85534428d66a7b9af4b7f6-0400012026/original/CPPI-Methodology-Note.pdf" TargetMode="External" Id="R425cc8ee461446dc" /><Relationship Type="http://schemas.microsoft.com/office/2020/10/relationships/intelligence" Target="intelligence2.xml" Id="R558c4257467b46e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GCC Port Efficiency &amp; Diversion Readiness - Power BI Case Study</dc:title>
  <dc:subject>Business Intelligence portfolio case study</dc:subject>
  <dc:creator>Ahmed Aslam</dc:creator>
  <keywords>Power BI, Business Intelligence, CPPI, GCC, port efficiency, DAX, Power Query</keywords>
  <dc:description>generated by python-docx</dc:description>
  <lastModifiedBy>Ahmed  Aslam</lastModifiedBy>
  <revision>2</revision>
  <dcterms:created xsi:type="dcterms:W3CDTF">2013-12-23T23:15:00.0000000Z</dcterms:created>
  <dcterms:modified xsi:type="dcterms:W3CDTF">2026-08-25T12:34:11.5131460Z</dcterms:modified>
  <category/>
</coreProperties>
</file>