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 June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LTVIP2025TMID34541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TrafficTelligence: Advanced Traffic Volume Estimation with Machine Learning</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4089">
          <v:rect xmlns:o="urn:schemas-microsoft-com:office:office" xmlns:v="urn:schemas-microsoft-com:vml" id="rectole0000000000" style="width:438.300000pt;height:2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180" w:dyaOrig="1700">
          <v:rect xmlns:o="urn:schemas-microsoft-com:office:office" xmlns:v="urn:schemas-microsoft-com:vml" id="rectole0000000001" style="width:409.000000pt;height:85.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bl>
      <w:tblPr/>
      <w:tblGrid>
        <w:gridCol w:w="1838"/>
        <w:gridCol w:w="1418"/>
        <w:gridCol w:w="1559"/>
        <w:gridCol w:w="1207"/>
        <w:gridCol w:w="1501"/>
        <w:gridCol w:w="2537"/>
      </w:tblGrid>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Problem Statement (PS)</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 am (Customer)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I’m trying to</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But</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Because</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Which makes me feel</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urban planner or traffic system designer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Predict and manage traffic volume more accurately to improve road efficiency and commuter experience</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rely on manual analysis or outdated models that don’t factor in dynamic variables like weather, time, or historical patterns</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Traditional methods lack adaptability and cannot handle the complexity of real-world traffic behavior</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Helpless, reactive, and concerned about poor traffic planning decisions that lead to congestion and dissatisfaction</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daily commuter relying on city navigation apps</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Plan my travel routes to avoid heavy traffic and delays</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Most navigation systems only react to current traffic rather than predict future congestion</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They lack intelligent forecasting based on patterns like time, weather, and historical volume trends</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Frustrated, late, and anxious about reaching destinations on time</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