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June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LTVIP2025TMID34541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TrafficTelligence: Advanced Traffic Volume Estimation with Machine Learning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Solution architecture is a complex process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with many sub-processes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that bridges the gap between business problems and technology solutions. Its goals are to:</w:t>
      </w:r>
    </w:p>
    <w:p>
      <w:pPr>
        <w:numPr>
          <w:ilvl w:val="0"/>
          <w:numId w:val="13"/>
        </w:numPr>
        <w:spacing w:before="28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3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3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3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3877">
          <v:rect xmlns:o="urn:schemas-microsoft-com:office:office" xmlns:v="urn:schemas-microsoft-com:vml" id="rectole0000000000" style="width:433.200000pt;height:19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i/>
          <w:color w:val="333333"/>
          <w:spacing w:val="0"/>
          <w:position w:val="0"/>
          <w:sz w:val="21"/>
          <w:shd w:fill="auto" w:val="clear"/>
        </w:rPr>
        <w:t xml:space="preserve">Figure 1: Architecture and data flow of the voice patient diary sample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https://aws.amazon.com/blogs/industries/voice-applications-in-clinical-research-powered-by-ai-on-aws-part-1-architecture-and-design-considerations/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aws.amazon.com/blogs/industries/voice-applications-in-clinical-research-powered-by-ai-on-aws-part-1-architecture-and-design-considerations/" Id="docRId2" Type="http://schemas.openxmlformats.org/officeDocument/2006/relationships/hyperlink" /><Relationship Target="styles.xml" Id="docRId4" Type="http://schemas.openxmlformats.org/officeDocument/2006/relationships/styles" /></Relationships>
</file>