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24"/>
        </w:rPr>
        <w:t>République Tunisienne</w:t>
      </w:r>
    </w:p>
    <w:p>
      <w:pPr>
        <w:spacing w:after="0" w:before="0"/>
        <w:jc w:val="center"/>
      </w:pPr>
      <w:r>
        <w:rPr>
          <w:b w:val="0"/>
          <w:i w:val="0"/>
          <w:sz w:val="22"/>
        </w:rPr>
        <w:t>Ministère de l'Enseignement Supérieur et de la Recherche Scientifique</w:t>
      </w:r>
    </w:p>
    <w:p>
      <w:pPr>
        <w:spacing w:after="40" w:before="0"/>
        <w:jc w:val="center"/>
      </w:pPr>
      <w:r>
        <w:rPr>
          <w:b w:val="0"/>
          <w:i w:val="0"/>
          <w:sz w:val="22"/>
        </w:rPr>
        <w:t>Université / École d'Ingénieurs</w:t>
      </w:r>
    </w:p>
    <w:p>
      <w:pPr>
        <w:spacing w:after="360" w:before="0"/>
        <w:jc w:val="center"/>
      </w:pPr>
      <w:r>
        <w:rPr>
          <w:b w:val="0"/>
          <w:i/>
          <w:sz w:val="22"/>
        </w:rPr>
        <w:t>[Nom de l'établissement]</w:t>
      </w:r>
    </w:p>
    <w:p>
      <w:pPr>
        <w:spacing w:after="40" w:before="0"/>
        <w:jc w:val="center"/>
      </w:pPr>
      <w:r>
        <w:rPr>
          <w:b/>
          <w:i w:val="0"/>
          <w:color w:val="1E3A8A"/>
          <w:sz w:val="30"/>
        </w:rPr>
        <w:t>RAPPORT DE PROJET DE FIN D'ÉTUDES</w:t>
      </w:r>
    </w:p>
    <w:p>
      <w:pPr>
        <w:spacing w:after="0" w:before="0"/>
        <w:jc w:val="center"/>
      </w:pPr>
      <w:r>
        <w:rPr>
          <w:b w:val="0"/>
          <w:i w:val="0"/>
          <w:sz w:val="22"/>
        </w:rPr>
        <w:t>En vue de l'obtention du Diplôme National d'Ingénieur</w:t>
      </w:r>
    </w:p>
    <w:p>
      <w:pPr>
        <w:spacing w:after="480" w:before="0"/>
        <w:jc w:val="center"/>
      </w:pPr>
      <w:r>
        <w:rPr>
          <w:b w:val="0"/>
          <w:i/>
          <w:sz w:val="22"/>
        </w:rPr>
        <w:t>Spécialité : Sécurité des Systèmes Informatiques et des Réseaux</w:t>
      </w:r>
    </w:p>
    <w:p>
      <w:pPr>
        <w:spacing w:after="0" w:before="0"/>
        <w:jc w:val="center"/>
      </w:pPr>
      <w:r>
        <w:rPr>
          <w:b/>
          <w:i w:val="0"/>
          <w:color w:val="0F242E"/>
          <w:sz w:val="32"/>
        </w:rPr>
        <w:t>Automatisation avancée des tests d'intrusion par un système d'IA</w:t>
      </w:r>
    </w:p>
    <w:p>
      <w:pPr>
        <w:spacing w:after="0" w:before="0"/>
        <w:jc w:val="center"/>
      </w:pPr>
      <w:r>
        <w:rPr>
          <w:b/>
          <w:i w:val="0"/>
          <w:color w:val="0F242E"/>
          <w:sz w:val="32"/>
        </w:rPr>
        <w:t>agentique : intégration de Metasploit &amp; RAG et conception d'une</w:t>
      </w:r>
    </w:p>
    <w:p>
      <w:pPr>
        <w:spacing w:after="560" w:before="0"/>
        <w:jc w:val="center"/>
      </w:pPr>
      <w:r>
        <w:rPr>
          <w:b/>
          <w:i w:val="0"/>
          <w:color w:val="0F242E"/>
          <w:sz w:val="32"/>
        </w:rPr>
        <w:t>console web d'opérations de sécurité (Strix Console)</w:t>
      </w:r>
    </w:p>
    <w:p>
      <w:pPr>
        <w:spacing w:after="360" w:before="0"/>
        <w:jc w:val="center"/>
      </w:pPr>
      <w:r>
        <w:rPr>
          <w:b/>
          <w:i w:val="0"/>
          <w:sz w:val="24"/>
        </w:rPr>
        <w:t>Réalisé par : [Nom et Prénom de l'étudiant]</w:t>
      </w:r>
    </w:p>
    <w:p>
      <w:pPr>
        <w:spacing w:after="0" w:before="0"/>
        <w:jc w:val="center"/>
      </w:pPr>
      <w:r>
        <w:rPr>
          <w:b w:val="0"/>
          <w:i w:val="0"/>
          <w:sz w:val="22"/>
        </w:rPr>
        <w:t>Encadrant académique : [Nom]</w:t>
      </w:r>
    </w:p>
    <w:p>
      <w:pPr>
        <w:spacing w:after="480" w:before="0"/>
        <w:jc w:val="center"/>
      </w:pPr>
      <w:r>
        <w:rPr>
          <w:b w:val="0"/>
          <w:i w:val="0"/>
          <w:sz w:val="22"/>
        </w:rPr>
        <w:t>Encadrant professionnel : [Nom]</w:t>
      </w:r>
    </w:p>
    <w:p>
      <w:pPr>
        <w:spacing w:after="120" w:before="0"/>
        <w:jc w:val="center"/>
      </w:pPr>
      <w:r>
        <w:rPr>
          <w:b/>
          <w:i w:val="0"/>
          <w:sz w:val="24"/>
        </w:rPr>
        <w:t>Année Universitaire 2025 – 2026</w:t>
      </w:r>
    </w:p>
    <w:p>
      <w:r>
        <w:br w:type="page"/>
      </w:r>
    </w:p>
    <w:p>
      <w:pPr>
        <w:pStyle w:val="Heading1"/>
      </w:pPr>
      <w:r>
        <w:t>Dédicace</w:t>
      </w:r>
    </w:p>
    <w:p>
      <w:pPr>
        <w:spacing w:after="120" w:before="0"/>
      </w:pPr>
      <w:r>
        <w:rPr>
          <w:b w:val="0"/>
          <w:i/>
          <w:sz w:val="22"/>
        </w:rPr>
        <w:t>À mes chers parents, pour leur amour inconditionnel, leurs sacrifices et leur confiance indéfectible qui ont été ma plus grande source de force tout au long de ce parcours.</w:t>
      </w:r>
    </w:p>
    <w:p>
      <w:pPr>
        <w:spacing w:after="120" w:before="0"/>
      </w:pPr>
      <w:r>
        <w:rPr>
          <w:b w:val="0"/>
          <w:i/>
          <w:sz w:val="22"/>
        </w:rPr>
        <w:t>À ma famille et à mes proches, pour leur soutien constant et leurs encouragements.</w:t>
      </w:r>
    </w:p>
    <w:p>
      <w:pPr>
        <w:spacing w:after="120" w:before="0"/>
      </w:pPr>
      <w:r>
        <w:rPr>
          <w:b w:val="0"/>
          <w:i/>
          <w:sz w:val="22"/>
        </w:rPr>
        <w:t>À mes enseignants et encadrants, pour la qualité de leur accompagnement et la rigueur qu'ils m'ont transmise.</w:t>
      </w:r>
    </w:p>
    <w:p>
      <w:pPr>
        <w:spacing w:after="120" w:before="0"/>
      </w:pPr>
      <w:r>
        <w:rPr>
          <w:b w:val="0"/>
          <w:i/>
          <w:sz w:val="22"/>
        </w:rPr>
        <w:t>À mes amis et camarades, pour tous les moments partagés qui ont donné du sens à cette expérience.</w:t>
      </w:r>
    </w:p>
    <w:p>
      <w:r>
        <w:br w:type="page"/>
      </w:r>
    </w:p>
    <w:p>
      <w:pPr>
        <w:pStyle w:val="Heading1"/>
      </w:pPr>
      <w:r>
        <w:t>Remerciements</w:t>
      </w:r>
    </w:p>
    <w:p>
      <w:pPr>
        <w:spacing w:after="120" w:before="0"/>
      </w:pPr>
      <w:r>
        <w:rPr>
          <w:b w:val="0"/>
          <w:i w:val="0"/>
          <w:sz w:val="22"/>
        </w:rPr>
        <w:t>Au terme de ce travail, je tiens à exprimer ma profonde gratitude à toutes les personnes qui ont contribué, de près ou de loin, à l'aboutissement de ce projet de fin d'études.</w:t>
      </w:r>
    </w:p>
    <w:p>
      <w:pPr>
        <w:spacing w:after="120" w:before="0"/>
      </w:pPr>
      <w:r>
        <w:rPr>
          <w:b w:val="0"/>
          <w:i w:val="0"/>
          <w:sz w:val="22"/>
        </w:rPr>
        <w:t>Je remercie chaleureusement mon encadrant académique pour sa disponibilité, ses conseils avisés et son suivi rigoureux, ainsi que mon encadrant professionnel pour la confiance qu'il m'a accordée et pour le cadre technique stimulant qu'il a su instaurer.</w:t>
      </w:r>
    </w:p>
    <w:p>
      <w:pPr>
        <w:spacing w:after="120" w:before="0"/>
      </w:pPr>
      <w:r>
        <w:rPr>
          <w:b w:val="0"/>
          <w:i w:val="0"/>
          <w:sz w:val="22"/>
        </w:rPr>
        <w:t>Mes remerciements s'adressent également aux membres du jury pour l'honneur qu'ils me font en acceptant d'évaluer ce travail, ainsi qu'à l'ensemble du corps enseignant pour la formation de qualité dont j'ai bénéficié.</w:t>
      </w:r>
    </w:p>
    <w:p>
      <w:r>
        <w:br w:type="page"/>
      </w:r>
    </w:p>
    <w:p>
      <w:pPr>
        <w:pStyle w:val="Heading1"/>
      </w:pPr>
      <w:r>
        <w:t>Résumé</w:t>
      </w:r>
    </w:p>
    <w:p>
      <w:pPr>
        <w:spacing w:after="120" w:before="0"/>
      </w:pPr>
      <w:r>
        <w:rPr>
          <w:b w:val="0"/>
          <w:i w:val="0"/>
          <w:sz w:val="22"/>
        </w:rPr>
        <w:t>Ce projet de fin d'études porte sur l'automatisation avancée des tests d'intrusion à l'aide d'un système d'intelligence artificielle agentique fondé sur des grands modèles de langage (LLM). Le travail s'articule autour de deux contributions complémentaires. La première consiste à enrichir le moteur agentique open-source Strix en y intégrant le framework d'exploitation Metasploit et un service de connaissances RAG (Retrieval-Augmented Generation) : un outil unique et déterministe, exploit_research, interroge la base RAG puis recherche un module Metasploit et produit une recommandation « module d'abord », réduisant la charge de décision confiée au modèle. La seconde contribution est la conception et la réalisation d'une console web professionnelle d'opérations de sécurité, Strix Console, offrant l'authentification forte (cookies httpOnly, CSRF, MFA TOTP), un contrôle d'accès par rôles (RBAC), le pilotage et le suivi temps réel des campagnes (WebSocket), la visualisation de la sortie du moteur, une phase de post-exploitation, le triage des vulnérabilités, la comparaison de scans, la planification récurrente, l'export de rapports et un journal d'audit inaltérable. La plateforme, développée avec Next.js et FastAPI, a été validée par 39 tests automatisés et vérifiée de bout en bout.</w:t>
      </w:r>
    </w:p>
    <w:p>
      <w:pPr>
        <w:spacing w:after="0" w:before="0"/>
      </w:pPr>
      <w:r>
        <w:rPr>
          <w:b/>
          <w:i w:val="0"/>
          <w:sz w:val="22"/>
        </w:rPr>
        <w:t xml:space="preserve">Mots-clés : </w:t>
      </w:r>
    </w:p>
    <w:p>
      <w:pPr>
        <w:spacing w:after="120" w:before="0"/>
      </w:pPr>
      <w:r>
        <w:rPr>
          <w:b w:val="0"/>
          <w:i/>
          <w:sz w:val="22"/>
        </w:rPr>
        <w:t>tests d'intrusion, IA agentique, LLM, Metasploit, RAG, Strix, RBAC, MFA, FastAPI, Next.js, sécurité applicative.</w:t>
      </w:r>
    </w:p>
    <w:p>
      <w:pPr>
        <w:pStyle w:val="Heading1"/>
      </w:pPr>
      <w:r>
        <w:t>Abstract</w:t>
      </w:r>
    </w:p>
    <w:p>
      <w:pPr>
        <w:spacing w:after="120" w:before="0"/>
      </w:pPr>
      <w:r>
        <w:rPr>
          <w:b w:val="0"/>
          <w:i w:val="0"/>
          <w:sz w:val="22"/>
        </w:rPr>
        <w:t>This graduation project addresses the advanced automation of penetration testing using an agentic AI system based on Large Language Models (LLMs). It delivers two complementary contributions. First, it augments the open-source Strix agentic engine with the Metasploit exploitation framework and a Retrieval-Augmented Generation (RAG) knowledge service: a single deterministic tool, exploit_research, queries the RAG, searches Metasploit and returns a module-first recommendation, offloading decision complexity from the model. Second, it designs and builds a professional security-operations web console, Strix Console, providing strong authentication (httpOnly cookies, CSRF, TOTP MFA), role-based access control, real-time assessment orchestration (WebSocket), engine-output visualisation, a post-exploitation phase, findings triage, scan diffing, recurring scheduling, report export and a tamper-evident audit trail. Built with Next.js and FastAPI, the platform is covered by 39 automated tests and verified end-to-end.</w:t>
      </w:r>
    </w:p>
    <w:p>
      <w:pPr>
        <w:spacing w:after="0" w:before="0"/>
      </w:pPr>
      <w:r>
        <w:rPr>
          <w:b/>
          <w:i w:val="0"/>
          <w:sz w:val="22"/>
        </w:rPr>
        <w:t xml:space="preserve">Keywords: </w:t>
      </w:r>
    </w:p>
    <w:p>
      <w:pPr>
        <w:spacing w:after="120" w:before="0"/>
      </w:pPr>
      <w:r>
        <w:rPr>
          <w:b w:val="0"/>
          <w:i/>
          <w:sz w:val="22"/>
        </w:rPr>
        <w:t>penetration testing, agentic AI, LLM, Metasploit, RAG, Strix, RBAC, MFA, FastAPI, Next.js.</w:t>
      </w:r>
    </w:p>
    <w:p>
      <w:r>
        <w:br w:type="page"/>
      </w:r>
    </w:p>
    <w:p>
      <w:pPr>
        <w:pStyle w:val="Heading1"/>
      </w:pPr>
      <w:r>
        <w:t>Table des matières</w:t>
      </w:r>
    </w:p>
    <w:p>
      <w:r>
        <w:fldChar w:fldCharType="begin"/>
        <w:instrText xml:space="preserve">TOC \o "1-3" \h \z \u</w:instrText>
        <w:fldChar w:fldCharType="separate"/>
        <w:t>Faites un clic droit ici → « Mettre à jour les champs » pour générer la table.</w:t>
        <w:fldChar w:fldCharType="end"/>
      </w:r>
    </w:p>
    <w:p>
      <w:r>
        <w:br w:type="page"/>
      </w:r>
    </w:p>
    <w:p>
      <w:pPr>
        <w:pStyle w:val="Heading1"/>
      </w:pPr>
      <w:r>
        <w:t>Liste des figures</w:t>
      </w:r>
    </w:p>
    <w:p>
      <w:pPr>
        <w:pStyle w:val="ListBullet"/>
        <w:spacing w:after="40"/>
      </w:pPr>
      <w:r>
        <w:t>Figure 1.1 — Planning du projet (méthodologie itérative par phases)</w:t>
      </w:r>
    </w:p>
    <w:p>
      <w:pPr>
        <w:pStyle w:val="ListBullet"/>
        <w:spacing w:after="40"/>
      </w:pPr>
      <w:r>
        <w:t>Figure 2.1 — Handoff d'exploitation : RAG + Metasploit (priorité au module)</w:t>
      </w:r>
    </w:p>
    <w:p>
      <w:pPr>
        <w:pStyle w:val="ListBullet"/>
        <w:spacing w:after="40"/>
      </w:pPr>
      <w:r>
        <w:t>Figure 3.1 — Architecture globale de la plateforme Strix Console</w:t>
      </w:r>
    </w:p>
    <w:p>
      <w:pPr>
        <w:pStyle w:val="ListBullet"/>
        <w:spacing w:after="40"/>
      </w:pPr>
      <w:r>
        <w:t>Figure 3.2 — Diagramme de cas d'utilisation</w:t>
      </w:r>
    </w:p>
    <w:p>
      <w:pPr>
        <w:pStyle w:val="ListBullet"/>
        <w:spacing w:after="40"/>
      </w:pPr>
      <w:r>
        <w:t>Figure 3.3 — Diagramme de séquence : exécution d'un test</w:t>
      </w:r>
    </w:p>
    <w:p>
      <w:pPr>
        <w:pStyle w:val="ListBullet"/>
        <w:spacing w:after="40"/>
      </w:pPr>
      <w:r>
        <w:t>Figure 3.4 — Matrice RBAC : permissions par rôle système</w:t>
      </w:r>
    </w:p>
    <w:p>
      <w:pPr>
        <w:pStyle w:val="ListBullet"/>
        <w:spacing w:after="40"/>
      </w:pPr>
      <w:r>
        <w:t>Figure 4.1 — Pipeline d'évaluation en 5 phases</w:t>
      </w:r>
    </w:p>
    <w:p>
      <w:pPr>
        <w:pStyle w:val="ListBullet"/>
        <w:spacing w:after="40"/>
      </w:pPr>
      <w:r>
        <w:t>Figure 5.1 — Page de connexion sécurisée (MFA)</w:t>
      </w:r>
    </w:p>
    <w:p>
      <w:pPr>
        <w:pStyle w:val="ListBullet"/>
        <w:spacing w:after="40"/>
      </w:pPr>
      <w:r>
        <w:t>Figure 5.2 — Tableau de bord</w:t>
      </w:r>
    </w:p>
    <w:p>
      <w:pPr>
        <w:pStyle w:val="ListBullet"/>
        <w:spacing w:after="40"/>
      </w:pPr>
      <w:r>
        <w:t>Figure 5.3 — Détail d'une campagne : pipeline, post-exploitation et triage</w:t>
      </w:r>
    </w:p>
    <w:p>
      <w:pPr>
        <w:pStyle w:val="ListBullet"/>
        <w:spacing w:after="40"/>
      </w:pPr>
      <w:r>
        <w:t>Figure 5.4 — Écran de sortie du moteur (arbre d'agents, télémétrie, console)</w:t>
      </w:r>
    </w:p>
    <w:p>
      <w:pPr>
        <w:pStyle w:val="ListBullet"/>
        <w:spacing w:after="40"/>
      </w:pPr>
      <w:r>
        <w:t>Figure 5.5 — Planification de tests récurrents</w:t>
      </w:r>
    </w:p>
    <w:p>
      <w:pPr>
        <w:pStyle w:val="ListBullet"/>
        <w:spacing w:after="40"/>
      </w:pPr>
      <w:r>
        <w:t>Figure 5.6 — Gestion des rôles et permissions (RBAC)</w:t>
      </w:r>
    </w:p>
    <w:p>
      <w:pPr>
        <w:pStyle w:val="ListBullet"/>
        <w:spacing w:after="40"/>
      </w:pPr>
      <w:r>
        <w:t>Figure 5.7 — Couverture de tests par module</w:t>
      </w:r>
    </w:p>
    <w:p>
      <w:pPr>
        <w:pStyle w:val="ListBullet"/>
        <w:spacing w:after="40"/>
      </w:pPr>
      <w:r>
        <w:t>Figure 5.8 — Répartition des vulnérabilités par sévérité</w:t>
      </w:r>
    </w:p>
    <w:p>
      <w:pPr>
        <w:pStyle w:val="ListBullet"/>
        <w:spacing w:after="40"/>
      </w:pPr>
      <w:r>
        <w:t>Figure 5.9 — Analyse comparative : approche manuelle vs plateforme</w:t>
      </w:r>
    </w:p>
    <w:p>
      <w:pPr>
        <w:pStyle w:val="Heading1"/>
      </w:pPr>
      <w:r>
        <w:t>Liste des tableaux</w:t>
      </w:r>
    </w:p>
    <w:p>
      <w:pPr>
        <w:pStyle w:val="ListBullet"/>
        <w:spacing w:after="40"/>
      </w:pPr>
      <w:r>
        <w:t>Tableau 1 — Besoins fonctionnels principaux</w:t>
      </w:r>
    </w:p>
    <w:p>
      <w:pPr>
        <w:pStyle w:val="ListBullet"/>
        <w:spacing w:after="40"/>
      </w:pPr>
      <w:r>
        <w:t>Tableau 2 — Besoins non fonctionnels</w:t>
      </w:r>
    </w:p>
    <w:p>
      <w:pPr>
        <w:pStyle w:val="ListBullet"/>
        <w:spacing w:after="40"/>
      </w:pPr>
      <w:r>
        <w:t>Tableau 3 — Pile technologique du projet</w:t>
      </w:r>
    </w:p>
    <w:p>
      <w:pPr>
        <w:pStyle w:val="ListBullet"/>
        <w:spacing w:after="40"/>
      </w:pPr>
      <w:r>
        <w:t>Tableau 4 — Modèle de données (principales tables)</w:t>
      </w:r>
    </w:p>
    <w:p>
      <w:pPr>
        <w:pStyle w:val="ListBullet"/>
        <w:spacing w:after="40"/>
      </w:pPr>
      <w:r>
        <w:t>Tableau 5 — Synthèse des résultats de validation</w:t>
      </w:r>
    </w:p>
    <w:p>
      <w:pPr>
        <w:pStyle w:val="Heading1"/>
      </w:pPr>
      <w:r>
        <w:t>Liste des abréviations</w:t>
      </w:r>
    </w:p>
    <w:tbl>
      <w:tblPr>
        <w:tblStyle w:val="LightGrid-Accent1"/>
        <w:tblW w:type="auto" w:w="0"/>
        <w:jc w:val="center"/>
        <w:tblLook w:firstColumn="1" w:firstRow="1" w:lastColumn="0" w:lastRow="0" w:noHBand="0" w:noVBand="1" w:val="04A0"/>
      </w:tblPr>
      <w:tblGrid>
        <w:gridCol w:w="4680"/>
        <w:gridCol w:w="4680"/>
      </w:tblGrid>
      <w:tr>
        <w:tc>
          <w:tcPr>
            <w:tcW w:type="dxa" w:w="2304"/>
          </w:tcPr>
          <w:p>
            <w:r>
              <w:rPr>
                <w:b/>
                <w:sz w:val="20"/>
              </w:rPr>
              <w:t>Abréviation</w:t>
            </w:r>
          </w:p>
        </w:tc>
        <w:tc>
          <w:tcPr>
            <w:tcW w:type="dxa" w:w="6768"/>
          </w:tcPr>
          <w:p>
            <w:r>
              <w:rPr>
                <w:b/>
                <w:sz w:val="20"/>
              </w:rPr>
              <w:t>Signification</w:t>
            </w:r>
          </w:p>
        </w:tc>
      </w:tr>
      <w:tr>
        <w:tc>
          <w:tcPr>
            <w:tcW w:type="dxa" w:w="2304"/>
          </w:tcPr>
          <w:p>
            <w:r>
              <w:rPr>
                <w:sz w:val="19"/>
              </w:rPr>
              <w:t>LLM</w:t>
            </w:r>
          </w:p>
        </w:tc>
        <w:tc>
          <w:tcPr>
            <w:tcW w:type="dxa" w:w="6768"/>
          </w:tcPr>
          <w:p>
            <w:r>
              <w:rPr>
                <w:sz w:val="19"/>
              </w:rPr>
              <w:t>Large Language Model (grand modèle de langage)</w:t>
            </w:r>
          </w:p>
        </w:tc>
      </w:tr>
      <w:tr>
        <w:tc>
          <w:tcPr>
            <w:tcW w:type="dxa" w:w="2304"/>
          </w:tcPr>
          <w:p>
            <w:r>
              <w:rPr>
                <w:sz w:val="19"/>
              </w:rPr>
              <w:t>RAG</w:t>
            </w:r>
          </w:p>
        </w:tc>
        <w:tc>
          <w:tcPr>
            <w:tcW w:type="dxa" w:w="6768"/>
          </w:tcPr>
          <w:p>
            <w:r>
              <w:rPr>
                <w:sz w:val="19"/>
              </w:rPr>
              <w:t>Retrieval-Augmented Generation</w:t>
            </w:r>
          </w:p>
        </w:tc>
      </w:tr>
      <w:tr>
        <w:tc>
          <w:tcPr>
            <w:tcW w:type="dxa" w:w="2304"/>
          </w:tcPr>
          <w:p>
            <w:r>
              <w:rPr>
                <w:sz w:val="19"/>
              </w:rPr>
              <w:t>RBAC</w:t>
            </w:r>
          </w:p>
        </w:tc>
        <w:tc>
          <w:tcPr>
            <w:tcW w:type="dxa" w:w="6768"/>
          </w:tcPr>
          <w:p>
            <w:r>
              <w:rPr>
                <w:sz w:val="19"/>
              </w:rPr>
              <w:t>Role-Based Access Control (contrôle d'accès par rôles)</w:t>
            </w:r>
          </w:p>
        </w:tc>
      </w:tr>
      <w:tr>
        <w:tc>
          <w:tcPr>
            <w:tcW w:type="dxa" w:w="2304"/>
          </w:tcPr>
          <w:p>
            <w:r>
              <w:rPr>
                <w:sz w:val="19"/>
              </w:rPr>
              <w:t>MFA / TOTP</w:t>
            </w:r>
          </w:p>
        </w:tc>
        <w:tc>
          <w:tcPr>
            <w:tcW w:type="dxa" w:w="6768"/>
          </w:tcPr>
          <w:p>
            <w:r>
              <w:rPr>
                <w:sz w:val="19"/>
              </w:rPr>
              <w:t>Multi-Factor Authentication / Time-based One-Time Password</w:t>
            </w:r>
          </w:p>
        </w:tc>
      </w:tr>
      <w:tr>
        <w:tc>
          <w:tcPr>
            <w:tcW w:type="dxa" w:w="2304"/>
          </w:tcPr>
          <w:p>
            <w:r>
              <w:rPr>
                <w:sz w:val="19"/>
              </w:rPr>
              <w:t>CSRF</w:t>
            </w:r>
          </w:p>
        </w:tc>
        <w:tc>
          <w:tcPr>
            <w:tcW w:type="dxa" w:w="6768"/>
          </w:tcPr>
          <w:p>
            <w:r>
              <w:rPr>
                <w:sz w:val="19"/>
              </w:rPr>
              <w:t>Cross-Site Request Forgery</w:t>
            </w:r>
          </w:p>
        </w:tc>
      </w:tr>
      <w:tr>
        <w:tc>
          <w:tcPr>
            <w:tcW w:type="dxa" w:w="2304"/>
          </w:tcPr>
          <w:p>
            <w:r>
              <w:rPr>
                <w:sz w:val="19"/>
              </w:rPr>
              <w:t>API</w:t>
            </w:r>
          </w:p>
        </w:tc>
        <w:tc>
          <w:tcPr>
            <w:tcW w:type="dxa" w:w="6768"/>
          </w:tcPr>
          <w:p>
            <w:r>
              <w:rPr>
                <w:sz w:val="19"/>
              </w:rPr>
              <w:t>Application Programming Interface</w:t>
            </w:r>
          </w:p>
        </w:tc>
      </w:tr>
      <w:tr>
        <w:tc>
          <w:tcPr>
            <w:tcW w:type="dxa" w:w="2304"/>
          </w:tcPr>
          <w:p>
            <w:r>
              <w:rPr>
                <w:sz w:val="19"/>
              </w:rPr>
              <w:t>WS</w:t>
            </w:r>
          </w:p>
        </w:tc>
        <w:tc>
          <w:tcPr>
            <w:tcW w:type="dxa" w:w="6768"/>
          </w:tcPr>
          <w:p>
            <w:r>
              <w:rPr>
                <w:sz w:val="19"/>
              </w:rPr>
              <w:t>WebSocket</w:t>
            </w:r>
          </w:p>
        </w:tc>
      </w:tr>
      <w:tr>
        <w:tc>
          <w:tcPr>
            <w:tcW w:type="dxa" w:w="2304"/>
          </w:tcPr>
          <w:p>
            <w:r>
              <w:rPr>
                <w:sz w:val="19"/>
              </w:rPr>
              <w:t>CVE</w:t>
            </w:r>
          </w:p>
        </w:tc>
        <w:tc>
          <w:tcPr>
            <w:tcW w:type="dxa" w:w="6768"/>
          </w:tcPr>
          <w:p>
            <w:r>
              <w:rPr>
                <w:sz w:val="19"/>
              </w:rPr>
              <w:t>Common Vulnerabilities and Exposures</w:t>
            </w:r>
          </w:p>
        </w:tc>
      </w:tr>
      <w:tr>
        <w:tc>
          <w:tcPr>
            <w:tcW w:type="dxa" w:w="2304"/>
          </w:tcPr>
          <w:p>
            <w:r>
              <w:rPr>
                <w:sz w:val="19"/>
              </w:rPr>
              <w:t>ORM</w:t>
            </w:r>
          </w:p>
        </w:tc>
        <w:tc>
          <w:tcPr>
            <w:tcW w:type="dxa" w:w="6768"/>
          </w:tcPr>
          <w:p>
            <w:r>
              <w:rPr>
                <w:sz w:val="19"/>
              </w:rPr>
              <w:t>Object-Relational Mapping</w:t>
            </w:r>
          </w:p>
        </w:tc>
      </w:tr>
      <w:tr>
        <w:tc>
          <w:tcPr>
            <w:tcW w:type="dxa" w:w="2304"/>
          </w:tcPr>
          <w:p>
            <w:r>
              <w:rPr>
                <w:sz w:val="19"/>
              </w:rPr>
              <w:t>CI/CD</w:t>
            </w:r>
          </w:p>
        </w:tc>
        <w:tc>
          <w:tcPr>
            <w:tcW w:type="dxa" w:w="6768"/>
          </w:tcPr>
          <w:p>
            <w:r>
              <w:rPr>
                <w:sz w:val="19"/>
              </w:rPr>
              <w:t>Continuous Integration / Continuous Deployment</w:t>
            </w:r>
          </w:p>
        </w:tc>
      </w:tr>
    </w:tbl>
    <w:p>
      <w:pPr>
        <w:spacing w:after="80"/>
      </w:pPr>
    </w:p>
    <w:p>
      <w:r>
        <w:br w:type="page"/>
      </w:r>
    </w:p>
    <w:p>
      <w:pPr>
        <w:pStyle w:val="Heading1"/>
      </w:pPr>
      <w:r>
        <w:t>Introduction générale</w:t>
      </w:r>
    </w:p>
    <w:p>
      <w:pPr>
        <w:spacing w:after="120" w:before="0"/>
      </w:pPr>
      <w:r>
        <w:rPr>
          <w:b w:val="0"/>
          <w:i w:val="0"/>
          <w:sz w:val="22"/>
        </w:rPr>
        <w:t>La transformation numérique des organisations s'accompagne d'une surface d'attaque en expansion permanente. Les tests d'intrusion (penetration testing) constituent l'un des moyens les plus efficaces pour évaluer, de façon offensive et contrôlée, la robustesse d'un système d'information. Toutefois, réalisés manuellement, ils demeurent coûteux en temps, difficilement reproductibles et fortement dépendants de l'expertise de l'opérateur.</w:t>
      </w:r>
    </w:p>
    <w:p>
      <w:pPr>
        <w:spacing w:after="120" w:before="0"/>
      </w:pPr>
      <w:r>
        <w:rPr>
          <w:b w:val="0"/>
          <w:i w:val="0"/>
          <w:sz w:val="22"/>
        </w:rPr>
        <w:t>L'émergence des grands modèles de langage (LLM) et des architectures dites « agentiques » ouvre la voie à une automatisation intelligente de ce processus : des agents autonomes planifient, exécutent et enchaînent des actions offensives en s'appuyant sur des outils réels. Le moteur open-source Strix illustre cette approche. Néanmoins, deux limites subsistent : d'une part, la phase d'exploitation reste fragile lorsqu'elle est entièrement confiée au raisonnement du modèle ; d'autre part, l'usage en équipe manque d'une interface d'opérations sécurisée offrant gouvernance, traçabilité et pilotage.</w:t>
      </w:r>
    </w:p>
    <w:p>
      <w:pPr>
        <w:spacing w:after="120" w:before="0"/>
      </w:pPr>
      <w:r>
        <w:rPr>
          <w:b w:val="0"/>
          <w:i w:val="0"/>
          <w:sz w:val="22"/>
        </w:rPr>
        <w:t>Ce projet répond à ces deux limites. Il intègre au moteur Strix le framework Metasploit et un service de connaissances RAG au travers d'un outil déterministe unique, puis conçoit et réalise une console web professionnelle, Strix Console, dédiée à l'orchestration et au suivi des campagnes de sécurité.</w:t>
      </w:r>
    </w:p>
    <w:p>
      <w:pPr>
        <w:spacing w:after="120" w:before="0"/>
      </w:pPr>
      <w:r>
        <w:rPr>
          <w:b w:val="0"/>
          <w:i w:val="0"/>
          <w:sz w:val="22"/>
        </w:rPr>
        <w:t>Le présent rapport est organisé en cinq chapitres. Le premier présente le cadre général du projet et la méthodologie adoptée. Le deuxième dresse un état de l'art des tests d'intrusion et de leur automatisation par IA. Le troisième détaille la conception et l'architecture. Le quatrième décrit les technologies et la réalisation. Le cinquième expose les tests et l'évaluation. Une conclusion générale synthétise les apports et ouvre des perspectives.</w:t>
      </w:r>
    </w:p>
    <w:p>
      <w:r>
        <w:br w:type="page"/>
      </w:r>
    </w:p>
    <w:p>
      <w:pPr>
        <w:pStyle w:val="Heading1"/>
      </w:pPr>
      <w:r>
        <w:t>Chapitre 1 — Cadre général du projet</w:t>
      </w:r>
    </w:p>
    <w:p>
      <w:pPr>
        <w:pStyle w:val="Heading2"/>
      </w:pPr>
      <w:r>
        <w:t>1.1 Introduction</w:t>
      </w:r>
    </w:p>
    <w:p>
      <w:pPr>
        <w:spacing w:after="120" w:before="0"/>
      </w:pPr>
      <w:r>
        <w:rPr>
          <w:b w:val="0"/>
          <w:i w:val="0"/>
          <w:sz w:val="22"/>
        </w:rPr>
        <w:t>Ce chapitre situe le projet dans son contexte, formule la problématique, présente la solution proposée et décrit la méthodologie de gestion adoptée pour mener le développement.</w:t>
      </w:r>
    </w:p>
    <w:p>
      <w:pPr>
        <w:pStyle w:val="Heading2"/>
      </w:pPr>
      <w:r>
        <w:t>1.2 Contexte et problématique</w:t>
      </w:r>
    </w:p>
    <w:p>
      <w:pPr>
        <w:spacing w:after="120" w:before="0"/>
      </w:pPr>
      <w:r>
        <w:rPr>
          <w:b w:val="0"/>
          <w:i w:val="0"/>
          <w:sz w:val="22"/>
        </w:rPr>
        <w:t>Le pentest manuel souffre de plusieurs limites structurelles : durée d'exécution élevée, dépendance à l'expertise humaine, faible reproductibilité et difficulté de traçabilité. Les plateformes d'automatisation par IA agentique, comme Strix, apportent une réponse prometteuse mais présentent, en l'état, deux insuffisances :</w:t>
      </w:r>
    </w:p>
    <w:p>
      <w:pPr>
        <w:pStyle w:val="ListBullet"/>
        <w:spacing w:after="60"/>
      </w:pPr>
      <w:r>
        <w:rPr>
          <w:b/>
        </w:rPr>
        <w:t xml:space="preserve">Exploitation fragile — </w:t>
      </w:r>
      <w:r>
        <w:t xml:space="preserve"> en confiant l'intégralité de la décision d'exploitation au LLM, l'agent peut échouer à sélectionner ou paramétrer correctement un exploit, faute d'accès structuré à une base de connaissances et à un arsenal éprouvé.</w:t>
      </w:r>
    </w:p>
    <w:p>
      <w:pPr>
        <w:pStyle w:val="ListBullet"/>
        <w:spacing w:after="60"/>
      </w:pPr>
      <w:r>
        <w:rPr>
          <w:b/>
        </w:rPr>
        <w:t xml:space="preserve">Absence d'interface d'opérations — </w:t>
      </w:r>
      <w:r>
        <w:t xml:space="preserve"> l'outil est piloté en ligne de commande, sans gestion des utilisateurs, sans contrôle d'accès, sans suivi temps réel ni gouvernance, ce qui limite l'usage collaboratif et la valeur opérationnelle en entreprise.</w:t>
      </w:r>
    </w:p>
    <w:p>
      <w:pPr>
        <w:spacing w:after="120" w:before="0"/>
      </w:pPr>
      <w:r>
        <w:rPr>
          <w:b w:val="0"/>
          <w:i w:val="0"/>
          <w:sz w:val="22"/>
        </w:rPr>
        <w:t>La problématique retenue peut ainsi se formuler : comment fiabiliser la phase d'exploitation d'un agent de pentest fondé sur un LLM, et comment en faire un service d'opérations de sécurité sûr, gouverné et exploitable en équipe ?</w:t>
      </w:r>
    </w:p>
    <w:p>
      <w:pPr>
        <w:pStyle w:val="Heading2"/>
      </w:pPr>
      <w:r>
        <w:t>1.3 Solution proposée</w:t>
      </w:r>
    </w:p>
    <w:p>
      <w:pPr>
        <w:spacing w:after="120" w:before="0"/>
      </w:pPr>
      <w:r>
        <w:rPr>
          <w:b w:val="0"/>
          <w:i w:val="0"/>
          <w:sz w:val="22"/>
        </w:rPr>
        <w:t>La solution se décline en deux volets complémentaires :</w:t>
      </w:r>
    </w:p>
    <w:p>
      <w:pPr>
        <w:pStyle w:val="ListBullet"/>
        <w:spacing w:after="60"/>
      </w:pPr>
      <w:r>
        <w:rPr>
          <w:b/>
        </w:rPr>
        <w:t xml:space="preserve">Volet 1 — Fiabilisation de l'exploitation. </w:t>
      </w:r>
      <w:r>
        <w:t xml:space="preserve"> Intégration de Metasploit et d'un service RAG dans le moteur Strix via un outil unique et déterministe, exploit_research, qui interroge le RAG, recherche un module Metasploit et renvoie une recommandation « module d'abord ». La logique de décision est déplacée du modèle vers du code Python vérifiable.</w:t>
      </w:r>
    </w:p>
    <w:p>
      <w:pPr>
        <w:pStyle w:val="ListBullet"/>
        <w:spacing w:after="60"/>
      </w:pPr>
      <w:r>
        <w:rPr>
          <w:b/>
        </w:rPr>
        <w:t xml:space="preserve">Volet 2 — Console d'opérations. </w:t>
      </w:r>
      <w:r>
        <w:t xml:space="preserve"> Conception d'une application web, Strix Console, offrant authentification forte, RBAC, pilotage et suivi temps réel des campagnes, visualisation de la sortie du moteur, post-exploitation, triage, comparaison de scans, planification récurrente, reporting et audit inaltérable.</w:t>
      </w:r>
    </w:p>
    <w:p>
      <w:pPr>
        <w:pStyle w:val="Heading2"/>
      </w:pPr>
      <w:r>
        <w:t>1.4 Méthodologie de gestion de projet</w:t>
      </w:r>
    </w:p>
    <w:p>
      <w:pPr>
        <w:spacing w:after="120" w:before="0"/>
      </w:pPr>
      <w:r>
        <w:rPr>
          <w:b w:val="0"/>
          <w:i w:val="0"/>
          <w:sz w:val="22"/>
        </w:rPr>
        <w:t>Le développement a suivi une démarche itérative et incrémentale, organisée en phases successives livrant chacune un incrément fonctionnel testé et vérifié. Cette approche, proche de Scrum/Kanban, a permis de sécuriser les fondations avant d'empiler les fonctionnalités, tout en conservant une application exécutable à chaque étape.</w:t>
      </w:r>
    </w:p>
    <w:p>
      <w:pPr>
        <w:pStyle w:val="ListBullet"/>
        <w:spacing w:after="60"/>
      </w:pPr>
      <w:r>
        <w:rPr>
          <w:b/>
        </w:rPr>
        <w:t xml:space="preserve">Intégration Metasploit + RAG — </w:t>
      </w:r>
      <w:r>
        <w:t xml:space="preserve"> outil exploit_research, playbooks et tests.</w:t>
      </w:r>
    </w:p>
    <w:p>
      <w:pPr>
        <w:pStyle w:val="ListBullet"/>
        <w:spacing w:after="60"/>
      </w:pPr>
      <w:r>
        <w:rPr>
          <w:b/>
        </w:rPr>
        <w:t xml:space="preserve">Phase 0 (Fondations) — </w:t>
      </w:r>
      <w:r>
        <w:t xml:space="preserve"> couche de données asynchrone, migrations, files et harnais de tests.</w:t>
      </w:r>
    </w:p>
    <w:p>
      <w:pPr>
        <w:pStyle w:val="ListBullet"/>
        <w:spacing w:after="60"/>
      </w:pPr>
      <w:r>
        <w:rPr>
          <w:b/>
        </w:rPr>
        <w:t xml:space="preserve">Phase 1 (Authentification) — </w:t>
      </w:r>
      <w:r>
        <w:t xml:space="preserve"> cookies httpOnly, CSRF, MFA TOTP, RBAC, sessions, audit.</w:t>
      </w:r>
    </w:p>
    <w:p>
      <w:pPr>
        <w:pStyle w:val="ListBullet"/>
        <w:spacing w:after="60"/>
      </w:pPr>
      <w:r>
        <w:rPr>
          <w:b/>
        </w:rPr>
        <w:t xml:space="preserve">Phase 2 (Temps réel) — </w:t>
      </w:r>
      <w:r>
        <w:t xml:space="preserve"> WebSocket, réconciliation des exécutions orphelines.</w:t>
      </w:r>
    </w:p>
    <w:p>
      <w:pPr>
        <w:pStyle w:val="ListBullet"/>
        <w:spacing w:after="60"/>
      </w:pPr>
      <w:r>
        <w:rPr>
          <w:b/>
        </w:rPr>
        <w:t xml:space="preserve">Phase 3 (Sortie moteur) — </w:t>
      </w:r>
      <w:r>
        <w:t xml:space="preserve"> arbre d'agents, console live, télémétrie (jetons, coût).</w:t>
      </w:r>
    </w:p>
    <w:p>
      <w:pPr>
        <w:pStyle w:val="ListBullet"/>
        <w:spacing w:after="60"/>
      </w:pPr>
      <w:r>
        <w:rPr>
          <w:b/>
        </w:rPr>
        <w:t xml:space="preserve">Phase 4 (Post-exploitation) — </w:t>
      </w:r>
      <w:r>
        <w:t xml:space="preserve"> 5ᵉ phase du pipeline et événements typés.</w:t>
      </w:r>
    </w:p>
    <w:p>
      <w:pPr>
        <w:pStyle w:val="ListBullet"/>
        <w:spacing w:after="60"/>
      </w:pPr>
      <w:r>
        <w:rPr>
          <w:b/>
        </w:rPr>
        <w:t xml:space="preserve">Phase 5 (Domaine) — </w:t>
      </w:r>
      <w:r>
        <w:t xml:space="preserve"> triage, comparaison de scans, alertes, planification récurrente.</w:t>
      </w:r>
    </w:p>
    <w:p>
      <w:pPr>
        <w:pStyle w:val="ListBullet"/>
        <w:spacing w:after="60"/>
      </w:pPr>
      <w:r>
        <w:rPr>
          <w:b/>
        </w:rPr>
        <w:t xml:space="preserve">Phase 6 (Qualité) — </w:t>
      </w:r>
      <w:r>
        <w:t xml:space="preserve"> palette de commandes ⌘K, observabilité, durcissement.</w:t>
      </w:r>
    </w:p>
    <w:p>
      <w:pPr>
        <w:jc w:val="center"/>
      </w:pPr>
      <w:r>
        <w:drawing>
          <wp:inline xmlns:a="http://schemas.openxmlformats.org/drawingml/2006/main" xmlns:pic="http://schemas.openxmlformats.org/drawingml/2006/picture">
            <wp:extent cx="5760720" cy="2861348"/>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760720" cy="2861348"/>
                    </a:xfrm>
                    <a:prstGeom prst="rect"/>
                  </pic:spPr>
                </pic:pic>
              </a:graphicData>
            </a:graphic>
          </wp:inline>
        </w:drawing>
      </w:r>
    </w:p>
    <w:p>
      <w:pPr>
        <w:spacing w:after="240"/>
        <w:jc w:val="center"/>
      </w:pPr>
      <w:r>
        <w:rPr>
          <w:i/>
          <w:color w:val="475569"/>
          <w:sz w:val="19"/>
        </w:rPr>
        <w:t>Figure 1.1 — Planning du projet (méthodologie itérative par phases).</w:t>
      </w:r>
    </w:p>
    <w:p>
      <w:pPr>
        <w:pStyle w:val="Heading2"/>
      </w:pPr>
      <w:r>
        <w:t>1.5 Conclusion</w:t>
      </w:r>
    </w:p>
    <w:p>
      <w:pPr>
        <w:spacing w:after="120" w:before="0"/>
      </w:pPr>
      <w:r>
        <w:rPr>
          <w:b w:val="0"/>
          <w:i w:val="0"/>
          <w:sz w:val="22"/>
        </w:rPr>
        <w:t>Ce chapitre a défini le cadre, la problématique et la trajectoire du projet. Le chapitre suivant établit l'état de l'art sur lequel s'appuient les choix de conception.</w:t>
      </w:r>
    </w:p>
    <w:p>
      <w:r>
        <w:br w:type="page"/>
      </w:r>
    </w:p>
    <w:p>
      <w:pPr>
        <w:pStyle w:val="Heading1"/>
      </w:pPr>
      <w:r>
        <w:t>Chapitre 2 — État de l'art</w:t>
      </w:r>
    </w:p>
    <w:p>
      <w:pPr>
        <w:pStyle w:val="Heading2"/>
      </w:pPr>
      <w:r>
        <w:t>2.1 Introduction</w:t>
      </w:r>
    </w:p>
    <w:p>
      <w:pPr>
        <w:spacing w:after="120" w:before="0"/>
      </w:pPr>
      <w:r>
        <w:rPr>
          <w:b w:val="0"/>
          <w:i w:val="0"/>
          <w:sz w:val="22"/>
        </w:rPr>
        <w:t>Ce chapitre présente les fondements des tests d'intrusion, les approches d'automatisation par IA agentique et les briques techniques mobilisées (Strix, Metasploit, RAG), afin de positionner la contribution du projet.</w:t>
      </w:r>
    </w:p>
    <w:p>
      <w:pPr>
        <w:pStyle w:val="Heading2"/>
      </w:pPr>
      <w:r>
        <w:t>2.2 Tests d'intrusion et Red Teaming</w:t>
      </w:r>
    </w:p>
    <w:p>
      <w:pPr>
        <w:spacing w:after="120" w:before="0"/>
      </w:pPr>
      <w:r>
        <w:rPr>
          <w:b w:val="0"/>
          <w:i w:val="0"/>
          <w:sz w:val="22"/>
        </w:rPr>
        <w:t>Un test d'intrusion reproduit, de manière autorisée et méthodique, le comportement d'un attaquant afin d'identifier et de démontrer des vulnérabilités exploitables. Le cycle de vie standard comprend la reconnaissance, l'évaluation des vulnérabilités, l'exploitation, la post-exploitation puis la rédaction du rapport. Le Red Teaming étend cette démarche à une simulation d'adversaire plus réaliste et furtive.</w:t>
      </w:r>
    </w:p>
    <w:p>
      <w:pPr>
        <w:pStyle w:val="Heading2"/>
      </w:pPr>
      <w:r>
        <w:t>2.3 Automatisation par IA agentique et LLM</w:t>
      </w:r>
    </w:p>
    <w:p>
      <w:pPr>
        <w:spacing w:after="120" w:before="0"/>
      </w:pPr>
      <w:r>
        <w:rPr>
          <w:b w:val="0"/>
          <w:i w:val="0"/>
          <w:sz w:val="22"/>
        </w:rPr>
        <w:t>Un système « agentique » orchestre un ou plusieurs agents fondés sur un LLM capables de raisonner, de décomposer une tâche, d'appeler des outils et d'itérer à partir des retours d'exécution. Appliqué au pentest, ce paradigme automatise la planification et l'enchaînement des actions offensives. Des travaux comme PentestGPT ou AutoGPT ont démontré la faisabilité de cette approche, tout en révélant ses limites : hallucinations, décisions d'exploitation peu fiables et besoin d'un ancrage dans des connaissances vérifiées.</w:t>
      </w:r>
    </w:p>
    <w:p>
      <w:pPr>
        <w:pStyle w:val="Heading2"/>
      </w:pPr>
      <w:r>
        <w:t>2.4 Briques mobilisées</w:t>
      </w:r>
    </w:p>
    <w:p>
      <w:pPr>
        <w:pStyle w:val="ListBullet"/>
        <w:spacing w:after="60"/>
      </w:pPr>
      <w:r>
        <w:rPr>
          <w:b/>
        </w:rPr>
        <w:t xml:space="preserve">Strix — </w:t>
      </w:r>
      <w:r>
        <w:t xml:space="preserve"> moteur multi-agent open-source de pentest ; un CLI côté hôte orchestre des agents qui exécutent des outils dans un bac à sable Docker (Kali).</w:t>
      </w:r>
    </w:p>
    <w:p>
      <w:pPr>
        <w:pStyle w:val="ListBullet"/>
        <w:spacing w:after="60"/>
      </w:pPr>
      <w:r>
        <w:rPr>
          <w:b/>
        </w:rPr>
        <w:t xml:space="preserve">Metasploit Framework — </w:t>
      </w:r>
      <w:r>
        <w:t xml:space="preserve"> arsenal d'exploitation de référence ; ses modules apportent vérification non destructive (check), gestion des cas limites et sessions structurées.</w:t>
      </w:r>
    </w:p>
    <w:p>
      <w:pPr>
        <w:pStyle w:val="ListBullet"/>
        <w:spacing w:after="60"/>
      </w:pPr>
      <w:r>
        <w:rPr>
          <w:b/>
        </w:rPr>
        <w:t xml:space="preserve">RAG (Retrieval-Augmented Generation) — </w:t>
      </w:r>
      <w:r>
        <w:t xml:space="preserve"> service qui indexe des connaissances d'exploitation et fournit, sur requête, un contexte et un guidage ancrés dans des documents réels plutôt que dans la seule mémoire du modèle.</w:t>
      </w:r>
    </w:p>
    <w:p>
      <w:pPr>
        <w:spacing w:after="120" w:before="0"/>
      </w:pPr>
      <w:r>
        <w:rPr>
          <w:b w:val="0"/>
          <w:i w:val="0"/>
          <w:sz w:val="22"/>
        </w:rPr>
        <w:t>La combinaison de ces briques permet d'ancrer le raisonnement de l'agent (RAG) tout en privilégiant un exécuteur éprouvé (Metasploit) lorsqu'un module existe.</w:t>
      </w:r>
    </w:p>
    <w:p>
      <w:pPr>
        <w:jc w:val="center"/>
      </w:pPr>
      <w:r>
        <w:drawing>
          <wp:inline xmlns:a="http://schemas.openxmlformats.org/drawingml/2006/main" xmlns:pic="http://schemas.openxmlformats.org/drawingml/2006/picture">
            <wp:extent cx="5760720" cy="3003498"/>
            <wp:docPr id="2" name="Picture 2"/>
            <wp:cNvGraphicFramePr>
              <a:graphicFrameLocks noChangeAspect="1"/>
            </wp:cNvGraphicFramePr>
            <a:graphic>
              <a:graphicData uri="http://schemas.openxmlformats.org/drawingml/2006/picture">
                <pic:pic>
                  <pic:nvPicPr>
                    <pic:cNvPr id="0" name="exploit_handoff.png"/>
                    <pic:cNvPicPr/>
                  </pic:nvPicPr>
                  <pic:blipFill>
                    <a:blip r:embed="rId10"/>
                    <a:stretch>
                      <a:fillRect/>
                    </a:stretch>
                  </pic:blipFill>
                  <pic:spPr>
                    <a:xfrm>
                      <a:off x="0" y="0"/>
                      <a:ext cx="5760720" cy="3003498"/>
                    </a:xfrm>
                    <a:prstGeom prst="rect"/>
                  </pic:spPr>
                </pic:pic>
              </a:graphicData>
            </a:graphic>
          </wp:inline>
        </w:drawing>
      </w:r>
    </w:p>
    <w:p>
      <w:pPr>
        <w:spacing w:after="240"/>
        <w:jc w:val="center"/>
      </w:pPr>
      <w:r>
        <w:rPr>
          <w:i/>
          <w:color w:val="475569"/>
          <w:sz w:val="19"/>
        </w:rPr>
        <w:t>Figure 2.1 — Handoff d'exploitation : RAG puis Metasploit, avec priorité au module.</w:t>
      </w:r>
    </w:p>
    <w:p>
      <w:pPr>
        <w:pStyle w:val="Heading2"/>
      </w:pPr>
      <w:r>
        <w:t>2.5 Positionnement du projet</w:t>
      </w:r>
    </w:p>
    <w:p>
      <w:pPr>
        <w:spacing w:after="120" w:before="0"/>
      </w:pPr>
      <w:r>
        <w:rPr>
          <w:b w:val="0"/>
          <w:i w:val="0"/>
          <w:sz w:val="22"/>
        </w:rPr>
        <w:t>Par rapport à l'existant, la contribution est double : (i) rendre l'exploitation déterministe en collapsant le protocole RAG + Metasploit dans un outil unique dont la décision est codée en Python ; (ii) doter la plateforme d'une console d'opérations sécurisée, absente des outils comparables, apportant gouvernance, temps réel et traçabilité.</w:t>
      </w:r>
    </w:p>
    <w:p>
      <w:pPr>
        <w:pStyle w:val="Heading2"/>
      </w:pPr>
      <w:r>
        <w:t>2.6 Conclusion</w:t>
      </w:r>
    </w:p>
    <w:p>
      <w:pPr>
        <w:spacing w:after="120" w:before="0"/>
      </w:pPr>
      <w:r>
        <w:rPr>
          <w:b w:val="0"/>
          <w:i w:val="0"/>
          <w:sz w:val="22"/>
        </w:rPr>
        <w:t>L'état de l'art confirme la pertinence d'une approche hybride « IA agentique + arsenal éprouvé » et l'intérêt d'une interface d'opérations. Le chapitre suivant en présente la conception.</w:t>
      </w:r>
    </w:p>
    <w:p>
      <w:r>
        <w:br w:type="page"/>
      </w:r>
    </w:p>
    <w:p>
      <w:pPr>
        <w:pStyle w:val="Heading1"/>
      </w:pPr>
      <w:r>
        <w:t>Chapitre 3 — Conception &amp; Architecture</w:t>
      </w:r>
    </w:p>
    <w:p>
      <w:pPr>
        <w:pStyle w:val="Heading2"/>
      </w:pPr>
      <w:r>
        <w:t>3.1 Introduction</w:t>
      </w:r>
    </w:p>
    <w:p>
      <w:pPr>
        <w:spacing w:after="120" w:before="0"/>
      </w:pPr>
      <w:r>
        <w:rPr>
          <w:b w:val="0"/>
          <w:i w:val="0"/>
          <w:sz w:val="22"/>
        </w:rPr>
        <w:t>Ce chapitre décrit l'architecture globale, les besoins fonctionnels et non fonctionnels, les diagrammes UML, le modèle de données et la conception de la sécurité.</w:t>
      </w:r>
    </w:p>
    <w:p>
      <w:pPr>
        <w:pStyle w:val="Heading2"/>
      </w:pPr>
      <w:r>
        <w:t>3.2 Architecture globale</w:t>
      </w:r>
    </w:p>
    <w:p>
      <w:pPr>
        <w:spacing w:after="120" w:before="0"/>
      </w:pPr>
      <w:r>
        <w:rPr>
          <w:b w:val="0"/>
          <w:i w:val="0"/>
          <w:sz w:val="22"/>
        </w:rPr>
        <w:t>La plateforme adopte une architecture trois tiers. Le client (Next.js) communique en même origine avec un serveur Next.js qui relaie les appels /api/* vers un backend FastAPI asynchrone. Ce dernier expose les services métier, persiste les données dans PostgreSQL (SQLite en développement) et pilote le moteur Strix, lequel s'appuie sur Metasploit et le service RAG. Redis fournit files et cache.</w:t>
      </w:r>
    </w:p>
    <w:p>
      <w:pPr>
        <w:jc w:val="center"/>
      </w:pPr>
      <w:r>
        <w:drawing>
          <wp:inline xmlns:a="http://schemas.openxmlformats.org/drawingml/2006/main" xmlns:pic="http://schemas.openxmlformats.org/drawingml/2006/picture">
            <wp:extent cx="5760720" cy="3870818"/>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3870818"/>
                    </a:xfrm>
                    <a:prstGeom prst="rect"/>
                  </pic:spPr>
                </pic:pic>
              </a:graphicData>
            </a:graphic>
          </wp:inline>
        </w:drawing>
      </w:r>
    </w:p>
    <w:p>
      <w:pPr>
        <w:spacing w:after="240"/>
        <w:jc w:val="center"/>
      </w:pPr>
      <w:r>
        <w:rPr>
          <w:i/>
          <w:color w:val="475569"/>
          <w:sz w:val="19"/>
        </w:rPr>
        <w:t>Figure 3.1 — Architecture globale de la plateforme Strix Console.</w:t>
      </w:r>
    </w:p>
    <w:p>
      <w:pPr>
        <w:pStyle w:val="Heading2"/>
      </w:pPr>
      <w:r>
        <w:t>3.3 Besoins</w:t>
      </w:r>
    </w:p>
    <w:p>
      <w:pPr>
        <w:pStyle w:val="Heading3"/>
      </w:pPr>
      <w:r>
        <w:t>3.3.1 Acteurs</w:t>
      </w:r>
    </w:p>
    <w:p>
      <w:pPr>
        <w:spacing w:after="120" w:before="0"/>
      </w:pPr>
      <w:r>
        <w:rPr>
          <w:b w:val="0"/>
          <w:i w:val="0"/>
          <w:sz w:val="22"/>
        </w:rPr>
        <w:t>Quatre rôles système sont définis, du moins au plus privilégié : Observateur (lecture seule), Analyste (création et exécution de tests, triage, export), Manager (supervision de toutes les campagnes, audit, lecture des utilisateurs) et Administrateur (accès complet).</w:t>
      </w:r>
    </w:p>
    <w:p>
      <w:pPr>
        <w:pStyle w:val="Heading3"/>
      </w:pPr>
      <w:r>
        <w:t>3.3.2 Besoins fonctionnels</w:t>
      </w:r>
    </w:p>
    <w:tbl>
      <w:tblPr>
        <w:tblStyle w:val="LightGrid-Accent1"/>
        <w:tblW w:type="auto" w:w="0"/>
        <w:jc w:val="center"/>
        <w:tblLook w:firstColumn="1" w:firstRow="1" w:lastColumn="0" w:lastRow="0" w:noHBand="0" w:noVBand="1" w:val="04A0"/>
      </w:tblPr>
      <w:tblGrid>
        <w:gridCol w:w="4680"/>
        <w:gridCol w:w="4680"/>
      </w:tblGrid>
      <w:tr>
        <w:tc>
          <w:tcPr>
            <w:tcW w:type="dxa" w:w="1296"/>
          </w:tcPr>
          <w:p>
            <w:r>
              <w:rPr>
                <w:b/>
                <w:sz w:val="20"/>
              </w:rPr>
              <w:t>Réf.</w:t>
            </w:r>
          </w:p>
        </w:tc>
        <w:tc>
          <w:tcPr>
            <w:tcW w:type="dxa" w:w="7776"/>
          </w:tcPr>
          <w:p>
            <w:r>
              <w:rPr>
                <w:b/>
                <w:sz w:val="20"/>
              </w:rPr>
              <w:t>Besoin fonctionnel</w:t>
            </w:r>
          </w:p>
        </w:tc>
      </w:tr>
      <w:tr>
        <w:tc>
          <w:tcPr>
            <w:tcW w:type="dxa" w:w="1296"/>
          </w:tcPr>
          <w:p>
            <w:r>
              <w:rPr>
                <w:sz w:val="19"/>
              </w:rPr>
              <w:t>BF1</w:t>
            </w:r>
          </w:p>
        </w:tc>
        <w:tc>
          <w:tcPr>
            <w:tcW w:type="dxa" w:w="7776"/>
          </w:tcPr>
          <w:p>
            <w:r>
              <w:rPr>
                <w:sz w:val="19"/>
              </w:rPr>
              <w:t>S'authentifier avec cookies sécurisés et second facteur (MFA TOTP)</w:t>
            </w:r>
          </w:p>
        </w:tc>
      </w:tr>
      <w:tr>
        <w:tc>
          <w:tcPr>
            <w:tcW w:type="dxa" w:w="1296"/>
          </w:tcPr>
          <w:p>
            <w:r>
              <w:rPr>
                <w:sz w:val="19"/>
              </w:rPr>
              <w:t>BF2</w:t>
            </w:r>
          </w:p>
        </w:tc>
        <w:tc>
          <w:tcPr>
            <w:tcW w:type="dxa" w:w="7776"/>
          </w:tcPr>
          <w:p>
            <w:r>
              <w:rPr>
                <w:sz w:val="19"/>
              </w:rPr>
              <w:t>Gérer les utilisateurs, les rôles et les permissions (RBAC)</w:t>
            </w:r>
          </w:p>
        </w:tc>
      </w:tr>
      <w:tr>
        <w:tc>
          <w:tcPr>
            <w:tcW w:type="dxa" w:w="1296"/>
          </w:tcPr>
          <w:p>
            <w:r>
              <w:rPr>
                <w:sz w:val="19"/>
              </w:rPr>
              <w:t>BF3</w:t>
            </w:r>
          </w:p>
        </w:tc>
        <w:tc>
          <w:tcPr>
            <w:tcW w:type="dxa" w:w="7776"/>
          </w:tcPr>
          <w:p>
            <w:r>
              <w:rPr>
                <w:sz w:val="19"/>
              </w:rPr>
              <w:t>Créer, lancer, annuler et supprimer un test d'intrusion</w:t>
            </w:r>
          </w:p>
        </w:tc>
      </w:tr>
      <w:tr>
        <w:tc>
          <w:tcPr>
            <w:tcW w:type="dxa" w:w="1296"/>
          </w:tcPr>
          <w:p>
            <w:r>
              <w:rPr>
                <w:sz w:val="19"/>
              </w:rPr>
              <w:t>BF4</w:t>
            </w:r>
          </w:p>
        </w:tc>
        <w:tc>
          <w:tcPr>
            <w:tcW w:type="dxa" w:w="7776"/>
          </w:tcPr>
          <w:p>
            <w:r>
              <w:rPr>
                <w:sz w:val="19"/>
              </w:rPr>
              <w:t>Suivre en temps réel le pipeline (état, phases, journal)</w:t>
            </w:r>
          </w:p>
        </w:tc>
      </w:tr>
      <w:tr>
        <w:tc>
          <w:tcPr>
            <w:tcW w:type="dxa" w:w="1296"/>
          </w:tcPr>
          <w:p>
            <w:r>
              <w:rPr>
                <w:sz w:val="19"/>
              </w:rPr>
              <w:t>BF5</w:t>
            </w:r>
          </w:p>
        </w:tc>
        <w:tc>
          <w:tcPr>
            <w:tcW w:type="dxa" w:w="7776"/>
          </w:tcPr>
          <w:p>
            <w:r>
              <w:rPr>
                <w:sz w:val="19"/>
              </w:rPr>
              <w:t>Visualiser la sortie du moteur (arbre d'agents, télémétrie, console)</w:t>
            </w:r>
          </w:p>
        </w:tc>
      </w:tr>
      <w:tr>
        <w:tc>
          <w:tcPr>
            <w:tcW w:type="dxa" w:w="1296"/>
          </w:tcPr>
          <w:p>
            <w:r>
              <w:rPr>
                <w:sz w:val="19"/>
              </w:rPr>
              <w:t>BF6</w:t>
            </w:r>
          </w:p>
        </w:tc>
        <w:tc>
          <w:tcPr>
            <w:tcW w:type="dxa" w:w="7776"/>
          </w:tcPr>
          <w:p>
            <w:r>
              <w:rPr>
                <w:sz w:val="19"/>
              </w:rPr>
              <w:t>Trier les vulnérabilités (statut, gravité, assignation)</w:t>
            </w:r>
          </w:p>
        </w:tc>
      </w:tr>
      <w:tr>
        <w:tc>
          <w:tcPr>
            <w:tcW w:type="dxa" w:w="1296"/>
          </w:tcPr>
          <w:p>
            <w:r>
              <w:rPr>
                <w:sz w:val="19"/>
              </w:rPr>
              <w:t>BF7</w:t>
            </w:r>
          </w:p>
        </w:tc>
        <w:tc>
          <w:tcPr>
            <w:tcW w:type="dxa" w:w="7776"/>
          </w:tcPr>
          <w:p>
            <w:r>
              <w:rPr>
                <w:sz w:val="19"/>
              </w:rPr>
              <w:t>Comparer deux scans d'une même cible (nouveaux / corrigés)</w:t>
            </w:r>
          </w:p>
        </w:tc>
      </w:tr>
      <w:tr>
        <w:tc>
          <w:tcPr>
            <w:tcW w:type="dxa" w:w="1296"/>
          </w:tcPr>
          <w:p>
            <w:r>
              <w:rPr>
                <w:sz w:val="19"/>
              </w:rPr>
              <w:t>BF8</w:t>
            </w:r>
          </w:p>
        </w:tc>
        <w:tc>
          <w:tcPr>
            <w:tcW w:type="dxa" w:w="7776"/>
          </w:tcPr>
          <w:p>
            <w:r>
              <w:rPr>
                <w:sz w:val="19"/>
              </w:rPr>
              <w:t>Planifier des tests récurrents (cron)</w:t>
            </w:r>
          </w:p>
        </w:tc>
      </w:tr>
      <w:tr>
        <w:tc>
          <w:tcPr>
            <w:tcW w:type="dxa" w:w="1296"/>
          </w:tcPr>
          <w:p>
            <w:r>
              <w:rPr>
                <w:sz w:val="19"/>
              </w:rPr>
              <w:t>BF9</w:t>
            </w:r>
          </w:p>
        </w:tc>
        <w:tc>
          <w:tcPr>
            <w:tcW w:type="dxa" w:w="7776"/>
          </w:tcPr>
          <w:p>
            <w:r>
              <w:rPr>
                <w:sz w:val="19"/>
              </w:rPr>
              <w:t>Exporter des rapports (PDF, CSV, JSON)</w:t>
            </w:r>
          </w:p>
        </w:tc>
      </w:tr>
      <w:tr>
        <w:tc>
          <w:tcPr>
            <w:tcW w:type="dxa" w:w="1296"/>
          </w:tcPr>
          <w:p>
            <w:r>
              <w:rPr>
                <w:sz w:val="19"/>
              </w:rPr>
              <w:t>BF10</w:t>
            </w:r>
          </w:p>
        </w:tc>
        <w:tc>
          <w:tcPr>
            <w:tcW w:type="dxa" w:w="7776"/>
          </w:tcPr>
          <w:p>
            <w:r>
              <w:rPr>
                <w:sz w:val="19"/>
              </w:rPr>
              <w:t>Consulter l'assistant IA et le journal d'audit</w:t>
            </w:r>
          </w:p>
        </w:tc>
      </w:tr>
    </w:tbl>
    <w:p>
      <w:pPr>
        <w:jc w:val="center"/>
      </w:pPr>
      <w:r>
        <w:rPr>
          <w:i/>
          <w:color w:val="475569"/>
          <w:sz w:val="19"/>
        </w:rPr>
        <w:t>Tableau 1 — Besoins fonctionnels principaux.</w:t>
      </w:r>
    </w:p>
    <w:p>
      <w:pPr>
        <w:spacing w:after="80"/>
      </w:pPr>
    </w:p>
    <w:p>
      <w:pPr>
        <w:pStyle w:val="Heading3"/>
      </w:pPr>
      <w:r>
        <w:t>3.3.3 Besoins non fonctionnels</w:t>
      </w:r>
    </w:p>
    <w:tbl>
      <w:tblPr>
        <w:tblStyle w:val="LightGrid-Accent1"/>
        <w:tblW w:type="auto" w:w="0"/>
        <w:jc w:val="center"/>
        <w:tblLook w:firstColumn="1" w:firstRow="1" w:lastColumn="0" w:lastRow="0" w:noHBand="0" w:noVBand="1" w:val="04A0"/>
      </w:tblPr>
      <w:tblGrid>
        <w:gridCol w:w="4680"/>
        <w:gridCol w:w="4680"/>
      </w:tblGrid>
      <w:tr>
        <w:tc>
          <w:tcPr>
            <w:tcW w:type="dxa" w:w="1296"/>
          </w:tcPr>
          <w:p>
            <w:r>
              <w:rPr>
                <w:b/>
                <w:sz w:val="20"/>
              </w:rPr>
              <w:t>Réf.</w:t>
            </w:r>
          </w:p>
        </w:tc>
        <w:tc>
          <w:tcPr>
            <w:tcW w:type="dxa" w:w="7776"/>
          </w:tcPr>
          <w:p>
            <w:r>
              <w:rPr>
                <w:b/>
                <w:sz w:val="20"/>
              </w:rPr>
              <w:t>Besoin non fonctionnel</w:t>
            </w:r>
          </w:p>
        </w:tc>
      </w:tr>
      <w:tr>
        <w:tc>
          <w:tcPr>
            <w:tcW w:type="dxa" w:w="1296"/>
          </w:tcPr>
          <w:p>
            <w:r>
              <w:rPr>
                <w:sz w:val="19"/>
              </w:rPr>
              <w:t>BNF1</w:t>
            </w:r>
          </w:p>
        </w:tc>
        <w:tc>
          <w:tcPr>
            <w:tcW w:type="dxa" w:w="7776"/>
          </w:tcPr>
          <w:p>
            <w:r>
              <w:rPr>
                <w:sz w:val="19"/>
              </w:rPr>
              <w:t>Sécurité : jetons httpOnly, protection CSRF, MFA, en-têtes de sécurité</w:t>
            </w:r>
          </w:p>
        </w:tc>
      </w:tr>
      <w:tr>
        <w:tc>
          <w:tcPr>
            <w:tcW w:type="dxa" w:w="1296"/>
          </w:tcPr>
          <w:p>
            <w:r>
              <w:rPr>
                <w:sz w:val="19"/>
              </w:rPr>
              <w:t>BNF2</w:t>
            </w:r>
          </w:p>
        </w:tc>
        <w:tc>
          <w:tcPr>
            <w:tcW w:type="dxa" w:w="7776"/>
          </w:tcPr>
          <w:p>
            <w:r>
              <w:rPr>
                <w:sz w:val="19"/>
              </w:rPr>
              <w:t>Performance : backend asynchrone, temps réel via WebSocket</w:t>
            </w:r>
          </w:p>
        </w:tc>
      </w:tr>
      <w:tr>
        <w:tc>
          <w:tcPr>
            <w:tcW w:type="dxa" w:w="1296"/>
          </w:tcPr>
          <w:p>
            <w:r>
              <w:rPr>
                <w:sz w:val="19"/>
              </w:rPr>
              <w:t>BNF3</w:t>
            </w:r>
          </w:p>
        </w:tc>
        <w:tc>
          <w:tcPr>
            <w:tcW w:type="dxa" w:w="7776"/>
          </w:tcPr>
          <w:p>
            <w:r>
              <w:rPr>
                <w:sz w:val="19"/>
              </w:rPr>
              <w:t>Traçabilité : journal d'audit inaltérable (chaîné par hachage)</w:t>
            </w:r>
          </w:p>
        </w:tc>
      </w:tr>
      <w:tr>
        <w:tc>
          <w:tcPr>
            <w:tcW w:type="dxa" w:w="1296"/>
          </w:tcPr>
          <w:p>
            <w:r>
              <w:rPr>
                <w:sz w:val="19"/>
              </w:rPr>
              <w:t>BNF4</w:t>
            </w:r>
          </w:p>
        </w:tc>
        <w:tc>
          <w:tcPr>
            <w:tcW w:type="dxa" w:w="7776"/>
          </w:tcPr>
          <w:p>
            <w:r>
              <w:rPr>
                <w:sz w:val="19"/>
              </w:rPr>
              <w:t>Fiabilité : réconciliation des exécutions, tests automatisés</w:t>
            </w:r>
          </w:p>
        </w:tc>
      </w:tr>
      <w:tr>
        <w:tc>
          <w:tcPr>
            <w:tcW w:type="dxa" w:w="1296"/>
          </w:tcPr>
          <w:p>
            <w:r>
              <w:rPr>
                <w:sz w:val="19"/>
              </w:rPr>
              <w:t>BNF5</w:t>
            </w:r>
          </w:p>
        </w:tc>
        <w:tc>
          <w:tcPr>
            <w:tcW w:type="dxa" w:w="7776"/>
          </w:tcPr>
          <w:p>
            <w:r>
              <w:rPr>
                <w:sz w:val="19"/>
              </w:rPr>
              <w:t>Maintenabilité : migrations versionnées, séparation claire des couches</w:t>
            </w:r>
          </w:p>
        </w:tc>
      </w:tr>
      <w:tr>
        <w:tc>
          <w:tcPr>
            <w:tcW w:type="dxa" w:w="1296"/>
          </w:tcPr>
          <w:p>
            <w:r>
              <w:rPr>
                <w:sz w:val="19"/>
              </w:rPr>
              <w:t>BNF6</w:t>
            </w:r>
          </w:p>
        </w:tc>
        <w:tc>
          <w:tcPr>
            <w:tcW w:type="dxa" w:w="7776"/>
          </w:tcPr>
          <w:p>
            <w:r>
              <w:rPr>
                <w:sz w:val="19"/>
              </w:rPr>
              <w:t>Observabilité : identifiants de requête, sondes /readyz et /livez</w:t>
            </w:r>
          </w:p>
        </w:tc>
      </w:tr>
    </w:tbl>
    <w:p>
      <w:pPr>
        <w:jc w:val="center"/>
      </w:pPr>
      <w:r>
        <w:rPr>
          <w:i/>
          <w:color w:val="475569"/>
          <w:sz w:val="19"/>
        </w:rPr>
        <w:t>Tableau 2 — Besoins non fonctionnels.</w:t>
      </w:r>
    </w:p>
    <w:p>
      <w:pPr>
        <w:spacing w:after="80"/>
      </w:pPr>
    </w:p>
    <w:p>
      <w:pPr>
        <w:pStyle w:val="Heading2"/>
      </w:pPr>
      <w:r>
        <w:t>3.4 Diagrammes UML</w:t>
      </w:r>
    </w:p>
    <w:p>
      <w:pPr>
        <w:pStyle w:val="Heading3"/>
      </w:pPr>
      <w:r>
        <w:t>3.4.1 Diagramme de cas d'utilisation</w:t>
      </w:r>
    </w:p>
    <w:p>
      <w:pPr>
        <w:jc w:val="center"/>
      </w:pPr>
      <w:r>
        <w:drawing>
          <wp:inline xmlns:a="http://schemas.openxmlformats.org/drawingml/2006/main" xmlns:pic="http://schemas.openxmlformats.org/drawingml/2006/picture">
            <wp:extent cx="5760720" cy="4175987"/>
            <wp:docPr id="4" name="Picture 4"/>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760720" cy="4175987"/>
                    </a:xfrm>
                    <a:prstGeom prst="rect"/>
                  </pic:spPr>
                </pic:pic>
              </a:graphicData>
            </a:graphic>
          </wp:inline>
        </w:drawing>
      </w:r>
    </w:p>
    <w:p>
      <w:pPr>
        <w:spacing w:after="240"/>
        <w:jc w:val="center"/>
      </w:pPr>
      <w:r>
        <w:rPr>
          <w:i/>
          <w:color w:val="475569"/>
          <w:sz w:val="19"/>
        </w:rPr>
        <w:t>Figure 3.2 — Diagramme de cas d'utilisation de la plateforme.</w:t>
      </w:r>
    </w:p>
    <w:p>
      <w:pPr>
        <w:pStyle w:val="Heading3"/>
      </w:pPr>
      <w:r>
        <w:t>3.4.2 Diagramme de séquence — exécution d'un test</w:t>
      </w:r>
    </w:p>
    <w:p>
      <w:pPr>
        <w:spacing w:after="120" w:before="0"/>
      </w:pPr>
      <w:r>
        <w:rPr>
          <w:b w:val="0"/>
          <w:i w:val="0"/>
          <w:sz w:val="22"/>
        </w:rPr>
        <w:t>Le scénario nominal d'exécution d'un test illustre l'enchaînement entre l'utilisateur, le frontend, l'API, le moteur et la base de données, ainsi que la diffusion des événements temps réel via WebSocket.</w:t>
      </w:r>
    </w:p>
    <w:p>
      <w:pPr>
        <w:jc w:val="center"/>
      </w:pPr>
      <w:r>
        <w:drawing>
          <wp:inline xmlns:a="http://schemas.openxmlformats.org/drawingml/2006/main" xmlns:pic="http://schemas.openxmlformats.org/drawingml/2006/picture">
            <wp:extent cx="5760720" cy="3200400"/>
            <wp:docPr id="5" name="Picture 5"/>
            <wp:cNvGraphicFramePr>
              <a:graphicFrameLocks noChangeAspect="1"/>
            </wp:cNvGraphicFramePr>
            <a:graphic>
              <a:graphicData uri="http://schemas.openxmlformats.org/drawingml/2006/picture">
                <pic:pic>
                  <pic:nvPicPr>
                    <pic:cNvPr id="0" name="seq_run.png"/>
                    <pic:cNvPicPr/>
                  </pic:nvPicPr>
                  <pic:blipFill>
                    <a:blip r:embed="rId13"/>
                    <a:stretch>
                      <a:fillRect/>
                    </a:stretch>
                  </pic:blipFill>
                  <pic:spPr>
                    <a:xfrm>
                      <a:off x="0" y="0"/>
                      <a:ext cx="5760720" cy="3200400"/>
                    </a:xfrm>
                    <a:prstGeom prst="rect"/>
                  </pic:spPr>
                </pic:pic>
              </a:graphicData>
            </a:graphic>
          </wp:inline>
        </w:drawing>
      </w:r>
    </w:p>
    <w:p>
      <w:pPr>
        <w:spacing w:after="240"/>
        <w:jc w:val="center"/>
      </w:pPr>
      <w:r>
        <w:rPr>
          <w:i/>
          <w:color w:val="475569"/>
          <w:sz w:val="19"/>
        </w:rPr>
        <w:t>Figure 3.3 — Diagramme de séquence : exécution d'un test.</w:t>
      </w:r>
    </w:p>
    <w:p>
      <w:pPr>
        <w:pStyle w:val="Heading2"/>
      </w:pPr>
      <w:r>
        <w:t>3.5 Modèle de données</w:t>
      </w:r>
    </w:p>
    <w:p>
      <w:pPr>
        <w:spacing w:after="120" w:before="0"/>
      </w:pPr>
      <w:r>
        <w:rPr>
          <w:b w:val="0"/>
          <w:i w:val="0"/>
          <w:sz w:val="22"/>
        </w:rPr>
        <w:t>Le modèle relationnel s'organise autour des entités suivantes, gérées via l'ORM SQLAlchemy 2.0 et versionnées par Alembic.</w:t>
      </w:r>
    </w:p>
    <w:tbl>
      <w:tblPr>
        <w:tblStyle w:val="LightGrid-Accent1"/>
        <w:tblW w:type="auto" w:w="0"/>
        <w:jc w:val="center"/>
        <w:tblLook w:firstColumn="1" w:firstRow="1" w:lastColumn="0" w:lastRow="0" w:noHBand="0" w:noVBand="1" w:val="04A0"/>
      </w:tblPr>
      <w:tblGrid>
        <w:gridCol w:w="4680"/>
        <w:gridCol w:w="4680"/>
      </w:tblGrid>
      <w:tr>
        <w:tc>
          <w:tcPr>
            <w:tcW w:type="dxa" w:w="3744"/>
          </w:tcPr>
          <w:p>
            <w:r>
              <w:rPr>
                <w:b/>
                <w:sz w:val="20"/>
              </w:rPr>
              <w:t>Table</w:t>
            </w:r>
          </w:p>
        </w:tc>
        <w:tc>
          <w:tcPr>
            <w:tcW w:type="dxa" w:w="5328"/>
          </w:tcPr>
          <w:p>
            <w:r>
              <w:rPr>
                <w:b/>
                <w:sz w:val="20"/>
              </w:rPr>
              <w:t>Rôle</w:t>
            </w:r>
          </w:p>
        </w:tc>
      </w:tr>
      <w:tr>
        <w:tc>
          <w:tcPr>
            <w:tcW w:type="dxa" w:w="3744"/>
          </w:tcPr>
          <w:p>
            <w:r>
              <w:rPr>
                <w:sz w:val="19"/>
              </w:rPr>
              <w:t>users / roles / role_permissions</w:t>
            </w:r>
          </w:p>
        </w:tc>
        <w:tc>
          <w:tcPr>
            <w:tcW w:type="dxa" w:w="5328"/>
          </w:tcPr>
          <w:p>
            <w:r>
              <w:rPr>
                <w:sz w:val="19"/>
              </w:rPr>
              <w:t>Comptes, rôles et permissions (RBAC)</w:t>
            </w:r>
          </w:p>
        </w:tc>
      </w:tr>
      <w:tr>
        <w:tc>
          <w:tcPr>
            <w:tcW w:type="dxa" w:w="3744"/>
          </w:tcPr>
          <w:p>
            <w:r>
              <w:rPr>
                <w:sz w:val="19"/>
              </w:rPr>
              <w:t>user_sessions</w:t>
            </w:r>
          </w:p>
        </w:tc>
        <w:tc>
          <w:tcPr>
            <w:tcW w:type="dxa" w:w="5328"/>
          </w:tcPr>
          <w:p>
            <w:r>
              <w:rPr>
                <w:sz w:val="19"/>
              </w:rPr>
              <w:t>Sessions serveur (rotation, détection de réutilisation)</w:t>
            </w:r>
          </w:p>
        </w:tc>
      </w:tr>
      <w:tr>
        <w:tc>
          <w:tcPr>
            <w:tcW w:type="dxa" w:w="3744"/>
          </w:tcPr>
          <w:p>
            <w:r>
              <w:rPr>
                <w:sz w:val="19"/>
              </w:rPr>
              <w:t>assessments / findings</w:t>
            </w:r>
          </w:p>
        </w:tc>
        <w:tc>
          <w:tcPr>
            <w:tcW w:type="dxa" w:w="5328"/>
          </w:tcPr>
          <w:p>
            <w:r>
              <w:rPr>
                <w:sz w:val="19"/>
              </w:rPr>
              <w:t>Campagnes et vulnérabilités découvertes</w:t>
            </w:r>
          </w:p>
        </w:tc>
      </w:tr>
      <w:tr>
        <w:tc>
          <w:tcPr>
            <w:tcW w:type="dxa" w:w="3744"/>
          </w:tcPr>
          <w:p>
            <w:r>
              <w:rPr>
                <w:sz w:val="19"/>
              </w:rPr>
              <w:t>post_ex_events</w:t>
            </w:r>
          </w:p>
        </w:tc>
        <w:tc>
          <w:tcPr>
            <w:tcW w:type="dxa" w:w="5328"/>
          </w:tcPr>
          <w:p>
            <w:r>
              <w:rPr>
                <w:sz w:val="19"/>
              </w:rPr>
              <w:t>Événements de post-exploitation (session, privesc, exfil…)</w:t>
            </w:r>
          </w:p>
        </w:tc>
      </w:tr>
      <w:tr>
        <w:tc>
          <w:tcPr>
            <w:tcW w:type="dxa" w:w="3744"/>
          </w:tcPr>
          <w:p>
            <w:r>
              <w:rPr>
                <w:sz w:val="19"/>
              </w:rPr>
              <w:t>schedules</w:t>
            </w:r>
          </w:p>
        </w:tc>
        <w:tc>
          <w:tcPr>
            <w:tcW w:type="dxa" w:w="5328"/>
          </w:tcPr>
          <w:p>
            <w:r>
              <w:rPr>
                <w:sz w:val="19"/>
              </w:rPr>
              <w:t>Définitions de tests récurrents (cron)</w:t>
            </w:r>
          </w:p>
        </w:tc>
      </w:tr>
      <w:tr>
        <w:tc>
          <w:tcPr>
            <w:tcW w:type="dxa" w:w="3744"/>
          </w:tcPr>
          <w:p>
            <w:r>
              <w:rPr>
                <w:sz w:val="19"/>
              </w:rPr>
              <w:t>log_entries / audit_events</w:t>
            </w:r>
          </w:p>
        </w:tc>
        <w:tc>
          <w:tcPr>
            <w:tcW w:type="dxa" w:w="5328"/>
          </w:tcPr>
          <w:p>
            <w:r>
              <w:rPr>
                <w:sz w:val="19"/>
              </w:rPr>
              <w:t>Journaux d'exécution et journal d'audit chaîné</w:t>
            </w:r>
          </w:p>
        </w:tc>
      </w:tr>
      <w:tr>
        <w:tc>
          <w:tcPr>
            <w:tcW w:type="dxa" w:w="3744"/>
          </w:tcPr>
          <w:p>
            <w:r>
              <w:rPr>
                <w:sz w:val="19"/>
              </w:rPr>
              <w:t>reports / chat_sessions / chat_messages</w:t>
            </w:r>
          </w:p>
        </w:tc>
        <w:tc>
          <w:tcPr>
            <w:tcW w:type="dxa" w:w="5328"/>
          </w:tcPr>
          <w:p>
            <w:r>
              <w:rPr>
                <w:sz w:val="19"/>
              </w:rPr>
              <w:t>Rapports et conversations de l'assistant</w:t>
            </w:r>
          </w:p>
        </w:tc>
      </w:tr>
    </w:tbl>
    <w:p>
      <w:pPr>
        <w:jc w:val="center"/>
      </w:pPr>
      <w:r>
        <w:rPr>
          <w:i/>
          <w:color w:val="475569"/>
          <w:sz w:val="19"/>
        </w:rPr>
        <w:t>Tableau 3 — Modèle de données (principales tables).</w:t>
      </w:r>
    </w:p>
    <w:p>
      <w:pPr>
        <w:spacing w:after="80"/>
      </w:pPr>
    </w:p>
    <w:p>
      <w:pPr>
        <w:pStyle w:val="Heading2"/>
      </w:pPr>
      <w:r>
        <w:t>3.6 Conception de la sécurité</w:t>
      </w:r>
    </w:p>
    <w:p>
      <w:pPr>
        <w:spacing w:after="120" w:before="0"/>
      </w:pPr>
      <w:r>
        <w:rPr>
          <w:b w:val="0"/>
          <w:i w:val="0"/>
          <w:sz w:val="22"/>
        </w:rPr>
        <w:t>La sécurité repose sur une authentification par cookies httpOnly (jeton d'accès non lisible en JavaScript), une protection CSRF par double soumission, un second facteur TOTP obligatoire pour les rôles à privilèges, une rotation des jetons de rafraîchissement avec détection de réutilisation, ainsi qu'un contrôle d'accès par rôles appliqué à chaque endpoint.</w:t>
      </w:r>
    </w:p>
    <w:p>
      <w:pPr>
        <w:jc w:val="center"/>
      </w:pPr>
      <w:r>
        <w:drawing>
          <wp:inline xmlns:a="http://schemas.openxmlformats.org/drawingml/2006/main" xmlns:pic="http://schemas.openxmlformats.org/drawingml/2006/picture">
            <wp:extent cx="5760720" cy="2587321"/>
            <wp:docPr id="6" name="Picture 6"/>
            <wp:cNvGraphicFramePr>
              <a:graphicFrameLocks noChangeAspect="1"/>
            </wp:cNvGraphicFramePr>
            <a:graphic>
              <a:graphicData uri="http://schemas.openxmlformats.org/drawingml/2006/picture">
                <pic:pic>
                  <pic:nvPicPr>
                    <pic:cNvPr id="0" name="rbac.png"/>
                    <pic:cNvPicPr/>
                  </pic:nvPicPr>
                  <pic:blipFill>
                    <a:blip r:embed="rId14"/>
                    <a:stretch>
                      <a:fillRect/>
                    </a:stretch>
                  </pic:blipFill>
                  <pic:spPr>
                    <a:xfrm>
                      <a:off x="0" y="0"/>
                      <a:ext cx="5760720" cy="2587321"/>
                    </a:xfrm>
                    <a:prstGeom prst="rect"/>
                  </pic:spPr>
                </pic:pic>
              </a:graphicData>
            </a:graphic>
          </wp:inline>
        </w:drawing>
      </w:r>
    </w:p>
    <w:p>
      <w:pPr>
        <w:spacing w:after="240"/>
        <w:jc w:val="center"/>
      </w:pPr>
      <w:r>
        <w:rPr>
          <w:i/>
          <w:color w:val="475569"/>
          <w:sz w:val="19"/>
        </w:rPr>
        <w:t>Figure 3.4 — Matrice RBAC : permissions accordées par rôle système.</w:t>
      </w:r>
    </w:p>
    <w:p>
      <w:pPr>
        <w:pStyle w:val="Heading2"/>
      </w:pPr>
      <w:r>
        <w:t>3.7 Conclusion</w:t>
      </w:r>
    </w:p>
    <w:p>
      <w:pPr>
        <w:spacing w:after="120" w:before="0"/>
      </w:pPr>
      <w:r>
        <w:rPr>
          <w:b w:val="0"/>
          <w:i w:val="0"/>
          <w:sz w:val="22"/>
        </w:rPr>
        <w:t>La conception établit une base sûre et modulaire. Le chapitre suivant décrit les technologies retenues et la réalisation.</w:t>
      </w:r>
    </w:p>
    <w:p>
      <w:r>
        <w:br w:type="page"/>
      </w:r>
    </w:p>
    <w:p>
      <w:pPr>
        <w:pStyle w:val="Heading1"/>
      </w:pPr>
      <w:r>
        <w:t>Chapitre 4 — Technologies &amp; Réalisation</w:t>
      </w:r>
    </w:p>
    <w:p>
      <w:pPr>
        <w:pStyle w:val="Heading2"/>
      </w:pPr>
      <w:r>
        <w:t>4.1 Introduction</w:t>
      </w:r>
    </w:p>
    <w:p>
      <w:pPr>
        <w:spacing w:after="120" w:before="0"/>
      </w:pPr>
      <w:r>
        <w:rPr>
          <w:b w:val="0"/>
          <w:i w:val="0"/>
          <w:sz w:val="22"/>
        </w:rPr>
        <w:t>Ce chapitre présente la pile technologique, l'intégration Metasploit + RAG et la réalisation du backend et du frontend.</w:t>
      </w:r>
    </w:p>
    <w:p>
      <w:pPr>
        <w:pStyle w:val="Heading2"/>
      </w:pPr>
      <w:r>
        <w:t>4.2 Pile technologique</w:t>
      </w:r>
    </w:p>
    <w:tbl>
      <w:tblPr>
        <w:tblStyle w:val="LightGrid-Accent1"/>
        <w:tblW w:type="auto" w:w="0"/>
        <w:jc w:val="center"/>
        <w:tblLook w:firstColumn="1" w:firstRow="1" w:lastColumn="0" w:lastRow="0" w:noHBand="0" w:noVBand="1" w:val="04A0"/>
      </w:tblPr>
      <w:tblGrid>
        <w:gridCol w:w="4680"/>
        <w:gridCol w:w="4680"/>
      </w:tblGrid>
      <w:tr>
        <w:tc>
          <w:tcPr>
            <w:tcW w:type="dxa" w:w="2448"/>
          </w:tcPr>
          <w:p>
            <w:r>
              <w:rPr>
                <w:b/>
                <w:sz w:val="20"/>
              </w:rPr>
              <w:t>Couche</w:t>
            </w:r>
          </w:p>
        </w:tc>
        <w:tc>
          <w:tcPr>
            <w:tcW w:type="dxa" w:w="6624"/>
          </w:tcPr>
          <w:p>
            <w:r>
              <w:rPr>
                <w:b/>
                <w:sz w:val="20"/>
              </w:rPr>
              <w:t>Technologies</w:t>
            </w:r>
          </w:p>
        </w:tc>
      </w:tr>
      <w:tr>
        <w:tc>
          <w:tcPr>
            <w:tcW w:type="dxa" w:w="2448"/>
          </w:tcPr>
          <w:p>
            <w:r>
              <w:rPr>
                <w:sz w:val="19"/>
              </w:rPr>
              <w:t>Frontend</w:t>
            </w:r>
          </w:p>
        </w:tc>
        <w:tc>
          <w:tcPr>
            <w:tcW w:type="dxa" w:w="6624"/>
          </w:tcPr>
          <w:p>
            <w:r>
              <w:rPr>
                <w:sz w:val="19"/>
              </w:rPr>
              <w:t>Next.js 16 (App Router), React 19, TypeScript, Tailwind CSS, Recharts</w:t>
            </w:r>
          </w:p>
        </w:tc>
      </w:tr>
      <w:tr>
        <w:tc>
          <w:tcPr>
            <w:tcW w:type="dxa" w:w="2448"/>
          </w:tcPr>
          <w:p>
            <w:r>
              <w:rPr>
                <w:sz w:val="19"/>
              </w:rPr>
              <w:t>Backend</w:t>
            </w:r>
          </w:p>
        </w:tc>
        <w:tc>
          <w:tcPr>
            <w:tcW w:type="dxa" w:w="6624"/>
          </w:tcPr>
          <w:p>
            <w:r>
              <w:rPr>
                <w:sz w:val="19"/>
              </w:rPr>
              <w:t>FastAPI (async), SQLAlchemy 2.0, Pydantic v2, Uvicorn</w:t>
            </w:r>
          </w:p>
        </w:tc>
      </w:tr>
      <w:tr>
        <w:tc>
          <w:tcPr>
            <w:tcW w:type="dxa" w:w="2448"/>
          </w:tcPr>
          <w:p>
            <w:r>
              <w:rPr>
                <w:sz w:val="19"/>
              </w:rPr>
              <w:t>Sécurité</w:t>
            </w:r>
          </w:p>
        </w:tc>
        <w:tc>
          <w:tcPr>
            <w:tcW w:type="dxa" w:w="6624"/>
          </w:tcPr>
          <w:p>
            <w:r>
              <w:rPr>
                <w:sz w:val="19"/>
              </w:rPr>
              <w:t>Argon2, PyJWT, pyotp (TOTP), slowapi (rate-limit)</w:t>
            </w:r>
          </w:p>
        </w:tc>
      </w:tr>
      <w:tr>
        <w:tc>
          <w:tcPr>
            <w:tcW w:type="dxa" w:w="2448"/>
          </w:tcPr>
          <w:p>
            <w:r>
              <w:rPr>
                <w:sz w:val="19"/>
              </w:rPr>
              <w:t>Données</w:t>
            </w:r>
          </w:p>
        </w:tc>
        <w:tc>
          <w:tcPr>
            <w:tcW w:type="dxa" w:w="6624"/>
          </w:tcPr>
          <w:p>
            <w:r>
              <w:rPr>
                <w:sz w:val="19"/>
              </w:rPr>
              <w:t>PostgreSQL (asyncpg) / SQLite (aiosqlite), Alembic, Redis</w:t>
            </w:r>
          </w:p>
        </w:tc>
      </w:tr>
      <w:tr>
        <w:tc>
          <w:tcPr>
            <w:tcW w:type="dxa" w:w="2448"/>
          </w:tcPr>
          <w:p>
            <w:r>
              <w:rPr>
                <w:sz w:val="19"/>
              </w:rPr>
              <w:t>Planification</w:t>
            </w:r>
          </w:p>
        </w:tc>
        <w:tc>
          <w:tcPr>
            <w:tcW w:type="dxa" w:w="6624"/>
          </w:tcPr>
          <w:p>
            <w:r>
              <w:rPr>
                <w:sz w:val="19"/>
              </w:rPr>
              <w:t>APScheduler, croniter</w:t>
            </w:r>
          </w:p>
        </w:tc>
      </w:tr>
      <w:tr>
        <w:tc>
          <w:tcPr>
            <w:tcW w:type="dxa" w:w="2448"/>
          </w:tcPr>
          <w:p>
            <w:r>
              <w:rPr>
                <w:sz w:val="19"/>
              </w:rPr>
              <w:t>Moteur</w:t>
            </w:r>
          </w:p>
        </w:tc>
        <w:tc>
          <w:tcPr>
            <w:tcW w:type="dxa" w:w="6624"/>
          </w:tcPr>
          <w:p>
            <w:r>
              <w:rPr>
                <w:sz w:val="19"/>
              </w:rPr>
              <w:t>Strix (CLI multi-agent), Docker, Kali Linux, Metasploit, RAG</w:t>
            </w:r>
          </w:p>
        </w:tc>
      </w:tr>
      <w:tr>
        <w:tc>
          <w:tcPr>
            <w:tcW w:type="dxa" w:w="2448"/>
          </w:tcPr>
          <w:p>
            <w:r>
              <w:rPr>
                <w:sz w:val="19"/>
              </w:rPr>
              <w:t>Qualité</w:t>
            </w:r>
          </w:p>
        </w:tc>
        <w:tc>
          <w:tcPr>
            <w:tcW w:type="dxa" w:w="6624"/>
          </w:tcPr>
          <w:p>
            <w:r>
              <w:rPr>
                <w:sz w:val="19"/>
              </w:rPr>
              <w:t>pytest, ruff, GitHub Actions (CI)</w:t>
            </w:r>
          </w:p>
        </w:tc>
      </w:tr>
    </w:tbl>
    <w:p>
      <w:pPr>
        <w:jc w:val="center"/>
      </w:pPr>
      <w:r>
        <w:rPr>
          <w:i/>
          <w:color w:val="475569"/>
          <w:sz w:val="19"/>
        </w:rPr>
        <w:t>Tableau 4 — Pile technologique du projet.</w:t>
      </w:r>
    </w:p>
    <w:p>
      <w:pPr>
        <w:spacing w:after="80"/>
      </w:pPr>
    </w:p>
    <w:p>
      <w:pPr>
        <w:pStyle w:val="Heading2"/>
      </w:pPr>
      <w:r>
        <w:t>4.3 Intégration Metasploit &amp; RAG (exploit_research)</w:t>
      </w:r>
    </w:p>
    <w:p>
      <w:pPr>
        <w:spacing w:after="120" w:before="0"/>
      </w:pPr>
      <w:r>
        <w:rPr>
          <w:b w:val="0"/>
          <w:i w:val="0"/>
          <w:sz w:val="22"/>
        </w:rPr>
        <w:t>L'intégration transforme un protocole multi-étapes en un unique appel d'outil déterministe. Dès que la reconnaissance fournit un service, une version ou une CVE, l'agent invoque exploit_research, qui : (1) interroge le RAG (/retrieve puis, après un portail de pertinence, /query) en contournant le proxy et avec un délai adapté ; (2) recherche un module via msfconsole ; (3) détecte l'adresse LHOST du bac à sable ; (4) produit une recommandation déterministe privilégiant le module Metasploit lorsqu'il existe, et retombant sur le payload RAG sinon. La logique de décision est ainsi codée et testée, et non laissée au modèle.</w:t>
      </w:r>
    </w:p>
    <w:p>
      <w:pPr>
        <w:spacing w:after="40" w:before="0"/>
      </w:pPr>
      <w:r>
        <w:rPr>
          <w:b w:val="0"/>
          <w:i w:val="0"/>
          <w:sz w:val="22"/>
        </w:rPr>
        <w:t>Extrait — construction de la commande du moteur avec instruction optionnelle :</w:t>
      </w:r>
    </w:p>
    <w:p>
      <w:pPr>
        <w:ind w:left="432"/>
      </w:pPr>
      <w:r>
        <w:rPr>
          <w:rFonts w:ascii="Consolas" w:hAnsi="Consolas"/>
          <w:sz w:val="19"/>
        </w:rPr>
        <w:t>cmd = ["strix", "--target", target, "--non-interactive",</w:t>
        <w:br/>
        <w:t xml:space="preserve">       "--scan-mode", mode]</w:t>
        <w:br/>
        <w:t>if instruction:</w:t>
        <w:br/>
        <w:t xml:space="preserve">    cmd += ["--instruction", instruction]</w:t>
      </w:r>
    </w:p>
    <w:p>
      <w:pPr>
        <w:pStyle w:val="Heading2"/>
      </w:pPr>
      <w:r>
        <w:t>4.4 Réalisation du backend</w:t>
      </w:r>
    </w:p>
    <w:p>
      <w:pPr>
        <w:pStyle w:val="ListBullet"/>
        <w:spacing w:after="60"/>
      </w:pPr>
      <w:r>
        <w:rPr>
          <w:b/>
        </w:rPr>
        <w:t xml:space="preserve">Authentification &amp; RBAC — </w:t>
      </w:r>
      <w:r>
        <w:t xml:space="preserve"> connexion par cookies, MFA TOTP, sessions serveur avec rotation et détection de réutilisation, permissions resource:action vérifiées par dépendance.</w:t>
      </w:r>
    </w:p>
    <w:p>
      <w:pPr>
        <w:pStyle w:val="ListBullet"/>
        <w:spacing w:after="60"/>
      </w:pPr>
      <w:r>
        <w:rPr>
          <w:b/>
        </w:rPr>
        <w:t xml:space="preserve">Pipeline d'évaluation — </w:t>
      </w:r>
      <w:r>
        <w:t xml:space="preserve"> création, lancement, annulation ; exécution en tâche de fond et diffusion d'événements d'état, de journaux et de vulnérabilités.</w:t>
      </w:r>
    </w:p>
    <w:p>
      <w:pPr>
        <w:pStyle w:val="ListBullet"/>
        <w:spacing w:after="60"/>
      </w:pPr>
      <w:r>
        <w:rPr>
          <w:b/>
        </w:rPr>
        <w:t xml:space="preserve">Temps réel — </w:t>
      </w:r>
      <w:r>
        <w:t xml:space="preserve"> bus d'événements interne pontant le runner (thread) vers les abonnés WebSocket ; réconciliation au démarrage des exécutions orphelines.</w:t>
      </w:r>
    </w:p>
    <w:p>
      <w:pPr>
        <w:pStyle w:val="ListBullet"/>
        <w:spacing w:after="60"/>
      </w:pPr>
      <w:r>
        <w:rPr>
          <w:b/>
        </w:rPr>
        <w:t xml:space="preserve">Triage &amp; comparaison — </w:t>
      </w:r>
      <w:r>
        <w:t xml:space="preserve"> mise à jour du statut, de la gravité et de l'assignation d'une vulnérabilité ; comparaison des vulnérabilités entre deux scans d'une même cible.</w:t>
      </w:r>
    </w:p>
    <w:p>
      <w:pPr>
        <w:pStyle w:val="ListBullet"/>
        <w:spacing w:after="60"/>
      </w:pPr>
      <w:r>
        <w:rPr>
          <w:b/>
        </w:rPr>
        <w:t xml:space="preserve">Planification — </w:t>
      </w:r>
      <w:r>
        <w:t xml:space="preserve"> APScheduler déclenche des tests récurrents selon une expression cron ; calcul de la prochaine occurrence via croniter.</w:t>
      </w:r>
    </w:p>
    <w:p>
      <w:pPr>
        <w:pStyle w:val="ListBullet"/>
        <w:spacing w:after="60"/>
      </w:pPr>
      <w:r>
        <w:rPr>
          <w:b/>
        </w:rPr>
        <w:t xml:space="preserve">Observabilité — </w:t>
      </w:r>
      <w:r>
        <w:t xml:space="preserve"> middleware d'identifiant de requête, sondes /readyz (base + moteur) et /livez ; journal d'audit inaltérable chaîné par hachage.</w:t>
      </w:r>
    </w:p>
    <w:p>
      <w:pPr>
        <w:jc w:val="center"/>
      </w:pPr>
      <w:r>
        <w:drawing>
          <wp:inline xmlns:a="http://schemas.openxmlformats.org/drawingml/2006/main" xmlns:pic="http://schemas.openxmlformats.org/drawingml/2006/picture">
            <wp:extent cx="5943600" cy="1645460"/>
            <wp:docPr id="7" name="Picture 7"/>
            <wp:cNvGraphicFramePr>
              <a:graphicFrameLocks noChangeAspect="1"/>
            </wp:cNvGraphicFramePr>
            <a:graphic>
              <a:graphicData uri="http://schemas.openxmlformats.org/drawingml/2006/picture">
                <pic:pic>
                  <pic:nvPicPr>
                    <pic:cNvPr id="0" name="pipeline.png"/>
                    <pic:cNvPicPr/>
                  </pic:nvPicPr>
                  <pic:blipFill>
                    <a:blip r:embed="rId15"/>
                    <a:stretch>
                      <a:fillRect/>
                    </a:stretch>
                  </pic:blipFill>
                  <pic:spPr>
                    <a:xfrm>
                      <a:off x="0" y="0"/>
                      <a:ext cx="5943600" cy="1645460"/>
                    </a:xfrm>
                    <a:prstGeom prst="rect"/>
                  </pic:spPr>
                </pic:pic>
              </a:graphicData>
            </a:graphic>
          </wp:inline>
        </w:drawing>
      </w:r>
    </w:p>
    <w:p>
      <w:pPr>
        <w:spacing w:after="240"/>
        <w:jc w:val="center"/>
      </w:pPr>
      <w:r>
        <w:rPr>
          <w:i/>
          <w:color w:val="475569"/>
          <w:sz w:val="19"/>
        </w:rPr>
        <w:t>Figure 4.1 — Pipeline d'évaluation en 5 phases (dont la post-exploitation).</w:t>
      </w:r>
    </w:p>
    <w:p>
      <w:pPr>
        <w:pStyle w:val="Heading2"/>
      </w:pPr>
      <w:r>
        <w:t>4.5 Réalisation du frontend</w:t>
      </w:r>
    </w:p>
    <w:p>
      <w:pPr>
        <w:spacing w:after="120" w:before="0"/>
      </w:pPr>
      <w:r>
        <w:rPr>
          <w:b w:val="0"/>
          <w:i w:val="0"/>
          <w:sz w:val="22"/>
        </w:rPr>
        <w:t>Le frontend, en Next.js (App Router), propose des modules dédiés : tableau de bord (statistiques et graphiques), campagnes et vue de détail (pipeline live, console, post-exploitation, triage, comparaison), rapports, journaux, audit, utilisateurs, rôles, planification, assistant IA et paramètres. Une palette de commandes (⌘K) offre une navigation rapide filtrée par permissions. L'interface est responsive, thématisable (clair/sombre) et cohérente grâce à un système de composants réutilisables.</w:t>
      </w:r>
    </w:p>
    <w:p>
      <w:pPr>
        <w:pStyle w:val="Heading2"/>
      </w:pPr>
      <w:r>
        <w:t>4.6 Conclusion</w:t>
      </w:r>
    </w:p>
    <w:p>
      <w:pPr>
        <w:spacing w:after="120" w:before="0"/>
      </w:pPr>
      <w:r>
        <w:rPr>
          <w:b w:val="0"/>
          <w:i w:val="0"/>
          <w:sz w:val="22"/>
        </w:rPr>
        <w:t>La réalisation couvre l'ensemble des besoins définis, du moteur enrichi à la console d'opérations. Le chapitre suivant en évalue la qualité.</w:t>
      </w:r>
    </w:p>
    <w:p>
      <w:r>
        <w:br w:type="page"/>
      </w:r>
    </w:p>
    <w:p>
      <w:pPr>
        <w:pStyle w:val="Heading1"/>
      </w:pPr>
      <w:r>
        <w:t>Chapitre 5 — Tests &amp; Évaluation</w:t>
      </w:r>
    </w:p>
    <w:p>
      <w:pPr>
        <w:pStyle w:val="Heading2"/>
      </w:pPr>
      <w:r>
        <w:t>5.1 Introduction</w:t>
      </w:r>
    </w:p>
    <w:p>
      <w:pPr>
        <w:spacing w:after="120" w:before="0"/>
      </w:pPr>
      <w:r>
        <w:rPr>
          <w:b w:val="0"/>
          <w:i w:val="0"/>
          <w:sz w:val="22"/>
        </w:rPr>
        <w:t>Ce chapitre présente l'environnement de test, la validation fonctionnelle, la couverture de tests et une analyse comparative avec l'approche manuelle.</w:t>
      </w:r>
    </w:p>
    <w:p>
      <w:pPr>
        <w:pStyle w:val="Heading2"/>
      </w:pPr>
      <w:r>
        <w:t>5.2 Environnement de test</w:t>
      </w:r>
    </w:p>
    <w:p>
      <w:pPr>
        <w:spacing w:after="120" w:before="0"/>
      </w:pPr>
      <w:r>
        <w:rPr>
          <w:b w:val="0"/>
          <w:i w:val="0"/>
          <w:sz w:val="22"/>
        </w:rPr>
        <w:t>Les essais ont été menés sur un poste Windows 11 avec Docker Desktop, l'intégration ayant été validée sur une image de bac à sable Kali contenant Metasploit, contre une cible vulnérable de type application Drupal. Le backend a été exécuté en mode asynchrone (SQLite en développement, PostgreSQL en cible), le frontend via le serveur de développement Next.js.</w:t>
      </w:r>
    </w:p>
    <w:p>
      <w:pPr>
        <w:pStyle w:val="Heading2"/>
      </w:pPr>
      <w:r>
        <w:t>5.3 Validation fonctionnelle</w:t>
      </w:r>
    </w:p>
    <w:p>
      <w:pPr>
        <w:spacing w:after="120" w:before="0"/>
      </w:pPr>
      <w:r>
        <w:rPr>
          <w:b w:val="0"/>
          <w:i w:val="0"/>
          <w:sz w:val="22"/>
        </w:rPr>
        <w:t>Chaque incrément a fait l'objet d'une vérification de bout en bout : connexion par cookies et MFA, application effective du RBAC (retour 403 pour un observateur sur une action d'administration), exécution et suivi temps réel d'une campagne, visualisation de la sortie du moteur avec télémétrie réelle (par exemple 6 requêtes LLM et 68 542 jetons sur une exécution), triage d'une vulnérabilité, comparaison de scans, planification récurrente et export de rapports. Côté intégration moteur, exploit_research a produit, sur une cible Drupal, une recommandation ancrée (CVE-2018-7600, Drupalgeddon2) avec sélection du module Metasploit.</w:t>
      </w:r>
    </w:p>
    <w:p>
      <w:pPr>
        <w:spacing w:after="160" w:before="0"/>
      </w:pPr>
      <w:r>
        <w:rPr>
          <w:b w:val="0"/>
          <w:i w:val="0"/>
          <w:sz w:val="22"/>
        </w:rPr>
        <w:t>Les captures d'écran ci-dessous illustrent les principales vues de l'interface réalisée.</w:t>
      </w:r>
    </w:p>
    <w:p>
      <w:pPr>
        <w:jc w:val="center"/>
      </w:pPr>
      <w:r>
        <w:drawing>
          <wp:inline xmlns:a="http://schemas.openxmlformats.org/drawingml/2006/main" xmlns:pic="http://schemas.openxmlformats.org/drawingml/2006/picture">
            <wp:extent cx="4023360" cy="2958353"/>
            <wp:docPr id="8" name="Picture 8"/>
            <wp:cNvGraphicFramePr>
              <a:graphicFrameLocks noChangeAspect="1"/>
            </wp:cNvGraphicFramePr>
            <a:graphic>
              <a:graphicData uri="http://schemas.openxmlformats.org/drawingml/2006/picture">
                <pic:pic>
                  <pic:nvPicPr>
                    <pic:cNvPr id="0" name="login.png"/>
                    <pic:cNvPicPr/>
                  </pic:nvPicPr>
                  <pic:blipFill>
                    <a:blip r:embed="rId16"/>
                    <a:stretch>
                      <a:fillRect/>
                    </a:stretch>
                  </pic:blipFill>
                  <pic:spPr>
                    <a:xfrm>
                      <a:off x="0" y="0"/>
                      <a:ext cx="4023360" cy="2958353"/>
                    </a:xfrm>
                    <a:prstGeom prst="rect"/>
                  </pic:spPr>
                </pic:pic>
              </a:graphicData>
            </a:graphic>
          </wp:inline>
        </w:drawing>
      </w:r>
    </w:p>
    <w:p>
      <w:pPr>
        <w:spacing w:after="240"/>
        <w:jc w:val="center"/>
      </w:pPr>
      <w:r>
        <w:rPr>
          <w:i/>
          <w:color w:val="475569"/>
          <w:sz w:val="19"/>
        </w:rPr>
        <w:t>Figure 5.1 — Page de connexion sécurisée (cookies httpOnly, étape MFA).</w:t>
      </w:r>
    </w:p>
    <w:p>
      <w:pPr>
        <w:jc w:val="center"/>
      </w:pPr>
      <w:r>
        <w:drawing>
          <wp:inline xmlns:a="http://schemas.openxmlformats.org/drawingml/2006/main" xmlns:pic="http://schemas.openxmlformats.org/drawingml/2006/picture">
            <wp:extent cx="5943600" cy="4824805"/>
            <wp:docPr id="9" name="Picture 9"/>
            <wp:cNvGraphicFramePr>
              <a:graphicFrameLocks noChangeAspect="1"/>
            </wp:cNvGraphicFramePr>
            <a:graphic>
              <a:graphicData uri="http://schemas.openxmlformats.org/drawingml/2006/picture">
                <pic:pic>
                  <pic:nvPicPr>
                    <pic:cNvPr id="0" name="dashboard.png"/>
                    <pic:cNvPicPr/>
                  </pic:nvPicPr>
                  <pic:blipFill>
                    <a:blip r:embed="rId17"/>
                    <a:stretch>
                      <a:fillRect/>
                    </a:stretch>
                  </pic:blipFill>
                  <pic:spPr>
                    <a:xfrm>
                      <a:off x="0" y="0"/>
                      <a:ext cx="5943600" cy="4824805"/>
                    </a:xfrm>
                    <a:prstGeom prst="rect"/>
                  </pic:spPr>
                </pic:pic>
              </a:graphicData>
            </a:graphic>
          </wp:inline>
        </w:drawing>
      </w:r>
    </w:p>
    <w:p>
      <w:pPr>
        <w:spacing w:after="240"/>
        <w:jc w:val="center"/>
      </w:pPr>
      <w:r>
        <w:rPr>
          <w:i/>
          <w:color w:val="475569"/>
          <w:sz w:val="19"/>
        </w:rPr>
        <w:t>Figure 5.2 — Tableau de bord : statistiques, activité et répartition des vulnérabilités.</w:t>
      </w:r>
    </w:p>
    <w:p>
      <w:pPr>
        <w:jc w:val="center"/>
      </w:pPr>
      <w:r>
        <w:drawing>
          <wp:inline xmlns:a="http://schemas.openxmlformats.org/drawingml/2006/main" xmlns:pic="http://schemas.openxmlformats.org/drawingml/2006/picture">
            <wp:extent cx="4846320" cy="6204002"/>
            <wp:docPr id="10" name="Picture 10"/>
            <wp:cNvGraphicFramePr>
              <a:graphicFrameLocks noChangeAspect="1"/>
            </wp:cNvGraphicFramePr>
            <a:graphic>
              <a:graphicData uri="http://schemas.openxmlformats.org/drawingml/2006/picture">
                <pic:pic>
                  <pic:nvPicPr>
                    <pic:cNvPr id="0" name="assessment_detail.png"/>
                    <pic:cNvPicPr/>
                  </pic:nvPicPr>
                  <pic:blipFill>
                    <a:blip r:embed="rId18"/>
                    <a:stretch>
                      <a:fillRect/>
                    </a:stretch>
                  </pic:blipFill>
                  <pic:spPr>
                    <a:xfrm>
                      <a:off x="0" y="0"/>
                      <a:ext cx="4846320" cy="6204002"/>
                    </a:xfrm>
                    <a:prstGeom prst="rect"/>
                  </pic:spPr>
                </pic:pic>
              </a:graphicData>
            </a:graphic>
          </wp:inline>
        </w:drawing>
      </w:r>
    </w:p>
    <w:p>
      <w:pPr>
        <w:spacing w:after="240"/>
        <w:jc w:val="center"/>
      </w:pPr>
      <w:r>
        <w:rPr>
          <w:i/>
          <w:color w:val="475569"/>
          <w:sz w:val="19"/>
        </w:rPr>
        <w:t>Figure 5.3 — Détail d'une campagne : pipeline en 5 phases, post-exploitation et triage des vulnérabilités.</w:t>
      </w:r>
    </w:p>
    <w:p>
      <w:pPr>
        <w:jc w:val="center"/>
      </w:pPr>
      <w:r>
        <w:drawing>
          <wp:inline xmlns:a="http://schemas.openxmlformats.org/drawingml/2006/main" xmlns:pic="http://schemas.openxmlformats.org/drawingml/2006/picture">
            <wp:extent cx="5943600" cy="4370294"/>
            <wp:docPr id="11" name="Picture 11"/>
            <wp:cNvGraphicFramePr>
              <a:graphicFrameLocks noChangeAspect="1"/>
            </wp:cNvGraphicFramePr>
            <a:graphic>
              <a:graphicData uri="http://schemas.openxmlformats.org/drawingml/2006/picture">
                <pic:pic>
                  <pic:nvPicPr>
                    <pic:cNvPr id="0" name="engine_output.png"/>
                    <pic:cNvPicPr/>
                  </pic:nvPicPr>
                  <pic:blipFill>
                    <a:blip r:embed="rId19"/>
                    <a:stretch>
                      <a:fillRect/>
                    </a:stretch>
                  </pic:blipFill>
                  <pic:spPr>
                    <a:xfrm>
                      <a:off x="0" y="0"/>
                      <a:ext cx="5943600" cy="4370294"/>
                    </a:xfrm>
                    <a:prstGeom prst="rect"/>
                  </pic:spPr>
                </pic:pic>
              </a:graphicData>
            </a:graphic>
          </wp:inline>
        </w:drawing>
      </w:r>
    </w:p>
    <w:p>
      <w:pPr>
        <w:spacing w:after="240"/>
        <w:jc w:val="center"/>
      </w:pPr>
      <w:r>
        <w:rPr>
          <w:i/>
          <w:color w:val="475569"/>
          <w:sz w:val="19"/>
        </w:rPr>
        <w:t>Figure 5.4 — Écran de sortie du moteur : arbre d'agents, télémétrie (jetons, coût) et console live.</w:t>
      </w:r>
    </w:p>
    <w:p>
      <w:pPr>
        <w:jc w:val="center"/>
      </w:pPr>
      <w:r>
        <w:drawing>
          <wp:inline xmlns:a="http://schemas.openxmlformats.org/drawingml/2006/main" xmlns:pic="http://schemas.openxmlformats.org/drawingml/2006/picture">
            <wp:extent cx="5943600" cy="4370294"/>
            <wp:docPr id="12" name="Picture 12"/>
            <wp:cNvGraphicFramePr>
              <a:graphicFrameLocks noChangeAspect="1"/>
            </wp:cNvGraphicFramePr>
            <a:graphic>
              <a:graphicData uri="http://schemas.openxmlformats.org/drawingml/2006/picture">
                <pic:pic>
                  <pic:nvPicPr>
                    <pic:cNvPr id="0" name="schedules.png"/>
                    <pic:cNvPicPr/>
                  </pic:nvPicPr>
                  <pic:blipFill>
                    <a:blip r:embed="rId20"/>
                    <a:stretch>
                      <a:fillRect/>
                    </a:stretch>
                  </pic:blipFill>
                  <pic:spPr>
                    <a:xfrm>
                      <a:off x="0" y="0"/>
                      <a:ext cx="5943600" cy="4370294"/>
                    </a:xfrm>
                    <a:prstGeom prst="rect"/>
                  </pic:spPr>
                </pic:pic>
              </a:graphicData>
            </a:graphic>
          </wp:inline>
        </w:drawing>
      </w:r>
    </w:p>
    <w:p>
      <w:pPr>
        <w:spacing w:after="240"/>
        <w:jc w:val="center"/>
      </w:pPr>
      <w:r>
        <w:rPr>
          <w:i/>
          <w:color w:val="475569"/>
          <w:sz w:val="19"/>
        </w:rPr>
        <w:t>Figure 5.5 — Planification de tests récurrents (expression cron, prochaine exécution).</w:t>
      </w:r>
    </w:p>
    <w:p>
      <w:pPr>
        <w:jc w:val="center"/>
      </w:pPr>
      <w:r>
        <w:drawing>
          <wp:inline xmlns:a="http://schemas.openxmlformats.org/drawingml/2006/main" xmlns:pic="http://schemas.openxmlformats.org/drawingml/2006/picture">
            <wp:extent cx="5943600" cy="4370294"/>
            <wp:docPr id="13" name="Picture 13"/>
            <wp:cNvGraphicFramePr>
              <a:graphicFrameLocks noChangeAspect="1"/>
            </wp:cNvGraphicFramePr>
            <a:graphic>
              <a:graphicData uri="http://schemas.openxmlformats.org/drawingml/2006/picture">
                <pic:pic>
                  <pic:nvPicPr>
                    <pic:cNvPr id="0" name="roles.png"/>
                    <pic:cNvPicPr/>
                  </pic:nvPicPr>
                  <pic:blipFill>
                    <a:blip r:embed="rId21"/>
                    <a:stretch>
                      <a:fillRect/>
                    </a:stretch>
                  </pic:blipFill>
                  <pic:spPr>
                    <a:xfrm>
                      <a:off x="0" y="0"/>
                      <a:ext cx="5943600" cy="4370294"/>
                    </a:xfrm>
                    <a:prstGeom prst="rect"/>
                  </pic:spPr>
                </pic:pic>
              </a:graphicData>
            </a:graphic>
          </wp:inline>
        </w:drawing>
      </w:r>
    </w:p>
    <w:p>
      <w:pPr>
        <w:spacing w:after="240"/>
        <w:jc w:val="center"/>
      </w:pPr>
      <w:r>
        <w:rPr>
          <w:i/>
          <w:color w:val="475569"/>
          <w:sz w:val="19"/>
        </w:rPr>
        <w:t>Figure 5.6 — Gestion des rôles et des permissions (RBAC).</w:t>
      </w:r>
    </w:p>
    <w:p>
      <w:pPr>
        <w:pStyle w:val="Heading2"/>
      </w:pPr>
      <w:r>
        <w:t>5.4 Couverture de tests</w:t>
      </w:r>
    </w:p>
    <w:p>
      <w:pPr>
        <w:spacing w:after="120" w:before="0"/>
      </w:pPr>
      <w:r>
        <w:rPr>
          <w:b w:val="0"/>
          <w:i w:val="0"/>
          <w:sz w:val="22"/>
        </w:rPr>
        <w:t>La plateforme est couverte par un harnais de tests automatisés (pytest) exécuté en intégration continue, complété par des vérifications navigateur. L'ensemble des tests est au vert.</w:t>
      </w:r>
    </w:p>
    <w:p>
      <w:pPr>
        <w:jc w:val="center"/>
      </w:pPr>
      <w:r>
        <w:drawing>
          <wp:inline xmlns:a="http://schemas.openxmlformats.org/drawingml/2006/main" xmlns:pic="http://schemas.openxmlformats.org/drawingml/2006/picture">
            <wp:extent cx="5669280" cy="2567501"/>
            <wp:docPr id="14" name="Picture 14"/>
            <wp:cNvGraphicFramePr>
              <a:graphicFrameLocks noChangeAspect="1"/>
            </wp:cNvGraphicFramePr>
            <a:graphic>
              <a:graphicData uri="http://schemas.openxmlformats.org/drawingml/2006/picture">
                <pic:pic>
                  <pic:nvPicPr>
                    <pic:cNvPr id="0" name="tests.png"/>
                    <pic:cNvPicPr/>
                  </pic:nvPicPr>
                  <pic:blipFill>
                    <a:blip r:embed="rId22"/>
                    <a:stretch>
                      <a:fillRect/>
                    </a:stretch>
                  </pic:blipFill>
                  <pic:spPr>
                    <a:xfrm>
                      <a:off x="0" y="0"/>
                      <a:ext cx="5669280" cy="2567501"/>
                    </a:xfrm>
                    <a:prstGeom prst="rect"/>
                  </pic:spPr>
                </pic:pic>
              </a:graphicData>
            </a:graphic>
          </wp:inline>
        </w:drawing>
      </w:r>
    </w:p>
    <w:p>
      <w:pPr>
        <w:spacing w:after="240"/>
        <w:jc w:val="center"/>
      </w:pPr>
      <w:r>
        <w:rPr>
          <w:i/>
          <w:color w:val="475569"/>
          <w:sz w:val="19"/>
        </w:rPr>
        <w:t>Figure 5.7 — Couverture de tests par module (39 tests, 100 % réussis).</w:t>
      </w:r>
    </w:p>
    <w:p>
      <w:pPr>
        <w:pStyle w:val="Heading2"/>
      </w:pPr>
      <w:r>
        <w:t>5.5 Résultats et analyse comparative</w:t>
      </w:r>
    </w:p>
    <w:p>
      <w:pPr>
        <w:spacing w:after="120" w:before="0"/>
      </w:pPr>
      <w:r>
        <w:rPr>
          <w:b w:val="0"/>
          <w:i w:val="0"/>
          <w:sz w:val="22"/>
        </w:rPr>
        <w:t>À titre illustratif, la répartition des vulnérabilités par gravité sur une campagne de démonstration est présentée ci-dessous, suivie d'une analyse comparative qualitative entre un pentest manuel et l'usage de la plateforme.</w:t>
      </w:r>
    </w:p>
    <w:p>
      <w:pPr>
        <w:jc w:val="center"/>
      </w:pPr>
      <w:r>
        <w:drawing>
          <wp:inline xmlns:a="http://schemas.openxmlformats.org/drawingml/2006/main" xmlns:pic="http://schemas.openxmlformats.org/drawingml/2006/picture">
            <wp:extent cx="4023360" cy="4023360"/>
            <wp:docPr id="15" name="Picture 15"/>
            <wp:cNvGraphicFramePr>
              <a:graphicFrameLocks noChangeAspect="1"/>
            </wp:cNvGraphicFramePr>
            <a:graphic>
              <a:graphicData uri="http://schemas.openxmlformats.org/drawingml/2006/picture">
                <pic:pic>
                  <pic:nvPicPr>
                    <pic:cNvPr id="0" name="severity.png"/>
                    <pic:cNvPicPr/>
                  </pic:nvPicPr>
                  <pic:blipFill>
                    <a:blip r:embed="rId23"/>
                    <a:stretch>
                      <a:fillRect/>
                    </a:stretch>
                  </pic:blipFill>
                  <pic:spPr>
                    <a:xfrm>
                      <a:off x="0" y="0"/>
                      <a:ext cx="4023360" cy="4023360"/>
                    </a:xfrm>
                    <a:prstGeom prst="rect"/>
                  </pic:spPr>
                </pic:pic>
              </a:graphicData>
            </a:graphic>
          </wp:inline>
        </w:drawing>
      </w:r>
    </w:p>
    <w:p>
      <w:pPr>
        <w:spacing w:after="240"/>
        <w:jc w:val="center"/>
      </w:pPr>
      <w:r>
        <w:rPr>
          <w:i/>
          <w:color w:val="475569"/>
          <w:sz w:val="19"/>
        </w:rPr>
        <w:t>Figure 5.8 — Répartition des vulnérabilités par sévérité (campagne de démonstration).</w:t>
      </w:r>
    </w:p>
    <w:p>
      <w:pPr>
        <w:jc w:val="center"/>
      </w:pPr>
      <w:r>
        <w:drawing>
          <wp:inline xmlns:a="http://schemas.openxmlformats.org/drawingml/2006/main" xmlns:pic="http://schemas.openxmlformats.org/drawingml/2006/picture">
            <wp:extent cx="5760720" cy="2639073"/>
            <wp:docPr id="16" name="Picture 16"/>
            <wp:cNvGraphicFramePr>
              <a:graphicFrameLocks noChangeAspect="1"/>
            </wp:cNvGraphicFramePr>
            <a:graphic>
              <a:graphicData uri="http://schemas.openxmlformats.org/drawingml/2006/picture">
                <pic:pic>
                  <pic:nvPicPr>
                    <pic:cNvPr id="0" name="comparison.png"/>
                    <pic:cNvPicPr/>
                  </pic:nvPicPr>
                  <pic:blipFill>
                    <a:blip r:embed="rId24"/>
                    <a:stretch>
                      <a:fillRect/>
                    </a:stretch>
                  </pic:blipFill>
                  <pic:spPr>
                    <a:xfrm>
                      <a:off x="0" y="0"/>
                      <a:ext cx="5760720" cy="2639073"/>
                    </a:xfrm>
                    <a:prstGeom prst="rect"/>
                  </pic:spPr>
                </pic:pic>
              </a:graphicData>
            </a:graphic>
          </wp:inline>
        </w:drawing>
      </w:r>
    </w:p>
    <w:p>
      <w:pPr>
        <w:spacing w:after="240"/>
        <w:jc w:val="center"/>
      </w:pPr>
      <w:r>
        <w:rPr>
          <w:i/>
          <w:color w:val="475569"/>
          <w:sz w:val="19"/>
        </w:rPr>
        <w:t>Figure 5.9 — Analyse comparative : approche manuelle vs plateforme.</w:t>
      </w:r>
    </w:p>
    <w:tbl>
      <w:tblPr>
        <w:tblStyle w:val="LightGrid-Accent1"/>
        <w:tblW w:type="auto" w:w="0"/>
        <w:jc w:val="center"/>
        <w:tblLook w:firstColumn="1" w:firstRow="1" w:lastColumn="0" w:lastRow="0" w:noHBand="0" w:noVBand="1" w:val="04A0"/>
      </w:tblPr>
      <w:tblGrid>
        <w:gridCol w:w="4680"/>
        <w:gridCol w:w="4680"/>
      </w:tblGrid>
      <w:tr>
        <w:tc>
          <w:tcPr>
            <w:tcW w:type="dxa" w:w="3600"/>
          </w:tcPr>
          <w:p>
            <w:r>
              <w:rPr>
                <w:b/>
                <w:sz w:val="20"/>
              </w:rPr>
              <w:t>Critère</w:t>
            </w:r>
          </w:p>
        </w:tc>
        <w:tc>
          <w:tcPr>
            <w:tcW w:type="dxa" w:w="5472"/>
          </w:tcPr>
          <w:p>
            <w:r>
              <w:rPr>
                <w:b/>
                <w:sz w:val="20"/>
              </w:rPr>
              <w:t>Résultat</w:t>
            </w:r>
          </w:p>
        </w:tc>
      </w:tr>
      <w:tr>
        <w:tc>
          <w:tcPr>
            <w:tcW w:type="dxa" w:w="3600"/>
          </w:tcPr>
          <w:p>
            <w:r>
              <w:rPr>
                <w:sz w:val="19"/>
              </w:rPr>
              <w:t>Tests automatisés</w:t>
            </w:r>
          </w:p>
        </w:tc>
        <w:tc>
          <w:tcPr>
            <w:tcW w:type="dxa" w:w="5472"/>
          </w:tcPr>
          <w:p>
            <w:r>
              <w:rPr>
                <w:sz w:val="19"/>
              </w:rPr>
              <w:t>39 tests, 100 % réussis</w:t>
            </w:r>
          </w:p>
        </w:tc>
      </w:tr>
      <w:tr>
        <w:tc>
          <w:tcPr>
            <w:tcW w:type="dxa" w:w="3600"/>
          </w:tcPr>
          <w:p>
            <w:r>
              <w:rPr>
                <w:sz w:val="19"/>
              </w:rPr>
              <w:t>Analyse statique (ruff)</w:t>
            </w:r>
          </w:p>
        </w:tc>
        <w:tc>
          <w:tcPr>
            <w:tcW w:type="dxa" w:w="5472"/>
          </w:tcPr>
          <w:p>
            <w:r>
              <w:rPr>
                <w:sz w:val="19"/>
              </w:rPr>
              <w:t>Aucune erreur</w:t>
            </w:r>
          </w:p>
        </w:tc>
      </w:tr>
      <w:tr>
        <w:tc>
          <w:tcPr>
            <w:tcW w:type="dxa" w:w="3600"/>
          </w:tcPr>
          <w:p>
            <w:r>
              <w:rPr>
                <w:sz w:val="19"/>
              </w:rPr>
              <w:t>Build frontend</w:t>
            </w:r>
          </w:p>
        </w:tc>
        <w:tc>
          <w:tcPr>
            <w:tcW w:type="dxa" w:w="5472"/>
          </w:tcPr>
          <w:p>
            <w:r>
              <w:rPr>
                <w:sz w:val="19"/>
              </w:rPr>
              <w:t>14+ routes compilées, 0 vulnérabilité npm</w:t>
            </w:r>
          </w:p>
        </w:tc>
      </w:tr>
      <w:tr>
        <w:tc>
          <w:tcPr>
            <w:tcW w:type="dxa" w:w="3600"/>
          </w:tcPr>
          <w:p>
            <w:r>
              <w:rPr>
                <w:sz w:val="19"/>
              </w:rPr>
              <w:t>Sécurité</w:t>
            </w:r>
          </w:p>
        </w:tc>
        <w:tc>
          <w:tcPr>
            <w:tcW w:type="dxa" w:w="5472"/>
          </w:tcPr>
          <w:p>
            <w:r>
              <w:rPr>
                <w:sz w:val="19"/>
              </w:rPr>
              <w:t>Cookies httpOnly, CSRF, MFA, RBAC, audit chaîné vérifiés</w:t>
            </w:r>
          </w:p>
        </w:tc>
      </w:tr>
      <w:tr>
        <w:tc>
          <w:tcPr>
            <w:tcW w:type="dxa" w:w="3600"/>
          </w:tcPr>
          <w:p>
            <w:r>
              <w:rPr>
                <w:sz w:val="19"/>
              </w:rPr>
              <w:t>Temps réel</w:t>
            </w:r>
          </w:p>
        </w:tc>
        <w:tc>
          <w:tcPr>
            <w:tcW w:type="dxa" w:w="5472"/>
          </w:tcPr>
          <w:p>
            <w:r>
              <w:rPr>
                <w:sz w:val="19"/>
              </w:rPr>
              <w:t>WebSocket : état, journaux et vulnérabilités diffusés</w:t>
            </w:r>
          </w:p>
        </w:tc>
      </w:tr>
      <w:tr>
        <w:tc>
          <w:tcPr>
            <w:tcW w:type="dxa" w:w="3600"/>
          </w:tcPr>
          <w:p>
            <w:r>
              <w:rPr>
                <w:sz w:val="19"/>
              </w:rPr>
              <w:t>Intégration moteur</w:t>
            </w:r>
          </w:p>
        </w:tc>
        <w:tc>
          <w:tcPr>
            <w:tcW w:type="dxa" w:w="5472"/>
          </w:tcPr>
          <w:p>
            <w:r>
              <w:rPr>
                <w:sz w:val="19"/>
              </w:rPr>
              <w:t>exploit_research validé (RAG + module Metasploit)</w:t>
            </w:r>
          </w:p>
        </w:tc>
      </w:tr>
    </w:tbl>
    <w:p>
      <w:pPr>
        <w:jc w:val="center"/>
      </w:pPr>
      <w:r>
        <w:rPr>
          <w:i/>
          <w:color w:val="475569"/>
          <w:sz w:val="19"/>
        </w:rPr>
        <w:t>Tableau 5 — Synthèse des résultats de validation.</w:t>
      </w:r>
    </w:p>
    <w:p>
      <w:pPr>
        <w:spacing w:after="80"/>
      </w:pPr>
    </w:p>
    <w:p>
      <w:pPr>
        <w:pStyle w:val="Heading2"/>
      </w:pPr>
      <w:r>
        <w:t>5.6 Limites et perspectives</w:t>
      </w:r>
    </w:p>
    <w:p>
      <w:pPr>
        <w:pStyle w:val="ListBullet"/>
        <w:spacing w:after="60"/>
      </w:pPr>
      <w:r>
        <w:rPr>
          <w:b/>
        </w:rPr>
        <w:t xml:space="preserve">Ordonnanceur mono-processus — </w:t>
      </w:r>
      <w:r>
        <w:t xml:space="preserve"> APScheduler s'exécute en processus unique ; un déploiement multi-workers nécessiterait un processus d'ordonnancement dédié.</w:t>
      </w:r>
    </w:p>
    <w:p>
      <w:pPr>
        <w:pStyle w:val="ListBullet"/>
        <w:spacing w:after="60"/>
      </w:pPr>
      <w:r>
        <w:rPr>
          <w:b/>
        </w:rPr>
        <w:t xml:space="preserve">Runner en thread — </w:t>
      </w:r>
      <w:r>
        <w:t xml:space="preserve"> l'exécution des scans s'appuie sur un thread interne ; une extraction vers un worker RQ dédié améliorerait la durabilité.</w:t>
      </w:r>
    </w:p>
    <w:p>
      <w:pPr>
        <w:pStyle w:val="ListBullet"/>
        <w:spacing w:after="60"/>
      </w:pPr>
      <w:r>
        <w:rPr>
          <w:b/>
        </w:rPr>
        <w:t xml:space="preserve">Perspectives — </w:t>
      </w:r>
      <w:r>
        <w:t xml:space="preserve"> pièces jointes de preuve, scans multi-cibles, intégrations (Jira, SIEM), cartographie CVSS/CWE/OWASP, client TypeScript généré depuis l'OpenAPI.</w:t>
      </w:r>
    </w:p>
    <w:p>
      <w:pPr>
        <w:pStyle w:val="Heading2"/>
      </w:pPr>
      <w:r>
        <w:t>5.7 Conclusion</w:t>
      </w:r>
    </w:p>
    <w:p>
      <w:pPr>
        <w:spacing w:after="120" w:before="0"/>
      </w:pPr>
      <w:r>
        <w:rPr>
          <w:b w:val="0"/>
          <w:i w:val="0"/>
          <w:sz w:val="22"/>
        </w:rPr>
        <w:t>L'évaluation confirme la robustesse fonctionnelle et la qualité de la plateforme, ainsi que la valeur de l'intégration Metasploit + RAG. Les limites identifiées ouvrent des pistes d'amélioration claires.</w:t>
      </w:r>
    </w:p>
    <w:p>
      <w:r>
        <w:br w:type="page"/>
      </w:r>
    </w:p>
    <w:p>
      <w:pPr>
        <w:pStyle w:val="Heading1"/>
      </w:pPr>
      <w:r>
        <w:t>Conclusion générale</w:t>
      </w:r>
    </w:p>
    <w:p>
      <w:pPr>
        <w:spacing w:after="120" w:before="0"/>
      </w:pPr>
      <w:r>
        <w:rPr>
          <w:b w:val="0"/>
          <w:i w:val="0"/>
          <w:sz w:val="22"/>
        </w:rPr>
        <w:t>Ce projet de fin d'études a abordé l'automatisation avancée des tests d'intrusion par un système d'IA agentique fondé sur des LLM, en apportant deux contributions complémentaires. La première fiabilise la phase la plus délicate — l'exploitation — en intégrant Metasploit et un service RAG au moteur Strix via un outil déterministe unique, exploit_research, qui déplace la décision du modèle vers du code vérifiable et privilégie un exécuteur éprouvé.</w:t>
      </w:r>
    </w:p>
    <w:p>
      <w:pPr>
        <w:spacing w:after="120" w:before="0"/>
      </w:pPr>
      <w:r>
        <w:rPr>
          <w:b w:val="0"/>
          <w:i w:val="0"/>
          <w:sz w:val="22"/>
        </w:rPr>
        <w:t>La seconde transforme un outil en ligne de commande en une véritable console d'opérations de sécurité, Strix Console, dotée d'une authentification forte, d'un contrôle d'accès par rôles, d'un suivi temps réel, d'une visualisation de la sortie du moteur, d'une phase de post-exploitation, du triage des vulnérabilités, de la comparaison de scans, de la planification récurrente, du reporting et d'un journal d'audit inaltérable. L'ensemble, développé avec Next.js et FastAPI, a été validé par 39 tests automatisés et vérifié de bout en bout.</w:t>
      </w:r>
    </w:p>
    <w:p>
      <w:pPr>
        <w:spacing w:after="120" w:before="0"/>
      </w:pPr>
      <w:r>
        <w:rPr>
          <w:b w:val="0"/>
          <w:i w:val="0"/>
          <w:sz w:val="22"/>
        </w:rPr>
        <w:t>Au-delà des résultats obtenus, ce travail confirme la pertinence d'une approche hybride associant l'autonomie des agents IA à la robustesse d'outils éprouvés, encadrée par une plateforme sûre et gouvernée. Les perspectives — extraction du runner vers une file durable, intégrations métier (Jira, SIEM), cartographie normative des vulnérabilités et génération automatique du client d'API — dessinent une évolution naturelle vers un produit d'entreprise.</w:t>
      </w:r>
    </w:p>
    <w:p>
      <w:r>
        <w:br w:type="page"/>
      </w:r>
    </w:p>
    <w:p>
      <w:pPr>
        <w:pStyle w:val="Heading1"/>
      </w:pPr>
      <w:r>
        <w:t>Bibliographie &amp; Webographie</w:t>
      </w:r>
    </w:p>
    <w:p>
      <w:pPr>
        <w:spacing w:after="80"/>
      </w:pPr>
      <w:r>
        <w:rPr>
          <w:b/>
        </w:rPr>
        <w:t xml:space="preserve">[1] </w:t>
      </w:r>
      <w:r>
        <w:t>Strix — Moteur multi-agent open-source de tests d'intrusion. https://github.com/usestrix/strix</w:t>
      </w:r>
    </w:p>
    <w:p>
      <w:pPr>
        <w:spacing w:after="80"/>
      </w:pPr>
      <w:r>
        <w:rPr>
          <w:b/>
        </w:rPr>
        <w:t xml:space="preserve">[2] </w:t>
      </w:r>
      <w:r>
        <w:t>Rapid7 — Metasploit Framework. https://www.metasploit.com</w:t>
      </w:r>
    </w:p>
    <w:p>
      <w:pPr>
        <w:spacing w:after="80"/>
      </w:pPr>
      <w:r>
        <w:rPr>
          <w:b/>
        </w:rPr>
        <w:t xml:space="preserve">[3] </w:t>
      </w:r>
      <w:r>
        <w:t>OWASP — Web Security Testing Guide et OWASP Top 10. https://owasp.org</w:t>
      </w:r>
    </w:p>
    <w:p>
      <w:pPr>
        <w:spacing w:after="80"/>
      </w:pPr>
      <w:r>
        <w:rPr>
          <w:b/>
        </w:rPr>
        <w:t xml:space="preserve">[4] </w:t>
      </w:r>
      <w:r>
        <w:t>PentestGPT — LLM-driven penetration testing. Travaux de recherche associés.</w:t>
      </w:r>
    </w:p>
    <w:p>
      <w:pPr>
        <w:spacing w:after="80"/>
      </w:pPr>
      <w:r>
        <w:rPr>
          <w:b/>
        </w:rPr>
        <w:t xml:space="preserve">[5] </w:t>
      </w:r>
      <w:r>
        <w:t>FastAPI — Framework web asynchrone Python. https://fastapi.tiangolo.com</w:t>
      </w:r>
    </w:p>
    <w:p>
      <w:pPr>
        <w:spacing w:after="80"/>
      </w:pPr>
      <w:r>
        <w:rPr>
          <w:b/>
        </w:rPr>
        <w:t xml:space="preserve">[6] </w:t>
      </w:r>
      <w:r>
        <w:t>Next.js — Framework React (App Router). https://nextjs.org</w:t>
      </w:r>
    </w:p>
    <w:p>
      <w:pPr>
        <w:spacing w:after="80"/>
      </w:pPr>
      <w:r>
        <w:rPr>
          <w:b/>
        </w:rPr>
        <w:t xml:space="preserve">[7] </w:t>
      </w:r>
      <w:r>
        <w:t>SQLAlchemy 2.0 — ORM Python. https://www.sqlalchemy.org</w:t>
      </w:r>
    </w:p>
    <w:p>
      <w:pPr>
        <w:spacing w:after="80"/>
      </w:pPr>
      <w:r>
        <w:rPr>
          <w:b/>
        </w:rPr>
        <w:t xml:space="preserve">[8] </w:t>
      </w:r>
      <w:r>
        <w:t>APScheduler — Ordonnancement de tâches en Python. https://apscheduler.readthedocs.io</w:t>
      </w:r>
    </w:p>
    <w:p>
      <w:pPr>
        <w:spacing w:after="80"/>
      </w:pPr>
      <w:r>
        <w:rPr>
          <w:b/>
        </w:rPr>
        <w:t xml:space="preserve">[9] </w:t>
      </w:r>
      <w:r>
        <w:t>MITRE — Common Vulnerabilities and Exposures (CVE). https://cve.mitre.org</w:t>
      </w:r>
    </w:p>
    <w:p>
      <w:pPr>
        <w:spacing w:after="80"/>
      </w:pPr>
      <w:r>
        <w:rPr>
          <w:b/>
        </w:rPr>
        <w:t xml:space="preserve">[10] </w:t>
      </w:r>
      <w:r>
        <w:t>Retrieval-Augmented Generation (RAG) — Lewis et al.,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4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