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bidi/>
        <w:spacing w:after="200"/>
        <w:jc w:val="center"/>
      </w:pPr>
      <w:r>
        <w:rPr>
          <w:rFonts w:ascii="Arial" w:cs="Arial" w:hAnsi="Arial"/>
          <w:b/>
          <w:bCs/>
          <w:color w:val="C9A961"/>
          <w:sz w:val="30"/>
          <w:szCs w:val="30"/>
          <w:rtl/>
        </w:rPr>
        <w:t xml:space="preserve">سوق المال الليبي</w:t>
      </w:r>
    </w:p>
    <w:p>
      <w:pPr>
        <w:bidi/>
        <w:spacing w:after="160"/>
        <w:jc w:val="center"/>
      </w:pPr>
      <w:r>
        <w:rPr>
          <w:rFonts w:ascii="Arial" w:cs="Arial" w:hAnsi="Arial"/>
          <w:b/>
          <w:bCs/>
          <w:color w:val="1E2761"/>
          <w:sz w:val="52"/>
          <w:szCs w:val="52"/>
          <w:rtl/>
        </w:rPr>
        <w:t xml:space="preserve">دليل تركيب وتشغيل</w:t>
      </w:r>
    </w:p>
    <w:p>
      <w:pPr>
        <w:bidi/>
        <w:spacing w:after="500"/>
        <w:jc w:val="center"/>
      </w:pPr>
      <w:r>
        <w:rPr>
          <w:rFonts w:ascii="Arial" w:cs="Arial" w:hAnsi="Arial"/>
          <w:b/>
          <w:bCs/>
          <w:color w:val="1E2761"/>
          <w:sz w:val="40"/>
          <w:szCs w:val="40"/>
          <w:rtl/>
        </w:rPr>
        <w:t xml:space="preserve">شاشة عرض الأسهم ومنظومة التغذية الآلية</w:t>
      </w:r>
    </w:p>
    <w:p>
      <w:pPr>
        <w:pBdr>
          <w:bottom w:val="single" w:color="C9A961" w:sz="12" w:space="1"/>
        </w:pBdr>
        <w:spacing w:after="500"/>
        <w:jc w:val="center"/>
      </w:pPr>
    </w:p>
    <w:p>
      <w:pPr>
        <w:bidi/>
        <w:spacing w:after="900" w:before="0" w:line="300"/>
        <w:jc w:val="center"/>
      </w:pPr>
      <w:r>
        <w:rPr>
          <w:rFonts w:ascii="Arial" w:cs="Arial" w:hAnsi="Arial"/>
          <w:color w:val="5A6078"/>
          <w:sz w:val="24"/>
          <w:szCs w:val="24"/>
          <w:rtl/>
        </w:rPr>
        <w:t xml:space="preserve">الإجراءات والبرامج المطلوبة بالكامل — الأجهزة، التركيب، التشغيل اليومي، الصيانة، واستكشاف الأعطال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البند</w:t>
            </w:r>
          </w:p>
        </w:tc>
        <w:tc>
          <w:tcPr>
            <w:tcW w:type="dxa" w:w="64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القيمة</w:t>
            </w:r>
          </w:p>
        </w:tc>
      </w:tr>
      <w:tr>
        <w:trPr>
          <w:cantSplit/>
        </w:trPr>
        <w:tc>
          <w:tcPr>
            <w:tcW w:type="dxa" w:w="2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الإصدار</w:t>
            </w:r>
          </w:p>
        </w:tc>
        <w:tc>
          <w:tcPr>
            <w:tcW w:type="dxa" w:w="64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1.3</w:t>
            </w:r>
          </w:p>
        </w:tc>
      </w:tr>
      <w:tr>
        <w:trPr>
          <w:cantSplit/>
        </w:trPr>
        <w:tc>
          <w:tcPr>
            <w:tcW w:type="dxa" w:w="26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التاريخ</w:t>
            </w:r>
          </w:p>
        </w:tc>
        <w:tc>
          <w:tcPr>
            <w:tcW w:type="dxa" w:w="64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2026-11-02</w:t>
            </w:r>
          </w:p>
        </w:tc>
      </w:tr>
      <w:tr>
        <w:trPr>
          <w:cantSplit/>
        </w:trPr>
        <w:tc>
          <w:tcPr>
            <w:tcW w:type="dxa" w:w="2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الفئة المستهدفة</w:t>
            </w:r>
          </w:p>
        </w:tc>
        <w:tc>
          <w:tcPr>
            <w:tcW w:type="dxa" w:w="64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إدارة السوق، فريق تقنية المعلومات، قسم المؤشرات والتقارير</w:t>
            </w:r>
          </w:p>
        </w:tc>
      </w:tr>
      <w:tr>
        <w:trPr>
          <w:cantSplit/>
        </w:trPr>
        <w:tc>
          <w:tcPr>
            <w:tcW w:type="dxa" w:w="26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المستودع</w:t>
            </w:r>
          </w:p>
        </w:tc>
        <w:tc>
          <w:tcPr>
            <w:tcW w:type="dxa" w:w="64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libyan-stock-trading-app — الفرع feature/lsm-display-cpp</w:t>
            </w:r>
          </w:p>
        </w:tc>
      </w:tr>
    </w:tbl>
    <w:p>
      <w:r>
        <w:br w:type="page"/>
      </w:r>
    </w:p>
    <w:p>
      <w:pPr>
        <w:bidi/>
        <w:spacing w:after="200"/>
      </w:pPr>
      <w:r>
        <w:rPr>
          <w:rFonts w:ascii="Arial" w:cs="Arial" w:hAnsi="Arial"/>
          <w:b/>
          <w:bCs/>
          <w:color w:val="1E2761"/>
          <w:sz w:val="32"/>
          <w:szCs w:val="32"/>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pPr>
        <w:bidi/>
        <w:spacing w:after="120" w:before="0" w:line="300"/>
      </w:pPr>
      <w:r>
        <w:rPr>
          <w:rFonts w:ascii="Arial" w:cs="Arial" w:hAnsi="Arial"/>
          <w:color w:val="5A6078"/>
          <w:sz w:val="18"/>
          <w:szCs w:val="18"/>
          <w:rtl/>
        </w:rPr>
        <w:t xml:space="preserve">(لتحديث أرقام الصفحات في Word: زر أيمن على الجدول ← تحديث الحقل)</w:t>
      </w:r>
    </w:p>
    <w:p>
      <w:r>
        <w:br w:type="page"/>
      </w:r>
    </w:p>
    <w:p>
      <w:pPr>
        <w:pStyle w:val="Heading1"/>
        <w:keepNext/>
        <w:pBdr>
          <w:bottom w:val="single" w:color="C9A961" w:sz="8" w:space="4"/>
        </w:pBdr>
        <w:bidi/>
        <w:spacing w:after="160" w:before="360"/>
      </w:pPr>
      <w:r>
        <w:rPr>
          <w:rFonts w:ascii="Arial" w:cs="Arial" w:hAnsi="Arial"/>
          <w:b/>
          <w:bCs/>
          <w:color w:val="1E2761"/>
          <w:sz w:val="32"/>
          <w:szCs w:val="32"/>
          <w:rtl/>
        </w:rPr>
        <w:t xml:space="preserve">1. ملخص تنفيذي</w:t>
      </w:r>
    </w:p>
    <w:p>
      <w:pPr>
        <w:bidi/>
        <w:spacing w:after="120" w:before="0" w:line="300"/>
      </w:pPr>
      <w:r>
        <w:rPr>
          <w:rFonts w:ascii="Arial" w:cs="Arial" w:hAnsi="Arial"/>
          <w:sz w:val="22"/>
          <w:szCs w:val="22"/>
          <w:rtl/>
        </w:rPr>
        <w:t xml:space="preserve">تعرض الشاشة أسعار الأسهم المدرجة في سوق المال الليبي على شاشة القاعة أو البهو بشكل دائم: الشريط المتحرك، المؤشر العام، إحصاءات الجلسة، جدول الأسعار، الأكثر ارتفاعًا وانخفاضًا ونشاطًا، خريطة السوق، وأداء القطاعات مع القيمة السوقية.</w:t>
      </w:r>
    </w:p>
    <w:p>
      <w:pPr>
        <w:bidi/>
        <w:spacing w:after="120" w:before="0" w:line="300"/>
      </w:pPr>
      <w:r>
        <w:rPr>
          <w:rFonts w:ascii="Arial" w:cs="Arial" w:hAnsi="Arial"/>
          <w:sz w:val="22"/>
          <w:szCs w:val="22"/>
          <w:rtl/>
        </w:rPr>
        <w:t xml:space="preserve">تُغذّى الشاشة </w:t>
      </w:r>
      <w:r>
        <w:rPr>
          <w:rFonts w:ascii="Arial" w:cs="Arial" w:hAnsi="Arial"/>
          <w:b/>
          <w:bCs/>
          <w:sz w:val="22"/>
          <w:szCs w:val="22"/>
          <w:rtl/>
        </w:rPr>
        <w:t xml:space="preserve">آليًا من «تقرير عمليات التداول» الرسمي</w:t>
      </w:r>
      <w:r>
        <w:rPr>
          <w:rFonts w:ascii="Arial" w:cs="Arial" w:hAnsi="Arial"/>
          <w:sz w:val="22"/>
          <w:szCs w:val="22"/>
          <w:rtl/>
        </w:rPr>
        <w:t xml:space="preserve"> الذي يُصدره قسم المؤشرات والتقارير (بصيغة Excel أو PDF): يكفي أن يحفظ الموظف التقرير في مجلد محدد لتظهر الأرقام على الشاشة خلال ثوانٍ، بعد مطابقتها آليًا مع إجماليات التقرير نفسه.</w:t>
      </w:r>
    </w:p>
    <w:p>
      <w:pPr>
        <w:keepNext/>
        <w:bidi/>
        <w:spacing w:after="120" w:before="0" w:line="300"/>
      </w:pPr>
      <w:r>
        <w:rPr>
          <w:rFonts w:ascii="Arial" w:cs="Arial" w:hAnsi="Arial"/>
          <w:b/>
          <w:bCs/>
          <w:sz w:val="22"/>
          <w:szCs w:val="22"/>
          <w:rtl/>
        </w:rPr>
        <w:t xml:space="preserve">النقاط الرئيسية:</w:t>
      </w:r>
    </w:p>
    <w:p>
      <w:pPr>
        <w:pStyle w:val="ListParagraph"/>
        <w:numPr>
          <w:ilvl w:val="0"/>
          <w:numId w:val="2"/>
        </w:numPr>
        <w:bidi/>
        <w:spacing w:after="80" w:line="300"/>
      </w:pPr>
      <w:r>
        <w:rPr>
          <w:rFonts w:ascii="Arial" w:cs="Arial" w:hAnsi="Arial"/>
          <w:b/>
          <w:bCs/>
          <w:sz w:val="22"/>
          <w:szCs w:val="22"/>
          <w:rtl/>
        </w:rPr>
        <w:t xml:space="preserve">لا تحتاج إنترنت</w:t>
      </w:r>
      <w:r>
        <w:rPr>
          <w:rFonts w:ascii="Arial" w:cs="Arial" w:hAnsi="Arial"/>
          <w:sz w:val="22"/>
          <w:szCs w:val="22"/>
          <w:rtl/>
        </w:rPr>
        <w:t xml:space="preserve"> ولا قاعدة بيانات ولا ربطًا مباشرًا بنظام التداول.</w:t>
      </w:r>
    </w:p>
    <w:p>
      <w:pPr>
        <w:pStyle w:val="ListParagraph"/>
        <w:numPr>
          <w:ilvl w:val="0"/>
          <w:numId w:val="2"/>
        </w:numPr>
        <w:bidi/>
        <w:spacing w:after="80" w:line="300"/>
      </w:pPr>
      <w:r>
        <w:rPr>
          <w:rFonts w:ascii="Arial" w:cs="Arial" w:hAnsi="Arial"/>
          <w:b/>
          <w:bCs/>
          <w:sz w:val="22"/>
          <w:szCs w:val="22"/>
          <w:rtl/>
        </w:rPr>
        <w:t xml:space="preserve">جميع البرامج مجانية</w:t>
      </w:r>
      <w:r>
        <w:rPr>
          <w:rFonts w:ascii="Arial" w:cs="Arial" w:hAnsi="Arial"/>
          <w:sz w:val="22"/>
          <w:szCs w:val="22"/>
          <w:rtl/>
        </w:rPr>
        <w:t xml:space="preserve">، والحزمة الجاهزة لويندوز تُبنى آليًا — لا حاجة لأدوات تطوير على أجهزة السوق.</w:t>
      </w:r>
    </w:p>
    <w:p>
      <w:pPr>
        <w:pStyle w:val="ListParagraph"/>
        <w:numPr>
          <w:ilvl w:val="0"/>
          <w:numId w:val="2"/>
        </w:numPr>
        <w:bidi/>
        <w:spacing w:after="80" w:line="300"/>
      </w:pPr>
      <w:r>
        <w:rPr>
          <w:rFonts w:ascii="Arial" w:cs="Arial" w:hAnsi="Arial"/>
          <w:b/>
          <w:bCs/>
          <w:sz w:val="22"/>
          <w:szCs w:val="22"/>
          <w:rtl/>
        </w:rPr>
        <w:t xml:space="preserve">الإجراء اليومي الوحيد</w:t>
      </w:r>
      <w:r>
        <w:rPr>
          <w:rFonts w:ascii="Arial" w:cs="Arial" w:hAnsi="Arial"/>
          <w:sz w:val="22"/>
          <w:szCs w:val="22"/>
          <w:rtl/>
        </w:rPr>
        <w:t xml:space="preserve">: حفظ التقرير النهائي في مجلد التقارير.</w:t>
      </w:r>
    </w:p>
    <w:p>
      <w:pPr>
        <w:pStyle w:val="ListParagraph"/>
        <w:numPr>
          <w:ilvl w:val="0"/>
          <w:numId w:val="2"/>
        </w:numPr>
        <w:bidi/>
        <w:spacing w:after="80" w:line="300"/>
      </w:pPr>
      <w:r>
        <w:rPr>
          <w:rFonts w:ascii="Arial" w:cs="Arial" w:hAnsi="Arial"/>
          <w:b/>
          <w:bCs/>
          <w:sz w:val="22"/>
          <w:szCs w:val="22"/>
          <w:rtl/>
        </w:rPr>
        <w:t xml:space="preserve">مطابقة آلية</w:t>
      </w:r>
      <w:r>
        <w:rPr>
          <w:rFonts w:ascii="Arial" w:cs="Arial" w:hAnsi="Arial"/>
          <w:sz w:val="22"/>
          <w:szCs w:val="22"/>
          <w:rtl/>
        </w:rPr>
        <w:t xml:space="preserve"> لكل تقرير: قيمة وكمية التداول، العمليات، القيمة السوقية، عدد الشركات المرتفعة والمنخفضة، والمؤشر.</w:t>
      </w:r>
    </w:p>
    <w:p>
      <w:pPr>
        <w:pStyle w:val="ListParagraph"/>
        <w:numPr>
          <w:ilvl w:val="0"/>
          <w:numId w:val="2"/>
        </w:numPr>
        <w:bidi/>
        <w:spacing w:after="80" w:line="300"/>
      </w:pPr>
      <w:r>
        <w:rPr>
          <w:rFonts w:ascii="Arial" w:cs="Arial" w:hAnsi="Arial"/>
          <w:sz w:val="22"/>
          <w:szCs w:val="22"/>
          <w:rtl/>
        </w:rPr>
        <w:t xml:space="preserve">جُرّبت المنظومة على تقرير جلسة 2026-11-01 فتطابقت جميع الأرقام </w:t>
      </w:r>
      <w:r>
        <w:rPr>
          <w:rFonts w:ascii="Arial" w:cs="Arial" w:hAnsi="Arial"/>
          <w:b/>
          <w:bCs/>
          <w:sz w:val="22"/>
          <w:szCs w:val="22"/>
          <w:rtl/>
        </w:rPr>
        <w:t xml:space="preserve">دون أي فرق</w:t>
      </w:r>
      <w:r>
        <w:rPr>
          <w:rFonts w:ascii="Arial" w:cs="Arial" w:hAnsi="Arial"/>
          <w:sz w:val="22"/>
          <w:szCs w:val="22"/>
          <w:rtl/>
        </w:rPr>
        <w:t xml:space="preserve">.</w:t>
      </w:r>
    </w:p>
    <w:p>
      <w:pPr>
        <w:keepNext/>
        <w:spacing w:after="80" w:before="200"/>
        <w:jc w:val="center"/>
      </w:pPr>
      <w:r>
        <w:drawing>
          <wp:inline distT="0" distB="0" distL="0" distR="0">
            <wp:extent cx="5715000" cy="3429000"/>
            <wp:effectExtent t="0" r="0" b="0" l="0"/>
            <wp:docPr id="1" name="screen" descr="شاشة العرض مغذاة من تقرير 2026-11-01" title="الشاش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bidi/>
        <w:spacing w:after="120" w:before="0" w:line="300"/>
        <w:jc w:val="center"/>
      </w:pPr>
      <w:r>
        <w:rPr>
          <w:rFonts w:ascii="Arial" w:cs="Arial" w:hAnsi="Arial"/>
          <w:color w:val="5A6078"/>
          <w:sz w:val="18"/>
          <w:szCs w:val="18"/>
          <w:rtl/>
        </w:rPr>
        <w:t xml:space="preserve">الشاشة في وضع القاعة (1080p) مغذّاة آليًا من التقرير الرسمي لجلسة 2026-11-01</w:t>
      </w:r>
    </w:p>
    <w:p>
      <w:pPr>
        <w:pStyle w:val="Heading1"/>
        <w:keepNext/>
        <w:pBdr>
          <w:bottom w:val="single" w:color="C9A961" w:sz="8" w:space="4"/>
        </w:pBdr>
        <w:bidi/>
        <w:spacing w:after="160" w:before="360"/>
      </w:pPr>
      <w:r>
        <w:rPr>
          <w:rFonts w:ascii="Arial" w:cs="Arial" w:hAnsi="Arial"/>
          <w:b/>
          <w:bCs/>
          <w:color w:val="1E2761"/>
          <w:sz w:val="32"/>
          <w:szCs w:val="32"/>
          <w:rtl/>
        </w:rPr>
        <w:t xml:space="preserve">2. فكرة العمل</w:t>
      </w:r>
    </w:p>
    <w:p>
      <w:pPr>
        <w:keepNext/>
        <w:bidi/>
        <w:spacing w:after="120" w:before="0" w:line="300"/>
      </w:pPr>
      <w:r>
        <w:rPr>
          <w:rFonts w:ascii="Arial" w:cs="Arial" w:hAnsi="Arial"/>
          <w:sz w:val="22"/>
          <w:szCs w:val="22"/>
          <w:rtl/>
        </w:rPr>
        <w:t xml:space="preserve">تتكون المنظومة من ثلاث حلقات يربط بينها «مجلد التقارير» فقط:</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المرحلة</w:t>
            </w:r>
          </w:p>
        </w:tc>
        <w:tc>
          <w:tcPr>
            <w:tcW w:type="dxa" w:w="26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من يقوم بها</w:t>
            </w:r>
          </w:p>
        </w:tc>
        <w:tc>
          <w:tcPr>
            <w:tcW w:type="dxa" w:w="44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ماذا يحدث</w:t>
            </w:r>
          </w:p>
        </w:tc>
      </w:tr>
      <w:tr>
        <w:trPr>
          <w:cantSplit/>
        </w:trPr>
        <w:tc>
          <w:tcPr>
            <w:tcW w:type="dxa" w:w="2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1. إصدار التقرير</w:t>
            </w:r>
          </w:p>
        </w:tc>
        <w:tc>
          <w:tcPr>
            <w:tcW w:type="dxa" w:w="2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قسم المؤشرات والتقارير</w:t>
            </w:r>
          </w:p>
        </w:tc>
        <w:tc>
          <w:tcPr>
            <w:tcW w:type="dxa" w:w="44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يُعدّ «تقرير عمليات التداول» (Excel/PDF) كما هو معتاد، ويحفظه في مجلد التقارير</w:t>
            </w:r>
          </w:p>
        </w:tc>
      </w:tr>
      <w:tr>
        <w:trPr>
          <w:cantSplit/>
        </w:trPr>
        <w:tc>
          <w:tcPr>
            <w:tcW w:type="dxa" w:w="2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2. التغذية</w:t>
            </w:r>
          </w:p>
        </w:tc>
        <w:tc>
          <w:tcPr>
            <w:tcW w:type="dxa" w:w="26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برنامج lsm_feeder.py (آليًا)</w:t>
            </w:r>
          </w:p>
        </w:tc>
        <w:tc>
          <w:tcPr>
            <w:tcW w:type="dxa" w:w="44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يقرأ التقرير، يتعرف على الشركات، يطابق الأرقام مع الإجماليات، ويكتب ملف البيانات session.json</w:t>
            </w:r>
          </w:p>
        </w:tc>
      </w:tr>
      <w:tr>
        <w:trPr>
          <w:cantSplit/>
        </w:trPr>
        <w:tc>
          <w:tcPr>
            <w:tcW w:type="dxa" w:w="2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3. العرض</w:t>
            </w:r>
          </w:p>
        </w:tc>
        <w:tc>
          <w:tcPr>
            <w:tcW w:type="dxa" w:w="2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برنامج lsm-market-display (آليًا)</w:t>
            </w:r>
          </w:p>
        </w:tc>
        <w:tc>
          <w:tcPr>
            <w:tcW w:type="dxa" w:w="44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يقرأ ملف البيانات ويتحدث خلال 5 ثوانٍ من أي تغيير</w:t>
            </w:r>
          </w:p>
        </w:tc>
      </w:tr>
    </w:tbl>
    <w:p>
      <w:pPr>
        <w:spacing w:after="120"/>
      </w:pPr>
    </w:p>
    <w:p>
      <w:pPr>
        <w:bidi/>
        <w:spacing w:after="120" w:before="0" w:line="300"/>
      </w:pPr>
      <w:r>
        <w:rPr>
          <w:rFonts w:ascii="Arial" w:cs="Arial" w:hAnsi="Arial"/>
          <w:sz w:val="22"/>
          <w:szCs w:val="22"/>
          <w:rtl/>
        </w:rPr>
        <w:t xml:space="preserve">يعمل البرنامجان على </w:t>
      </w:r>
      <w:r>
        <w:rPr>
          <w:rFonts w:ascii="Arial" w:cs="Arial" w:hAnsi="Arial"/>
          <w:b/>
          <w:bCs/>
          <w:sz w:val="22"/>
          <w:szCs w:val="22"/>
          <w:rtl/>
        </w:rPr>
        <w:t xml:space="preserve">جهاز واحد</w:t>
      </w:r>
      <w:r>
        <w:rPr>
          <w:rFonts w:ascii="Arial" w:cs="Arial" w:hAnsi="Arial"/>
          <w:sz w:val="22"/>
          <w:szCs w:val="22"/>
          <w:rtl/>
        </w:rPr>
        <w:t xml:space="preserve"> (يُوصى به)، ويكون مجلد التقارير مجلدًا مشتركًا عليه يصل إليه موظف التقارير من جهازه عبر الشبكة الداخلية.</w:t>
      </w:r>
    </w:p>
    <w:p>
      <w:pPr>
        <w:pStyle w:val="Heading1"/>
        <w:keepNext/>
        <w:pBdr>
          <w:bottom w:val="single" w:color="C9A961" w:sz="8" w:space="4"/>
        </w:pBdr>
        <w:bidi/>
        <w:spacing w:after="160" w:before="360"/>
      </w:pPr>
      <w:r>
        <w:rPr>
          <w:rFonts w:ascii="Arial" w:cs="Arial" w:hAnsi="Arial"/>
          <w:b/>
          <w:bCs/>
          <w:color w:val="1E2761"/>
          <w:sz w:val="32"/>
          <w:szCs w:val="32"/>
          <w:rtl/>
        </w:rPr>
        <w:t xml:space="preserve">3. مكونات المنظومة (محتوى الحزمة)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الملف</w:t>
            </w:r>
          </w:p>
        </w:tc>
        <w:tc>
          <w:tcPr>
            <w:tcW w:type="dxa" w:w="60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الوظيفة</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lsm-market-display.exe</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برنامج شاشة العرض (C++ / Qt) — مع مكتبات Qt المرفقة بجانبه (ملفات dll ومجلد platforms)</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data\session.json</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بيانات الجلسة المعروضة — يكتبها برنامج التغذية آليًا</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data\companies.json</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الملف المرجعي للشركات: الرمز، الاسم بالعربي والإنجليزي، القطاع، عدد الأسهم المصدرة</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tools\lsm_feeder.py</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منظومة التغذية: تحويل تقرير التداول إلى بيانات الشاشة</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tools\requirements.txt</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قائمة مكتبات بايثون المطلوبة</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start-display.bat</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تشغيل الشاشة بملء الشاشة مع إعادة تشغيل آلية عند الإغلاق</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start-feeder.bat</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تشغيل التغذية: مراقبة مجلد التقارير مع إعادة تشغيل آلية</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install-feeder.bat</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تثبيت متطلبات التغذية (مرة واحدة)</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convert-report.bat</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تحويل تقرير يدويًا بسحبه وإفلاته فوق الملف</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README.md و DEPLOYMENT.md</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التوثيق الفني ودليل التشغيل</w:t>
            </w:r>
          </w:p>
        </w:tc>
      </w:tr>
    </w:tbl>
    <w:p>
      <w:pPr>
        <w:pStyle w:val="Heading1"/>
        <w:keepNext/>
        <w:pBdr>
          <w:bottom w:val="single" w:color="C9A961" w:sz="8" w:space="4"/>
        </w:pBdr>
        <w:bidi/>
        <w:spacing w:after="160" w:before="360"/>
      </w:pPr>
      <w:r>
        <w:rPr>
          <w:rFonts w:ascii="Arial" w:cs="Arial" w:hAnsi="Arial"/>
          <w:b/>
          <w:bCs/>
          <w:color w:val="1E2761"/>
          <w:sz w:val="32"/>
          <w:szCs w:val="32"/>
          <w:rtl/>
        </w:rPr>
        <w:t xml:space="preserve">4. الأجهزة المطلوبة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البند</w:t>
            </w:r>
          </w:p>
        </w:tc>
        <w:tc>
          <w:tcPr>
            <w:tcW w:type="dxa" w:w="39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المواصفات الدنيا</w:t>
            </w:r>
          </w:p>
        </w:tc>
        <w:tc>
          <w:tcPr>
            <w:tcW w:type="dxa" w:w="28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ملاحظات</w:t>
            </w:r>
          </w:p>
        </w:tc>
      </w:tr>
      <w:tr>
        <w:trPr>
          <w:cantSplit/>
        </w:trPr>
        <w:tc>
          <w:tcPr>
            <w:tcW w:type="dxa" w:w="23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جهاز العرض والتغذية</w:t>
            </w:r>
          </w:p>
        </w:tc>
        <w:tc>
          <w:tcPr>
            <w:tcW w:type="dxa" w:w="3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ويندوز 10 أو 11 (64-بت)، معالج i3 أو ما يعادله، ذاكرة 4GB، مساحة 1GB</w:t>
            </w:r>
          </w:p>
        </w:tc>
        <w:tc>
          <w:tcPr>
            <w:tcW w:type="dxa" w:w="28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يكفي جهاز صغير (Mini PC) يُثبّت خلف الشاشة</w:t>
            </w:r>
          </w:p>
        </w:tc>
      </w:tr>
      <w:tr>
        <w:trPr>
          <w:cantSplit/>
        </w:trPr>
        <w:tc>
          <w:tcPr>
            <w:tcW w:type="dxa" w:w="23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الشاشة</w:t>
            </w:r>
          </w:p>
        </w:tc>
        <w:tc>
          <w:tcPr>
            <w:tcW w:type="dxa" w:w="3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تلفاز أو شاشة عرض بمنفذ HDMI، دقة 1920×1080 أو 4K</w:t>
            </w:r>
          </w:p>
        </w:tc>
        <w:tc>
          <w:tcPr>
            <w:tcW w:type="dxa" w:w="28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يُضبط حجم الخط بالمقياس SCALE</w:t>
            </w:r>
          </w:p>
        </w:tc>
      </w:tr>
      <w:tr>
        <w:trPr>
          <w:cantSplit/>
        </w:trPr>
        <w:tc>
          <w:tcPr>
            <w:tcW w:type="dxa" w:w="23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الشبكة</w:t>
            </w:r>
          </w:p>
        </w:tc>
        <w:tc>
          <w:tcPr>
            <w:tcW w:type="dxa" w:w="3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اتصال بالشبكة الداخلية</w:t>
            </w:r>
          </w:p>
        </w:tc>
        <w:tc>
          <w:tcPr>
            <w:tcW w:type="dxa" w:w="28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فقط لمشاركة مجلد التقارير مع جهاز موظف التقارير</w:t>
            </w:r>
          </w:p>
        </w:tc>
      </w:tr>
      <w:tr>
        <w:trPr>
          <w:cantSplit/>
        </w:trPr>
        <w:tc>
          <w:tcPr>
            <w:tcW w:type="dxa" w:w="23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مزوّد طاقة احتياطي UPS</w:t>
            </w:r>
          </w:p>
        </w:tc>
        <w:tc>
          <w:tcPr>
            <w:tcW w:type="dxa" w:w="3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يُنصح به</w:t>
            </w:r>
          </w:p>
        </w:tc>
        <w:tc>
          <w:tcPr>
            <w:tcW w:type="dxa" w:w="28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لحماية الجهاز من انقطاع الكهرباء</w:t>
            </w:r>
          </w:p>
        </w:tc>
      </w:tr>
      <w:tr>
        <w:trPr>
          <w:cantSplit/>
        </w:trPr>
        <w:tc>
          <w:tcPr>
            <w:tcW w:type="dxa" w:w="23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لوحة مفاتيح وفأرة</w:t>
            </w:r>
          </w:p>
        </w:tc>
        <w:tc>
          <w:tcPr>
            <w:tcW w:type="dxa" w:w="3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للتركيب والصيانة فقط</w:t>
            </w:r>
          </w:p>
        </w:tc>
        <w:tc>
          <w:tcPr>
            <w:tcW w:type="dxa" w:w="28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لا حاجة لها أثناء التشغيل الدائم</w:t>
            </w:r>
          </w:p>
        </w:tc>
      </w:tr>
    </w:tbl>
    <w:p>
      <w:pPr>
        <w:pStyle w:val="Heading1"/>
        <w:keepNext/>
        <w:pBdr>
          <w:bottom w:val="single" w:color="C9A961" w:sz="8" w:space="4"/>
        </w:pBdr>
        <w:bidi/>
        <w:spacing w:after="160" w:before="360"/>
      </w:pPr>
      <w:r>
        <w:rPr>
          <w:rFonts w:ascii="Arial" w:cs="Arial" w:hAnsi="Arial"/>
          <w:b/>
          <w:bCs/>
          <w:color w:val="1E2761"/>
          <w:sz w:val="32"/>
          <w:szCs w:val="32"/>
          <w:rtl/>
        </w:rPr>
        <w:t xml:space="preserve">5. البرامج المطلوبة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926"/>
        <w:gridCol w:w="1200"/>
      </w:tblGrid>
      <w:tr>
        <w:trPr>
          <w:tblHeader/>
        </w:trPr>
        <w:tc>
          <w:tcPr>
            <w:tcW w:type="dxa" w:w="22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البرنامج</w:t>
            </w:r>
          </w:p>
        </w:tc>
        <w:tc>
          <w:tcPr>
            <w:tcW w:type="dxa" w:w="15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الجهاز</w:t>
            </w:r>
          </w:p>
        </w:tc>
        <w:tc>
          <w:tcPr>
            <w:tcW w:type="dxa" w:w="22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الغرض</w:t>
            </w:r>
          </w:p>
        </w:tc>
        <w:tc>
          <w:tcPr>
            <w:tcW w:type="dxa" w:w="19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المصدر</w:t>
            </w:r>
          </w:p>
        </w:tc>
        <w:tc>
          <w:tcPr>
            <w:tcW w:type="dxa" w:w="12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التكلفة</w:t>
            </w:r>
          </w:p>
        </w:tc>
      </w:tr>
      <w:tr>
        <w:trPr>
          <w:cantSplit/>
        </w:trPr>
        <w:tc>
          <w:tcPr>
            <w:tcW w:type="dxa" w:w="2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حزمة الشاشة الجاهزة</w:t>
            </w:r>
          </w:p>
        </w:tc>
        <w:tc>
          <w:tcPr>
            <w:tcW w:type="dxa" w:w="15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جهاز العرض</w:t>
            </w:r>
          </w:p>
        </w:tc>
        <w:tc>
          <w:tcPr>
            <w:tcW w:type="dxa" w:w="2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البرنامج مع مكتباته</w:t>
            </w:r>
          </w:p>
        </w:tc>
        <w:tc>
          <w:tcPr>
            <w:tcW w:type="dxa" w:w="1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GitHub Actions (البند 6)</w:t>
            </w:r>
          </w:p>
        </w:tc>
        <w:tc>
          <w:tcPr>
            <w:tcW w:type="dxa" w:w="1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مجانية</w:t>
            </w:r>
          </w:p>
        </w:tc>
      </w:tr>
      <w:tr>
        <w:trPr>
          <w:cantSplit/>
        </w:trPr>
        <w:tc>
          <w:tcPr>
            <w:tcW w:type="dxa" w:w="2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Python 3.10 أو أحدث</w:t>
            </w:r>
          </w:p>
        </w:tc>
        <w:tc>
          <w:tcPr>
            <w:tcW w:type="dxa" w:w="15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جهاز التغذية</w:t>
            </w:r>
          </w:p>
        </w:tc>
        <w:tc>
          <w:tcPr>
            <w:tcW w:type="dxa" w:w="2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تشغيل منظومة التغذية</w:t>
            </w:r>
          </w:p>
        </w:tc>
        <w:tc>
          <w:tcPr>
            <w:tcW w:type="dxa" w:w="1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python.org/downloads</w:t>
            </w:r>
          </w:p>
        </w:tc>
        <w:tc>
          <w:tcPr>
            <w:tcW w:type="dxa" w:w="1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مجاني</w:t>
            </w:r>
          </w:p>
        </w:tc>
      </w:tr>
      <w:tr>
        <w:trPr>
          <w:cantSplit/>
        </w:trPr>
        <w:tc>
          <w:tcPr>
            <w:tcW w:type="dxa" w:w="2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pdfplumber و openpyxl</w:t>
            </w:r>
          </w:p>
        </w:tc>
        <w:tc>
          <w:tcPr>
            <w:tcW w:type="dxa" w:w="15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جهاز التغذية</w:t>
            </w:r>
          </w:p>
        </w:tc>
        <w:tc>
          <w:tcPr>
            <w:tcW w:type="dxa" w:w="2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قراءة ملفات PDF و Excel</w:t>
            </w:r>
          </w:p>
        </w:tc>
        <w:tc>
          <w:tcPr>
            <w:tcW w:type="dxa" w:w="1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install-feeder.bat</w:t>
            </w:r>
          </w:p>
        </w:tc>
        <w:tc>
          <w:tcPr>
            <w:tcW w:type="dxa" w:w="1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مجانيتان</w:t>
            </w:r>
          </w:p>
        </w:tc>
      </w:tr>
      <w:tr>
        <w:trPr>
          <w:cantSplit/>
        </w:trPr>
        <w:tc>
          <w:tcPr>
            <w:tcW w:type="dxa" w:w="2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Visual C++ Redistributable x64</w:t>
            </w:r>
          </w:p>
        </w:tc>
        <w:tc>
          <w:tcPr>
            <w:tcW w:type="dxa" w:w="15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جهاز العرض</w:t>
            </w:r>
          </w:p>
        </w:tc>
        <w:tc>
          <w:tcPr>
            <w:tcW w:type="dxa" w:w="2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مكتبات تشغيل C++ (غالبًا مثبتة مسبقًا)</w:t>
            </w:r>
          </w:p>
        </w:tc>
        <w:tc>
          <w:tcPr>
            <w:tcW w:type="dxa" w:w="1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موقع مايكروسوفت</w:t>
            </w:r>
          </w:p>
        </w:tc>
        <w:tc>
          <w:tcPr>
            <w:tcW w:type="dxa" w:w="1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مجاني</w:t>
            </w:r>
          </w:p>
        </w:tc>
      </w:tr>
    </w:tbl>
    <w:p>
      <w:pPr>
        <w:spacing w:after="120"/>
      </w:pPr>
    </w:p>
    <w:p>
      <w:pPr>
        <w:pBdr>
          <w:right w:val="single" w:color="C9A961" w:sz="24" w:space="8"/>
        </w:pBdr>
        <w:shd w:fill="FBF6EA" w:color="auto" w:val="clear"/>
        <w:bidi/>
        <w:spacing w:after="160" w:before="80" w:line="300"/>
        <w:ind w:left="200" w:right="200"/>
      </w:pPr>
      <w:r>
        <w:rPr>
          <w:rFonts w:ascii="Arial" w:cs="Arial" w:hAnsi="Arial"/>
          <w:b/>
          <w:bCs/>
          <w:sz w:val="21"/>
          <w:szCs w:val="21"/>
          <w:rtl/>
        </w:rPr>
        <w:t xml:space="preserve">لا حاجة</w:t>
      </w:r>
      <w:r>
        <w:rPr>
          <w:rFonts w:ascii="Arial" w:cs="Arial" w:hAnsi="Arial"/>
          <w:sz w:val="21"/>
          <w:szCs w:val="21"/>
          <w:rtl/>
        </w:rPr>
        <w:t xml:space="preserve"> لتثبيت Qt أو Visual Studio أو CMake على أجهزة السوق؛ البناء يتم آليًا على خوادم GitHub عند كل تعديل، مع تشغيل الاختبارات الآلية، وتُنزَّل الحزمة جاهزة. تلزم أدوات التطوير فقط لمن يريد تعديل الشيفرة وبناءها محليًا.</w:t>
      </w:r>
    </w:p>
    <w:p>
      <w:pPr>
        <w:pStyle w:val="Heading1"/>
        <w:keepNext/>
        <w:pBdr>
          <w:bottom w:val="single" w:color="C9A961" w:sz="8" w:space="4"/>
        </w:pBdr>
        <w:bidi/>
        <w:spacing w:after="160" w:before="360"/>
      </w:pPr>
      <w:r>
        <w:rPr>
          <w:rFonts w:ascii="Arial" w:cs="Arial" w:hAnsi="Arial"/>
          <w:b/>
          <w:bCs/>
          <w:color w:val="1E2761"/>
          <w:sz w:val="32"/>
          <w:szCs w:val="32"/>
          <w:rtl/>
        </w:rPr>
        <w:t xml:space="preserve">6. الحصول على الحزمة الجاهزة لويندوز</w:t>
      </w:r>
    </w:p>
    <w:p>
      <w:pPr>
        <w:pStyle w:val="ListParagraph"/>
        <w:numPr>
          <w:ilvl w:val="0"/>
          <w:numId w:val="3"/>
        </w:numPr>
        <w:bidi/>
        <w:spacing w:after="100" w:line="300"/>
      </w:pPr>
      <w:r>
        <w:rPr>
          <w:rFonts w:ascii="Arial" w:cs="Arial" w:hAnsi="Arial"/>
          <w:sz w:val="22"/>
          <w:szCs w:val="22"/>
          <w:rtl/>
        </w:rPr>
        <w:t xml:space="preserve">الدخول إلى صفحة المستودع على GitHub ثم تبويب </w:t>
      </w:r>
      <w:r>
        <w:rPr>
          <w:rFonts w:ascii="Arial" w:cs="Arial" w:hAnsi="Arial"/>
          <w:b/>
          <w:bCs/>
          <w:sz w:val="22"/>
          <w:szCs w:val="22"/>
          <w:rtl/>
        </w:rPr>
        <w:t xml:space="preserve">Actions</w:t>
      </w:r>
      <w:r>
        <w:rPr>
          <w:rFonts w:ascii="Arial" w:cs="Arial" w:hAnsi="Arial"/>
          <w:sz w:val="22"/>
          <w:szCs w:val="22"/>
          <w:rtl/>
        </w:rPr>
        <w:t xml:space="preserve">.</w:t>
      </w:r>
    </w:p>
    <w:p>
      <w:pPr>
        <w:pStyle w:val="ListParagraph"/>
        <w:numPr>
          <w:ilvl w:val="0"/>
          <w:numId w:val="3"/>
        </w:numPr>
        <w:bidi/>
        <w:spacing w:after="100" w:line="300"/>
      </w:pPr>
      <w:r>
        <w:rPr>
          <w:rFonts w:ascii="Arial" w:cs="Arial" w:hAnsi="Arial"/>
          <w:sz w:val="22"/>
          <w:szCs w:val="22"/>
          <w:rtl/>
        </w:rPr>
        <w:t xml:space="preserve">اختيار </w:t>
      </w:r>
      <w:r>
        <w:rPr>
          <w:rFonts w:ascii="Arial" w:cs="Arial" w:hAnsi="Arial"/>
          <w:b/>
          <w:bCs/>
          <w:sz w:val="22"/>
          <w:szCs w:val="22"/>
          <w:rtl/>
        </w:rPr>
        <w:t xml:space="preserve">LSM display — Windows build</w:t>
      </w:r>
      <w:r>
        <w:rPr>
          <w:rFonts w:ascii="Arial" w:cs="Arial" w:hAnsi="Arial"/>
          <w:sz w:val="22"/>
          <w:szCs w:val="22"/>
          <w:rtl/>
        </w:rPr>
        <w:t xml:space="preserve"> ثم آخر تشغيل ناجح (علامة ✔ خضراء).</w:t>
      </w:r>
    </w:p>
    <w:p>
      <w:pPr>
        <w:pStyle w:val="ListParagraph"/>
        <w:numPr>
          <w:ilvl w:val="0"/>
          <w:numId w:val="3"/>
        </w:numPr>
        <w:bidi/>
        <w:spacing w:after="100" w:line="300"/>
      </w:pPr>
      <w:r>
        <w:rPr>
          <w:rFonts w:ascii="Arial" w:cs="Arial" w:hAnsi="Arial"/>
          <w:sz w:val="22"/>
          <w:szCs w:val="22"/>
          <w:rtl/>
        </w:rPr>
        <w:t xml:space="preserve">من قسم </w:t>
      </w:r>
      <w:r>
        <w:rPr>
          <w:rFonts w:ascii="Arial" w:cs="Arial" w:hAnsi="Arial"/>
          <w:b/>
          <w:bCs/>
          <w:sz w:val="22"/>
          <w:szCs w:val="22"/>
          <w:rtl/>
        </w:rPr>
        <w:t xml:space="preserve">Artifacts</w:t>
      </w:r>
      <w:r>
        <w:rPr>
          <w:rFonts w:ascii="Arial" w:cs="Arial" w:hAnsi="Arial"/>
          <w:sz w:val="22"/>
          <w:szCs w:val="22"/>
          <w:rtl/>
        </w:rPr>
        <w:t xml:space="preserve"> أسفل الصفحة تنزيل الملف </w:t>
      </w:r>
      <w:r>
        <w:rPr>
          <w:rFonts w:ascii="Arial" w:cs="Arial" w:hAnsi="Arial"/>
          <w:b/>
          <w:bCs/>
          <w:sz w:val="22"/>
          <w:szCs w:val="22"/>
          <w:rtl/>
        </w:rPr>
        <w:t xml:space="preserve">lsm-market-display-windows</w:t>
      </w:r>
      <w:r>
        <w:rPr>
          <w:rFonts w:ascii="Arial" w:cs="Arial" w:hAnsi="Arial"/>
          <w:sz w:val="22"/>
          <w:szCs w:val="22"/>
          <w:rtl/>
        </w:rPr>
        <w:t xml:space="preserve"> (ملف zip بحجم نحو 37MB).</w:t>
      </w:r>
    </w:p>
    <w:p>
      <w:pPr>
        <w:pStyle w:val="ListParagraph"/>
        <w:numPr>
          <w:ilvl w:val="0"/>
          <w:numId w:val="3"/>
        </w:numPr>
        <w:bidi/>
        <w:spacing w:after="100" w:line="300"/>
      </w:pPr>
      <w:r>
        <w:rPr>
          <w:rFonts w:ascii="Arial" w:cs="Arial" w:hAnsi="Arial"/>
          <w:sz w:val="22"/>
          <w:szCs w:val="22"/>
          <w:rtl/>
        </w:rPr>
        <w:t xml:space="preserve">فك الضغط في مجلد ثابت على جهاز العرض: </w:t>
      </w:r>
      <w:r>
        <w:rPr>
          <w:rFonts w:ascii="Arial" w:cs="Arial" w:hAnsi="Arial"/>
          <w:b/>
          <w:bCs/>
          <w:sz w:val="22"/>
          <w:szCs w:val="22"/>
          <w:rtl/>
        </w:rPr>
        <w:t xml:space="preserve">C:\LSM\display</w:t>
      </w:r>
    </w:p>
    <w:p>
      <w:pPr>
        <w:pBdr>
          <w:right w:val="single" w:color="C9A961" w:sz="24" w:space="8"/>
        </w:pBdr>
        <w:shd w:fill="FBF6EA" w:color="auto" w:val="clear"/>
        <w:bidi/>
        <w:spacing w:after="160" w:before="80" w:line="300"/>
        <w:ind w:left="200" w:right="200"/>
      </w:pPr>
      <w:r>
        <w:rPr>
          <w:rFonts w:ascii="Arial" w:cs="Arial" w:hAnsi="Arial"/>
          <w:sz w:val="21"/>
          <w:szCs w:val="21"/>
          <w:rtl/>
        </w:rPr>
        <w:t xml:space="preserve">عند كل بناء ناجح يُنتج GitHub أيضًا صورة للشاشة (snapshot-windows) من البرنامج المجمّع نفسه — للتحقق من أنه يعمل قبل تنزيله.</w:t>
      </w:r>
    </w:p>
    <w:p>
      <w:pPr>
        <w:pStyle w:val="Heading1"/>
        <w:keepNext/>
        <w:pBdr>
          <w:bottom w:val="single" w:color="C9A961" w:sz="8" w:space="4"/>
        </w:pBdr>
        <w:bidi/>
        <w:spacing w:after="160" w:before="360"/>
      </w:pPr>
      <w:r>
        <w:rPr>
          <w:rFonts w:ascii="Arial" w:cs="Arial" w:hAnsi="Arial"/>
          <w:b/>
          <w:bCs/>
          <w:color w:val="1E2761"/>
          <w:sz w:val="32"/>
          <w:szCs w:val="32"/>
          <w:rtl/>
        </w:rPr>
        <w:t xml:space="preserve">7. خطوات التركيب (مرة واحدة — نحو 30 دقيقة)</w:t>
      </w:r>
    </w:p>
    <w:p>
      <w:pPr>
        <w:pStyle w:val="Heading2"/>
        <w:keepNext/>
        <w:bidi/>
        <w:spacing w:after="120" w:before="240"/>
      </w:pPr>
      <w:r>
        <w:rPr>
          <w:rFonts w:ascii="Arial" w:cs="Arial" w:hAnsi="Arial"/>
          <w:b/>
          <w:bCs/>
          <w:color w:val="1E2761"/>
          <w:sz w:val="26"/>
          <w:szCs w:val="26"/>
          <w:rtl/>
        </w:rPr>
        <w:t xml:space="preserve">أ) جهاز العرض</w:t>
      </w:r>
    </w:p>
    <w:p>
      <w:pPr>
        <w:pStyle w:val="ListParagraph"/>
        <w:numPr>
          <w:ilvl w:val="0"/>
          <w:numId w:val="4"/>
        </w:numPr>
        <w:bidi/>
        <w:spacing w:after="100" w:line="300"/>
      </w:pPr>
      <w:r>
        <w:rPr>
          <w:rFonts w:ascii="Arial" w:cs="Arial" w:hAnsi="Arial"/>
          <w:sz w:val="22"/>
          <w:szCs w:val="22"/>
          <w:rtl/>
        </w:rPr>
        <w:t xml:space="preserve">فك الحزمة في </w:t>
      </w:r>
      <w:r>
        <w:rPr>
          <w:rFonts w:ascii="Arial" w:cs="Arial" w:hAnsi="Arial"/>
          <w:b/>
          <w:bCs/>
          <w:sz w:val="22"/>
          <w:szCs w:val="22"/>
          <w:rtl/>
        </w:rPr>
        <w:t xml:space="preserve">C:\LSM\display</w:t>
      </w:r>
      <w:r>
        <w:rPr>
          <w:rFonts w:ascii="Arial" w:cs="Arial" w:hAnsi="Arial"/>
          <w:sz w:val="22"/>
          <w:szCs w:val="22"/>
          <w:rtl/>
        </w:rPr>
        <w:t xml:space="preserve"> (البند 6).</w:t>
      </w:r>
    </w:p>
    <w:p>
      <w:pPr>
        <w:pStyle w:val="ListParagraph"/>
        <w:numPr>
          <w:ilvl w:val="0"/>
          <w:numId w:val="4"/>
        </w:numPr>
        <w:bidi/>
        <w:spacing w:after="100" w:line="300"/>
      </w:pPr>
      <w:r>
        <w:rPr>
          <w:rFonts w:ascii="Arial" w:cs="Arial" w:hAnsi="Arial"/>
          <w:sz w:val="22"/>
          <w:szCs w:val="22"/>
          <w:rtl/>
        </w:rPr>
        <w:t xml:space="preserve">تشغيل </w:t>
      </w:r>
      <w:r>
        <w:rPr>
          <w:rFonts w:ascii="Arial" w:cs="Arial" w:hAnsi="Arial"/>
          <w:b/>
          <w:bCs/>
          <w:sz w:val="22"/>
          <w:szCs w:val="22"/>
          <w:rtl/>
        </w:rPr>
        <w:t xml:space="preserve">lsm-market-display.exe</w:t>
      </w:r>
      <w:r>
        <w:rPr>
          <w:rFonts w:ascii="Arial" w:cs="Arial" w:hAnsi="Arial"/>
          <w:sz w:val="22"/>
          <w:szCs w:val="22"/>
          <w:rtl/>
        </w:rPr>
        <w:t xml:space="preserve"> للتجربة — يجب أن تظهر الشاشة بأرقام آخر جلسة.</w:t>
      </w:r>
    </w:p>
    <w:p>
      <w:pPr>
        <w:pStyle w:val="ListParagraph"/>
        <w:numPr>
          <w:ilvl w:val="0"/>
          <w:numId w:val="4"/>
        </w:numPr>
        <w:bidi/>
        <w:spacing w:after="100" w:line="300"/>
      </w:pPr>
      <w:r>
        <w:rPr>
          <w:rFonts w:ascii="Arial" w:cs="Arial" w:hAnsi="Arial"/>
          <w:sz w:val="22"/>
          <w:szCs w:val="22"/>
          <w:rtl/>
        </w:rPr>
        <w:t xml:space="preserve">إن ظهرت رسالة «VCRUNTIME140.dll غير موجود»: تثبيت Visual C++ Redistributable x64 من موقع مايكروسوفت.</w:t>
      </w:r>
    </w:p>
    <w:p>
      <w:pPr>
        <w:pStyle w:val="ListParagraph"/>
        <w:numPr>
          <w:ilvl w:val="0"/>
          <w:numId w:val="4"/>
        </w:numPr>
        <w:bidi/>
        <w:spacing w:after="100" w:line="300"/>
      </w:pPr>
      <w:r>
        <w:rPr>
          <w:rFonts w:ascii="Arial" w:cs="Arial" w:hAnsi="Arial"/>
          <w:sz w:val="22"/>
          <w:szCs w:val="22"/>
          <w:rtl/>
        </w:rPr>
        <w:t xml:space="preserve">ضبط حجم العرض: فتح </w:t>
      </w:r>
      <w:r>
        <w:rPr>
          <w:rFonts w:ascii="Arial" w:cs="Arial" w:hAnsi="Arial"/>
          <w:b/>
          <w:bCs/>
          <w:sz w:val="22"/>
          <w:szCs w:val="22"/>
          <w:rtl/>
        </w:rPr>
        <w:t xml:space="preserve">start-display.bat</w:t>
      </w:r>
      <w:r>
        <w:rPr>
          <w:rFonts w:ascii="Arial" w:cs="Arial" w:hAnsi="Arial"/>
          <w:sz w:val="22"/>
          <w:szCs w:val="22"/>
          <w:rtl/>
        </w:rPr>
        <w:t xml:space="preserve"> بالمفكرة وتعديل السطر </w:t>
      </w:r>
      <w:r>
        <w:rPr>
          <w:rFonts w:ascii="Arial" w:cs="Arial" w:hAnsi="Arial"/>
          <w:b/>
          <w:bCs/>
          <w:sz w:val="22"/>
          <w:szCs w:val="22"/>
          <w:rtl/>
        </w:rPr>
        <w:t xml:space="preserve">set SCALE=1.25</w:t>
      </w:r>
      <w:r>
        <w:rPr>
          <w:rFonts w:ascii="Arial" w:cs="Arial" w:hAnsi="Arial"/>
          <w:sz w:val="22"/>
          <w:szCs w:val="22"/>
          <w:rtl/>
        </w:rPr>
        <w:t xml:space="preserve"> — القيمة 1 لشاشة 1080p صغيرة، و1.25 إلى 1.5 لتلفاز 1080p كبير، و2 لشاشة 4K.</w:t>
      </w:r>
    </w:p>
    <w:p>
      <w:pPr>
        <w:pStyle w:val="Heading2"/>
        <w:keepNext/>
        <w:bidi/>
        <w:spacing w:after="120" w:before="240"/>
      </w:pPr>
      <w:r>
        <w:rPr>
          <w:rFonts w:ascii="Arial" w:cs="Arial" w:hAnsi="Arial"/>
          <w:b/>
          <w:bCs/>
          <w:color w:val="1E2761"/>
          <w:sz w:val="26"/>
          <w:szCs w:val="26"/>
          <w:rtl/>
        </w:rPr>
        <w:t xml:space="preserve">ب) منظومة التغذية</w:t>
      </w:r>
    </w:p>
    <w:p>
      <w:pPr>
        <w:pStyle w:val="ListParagraph"/>
        <w:numPr>
          <w:ilvl w:val="0"/>
          <w:numId w:val="5"/>
        </w:numPr>
        <w:bidi/>
        <w:spacing w:after="100" w:line="300"/>
      </w:pPr>
      <w:r>
        <w:rPr>
          <w:rFonts w:ascii="Arial" w:cs="Arial" w:hAnsi="Arial"/>
          <w:sz w:val="22"/>
          <w:szCs w:val="22"/>
          <w:rtl/>
        </w:rPr>
        <w:t xml:space="preserve">تثبيت </w:t>
      </w:r>
      <w:r>
        <w:rPr>
          <w:rFonts w:ascii="Arial" w:cs="Arial" w:hAnsi="Arial"/>
          <w:b/>
          <w:bCs/>
          <w:sz w:val="22"/>
          <w:szCs w:val="22"/>
          <w:rtl/>
        </w:rPr>
        <w:t xml:space="preserve">Python</w:t>
      </w:r>
      <w:r>
        <w:rPr>
          <w:rFonts w:ascii="Arial" w:cs="Arial" w:hAnsi="Arial"/>
          <w:sz w:val="22"/>
          <w:szCs w:val="22"/>
          <w:rtl/>
        </w:rPr>
        <w:t xml:space="preserve"> من python.org — </w:t>
      </w:r>
      <w:r>
        <w:rPr>
          <w:rFonts w:ascii="Arial" w:cs="Arial" w:hAnsi="Arial"/>
          <w:b/>
          <w:bCs/>
          <w:sz w:val="22"/>
          <w:szCs w:val="22"/>
          <w:rtl/>
        </w:rPr>
        <w:t xml:space="preserve">مهم:</w:t>
      </w:r>
      <w:r>
        <w:rPr>
          <w:rFonts w:ascii="Arial" w:cs="Arial" w:hAnsi="Arial"/>
          <w:sz w:val="22"/>
          <w:szCs w:val="22"/>
          <w:rtl/>
        </w:rPr>
        <w:t xml:space="preserve"> تفعيل خيار ☑ Add python.exe to PATH في أول شاشة التثبيت.</w:t>
      </w:r>
    </w:p>
    <w:p>
      <w:pPr>
        <w:pStyle w:val="ListParagraph"/>
        <w:numPr>
          <w:ilvl w:val="0"/>
          <w:numId w:val="5"/>
        </w:numPr>
        <w:bidi/>
        <w:spacing w:after="100" w:line="300"/>
      </w:pPr>
      <w:r>
        <w:rPr>
          <w:rFonts w:ascii="Arial" w:cs="Arial" w:hAnsi="Arial"/>
          <w:sz w:val="22"/>
          <w:szCs w:val="22"/>
          <w:rtl/>
        </w:rPr>
        <w:t xml:space="preserve">النقر المزدوج على </w:t>
      </w:r>
      <w:r>
        <w:rPr>
          <w:rFonts w:ascii="Arial" w:cs="Arial" w:hAnsi="Arial"/>
          <w:b/>
          <w:bCs/>
          <w:sz w:val="22"/>
          <w:szCs w:val="22"/>
          <w:rtl/>
        </w:rPr>
        <w:t xml:space="preserve">install-feeder.bat</w:t>
      </w:r>
      <w:r>
        <w:rPr>
          <w:rFonts w:ascii="Arial" w:cs="Arial" w:hAnsi="Arial"/>
          <w:sz w:val="22"/>
          <w:szCs w:val="22"/>
          <w:rtl/>
        </w:rPr>
        <w:t xml:space="preserve"> (مرة واحدة) لتثبيت pdfplumber و openpyxl.</w:t>
      </w:r>
    </w:p>
    <w:p>
      <w:pPr>
        <w:pStyle w:val="ListParagraph"/>
        <w:numPr>
          <w:ilvl w:val="0"/>
          <w:numId w:val="5"/>
        </w:numPr>
        <w:bidi/>
        <w:spacing w:after="100" w:line="300"/>
      </w:pPr>
      <w:r>
        <w:rPr>
          <w:rFonts w:ascii="Arial" w:cs="Arial" w:hAnsi="Arial"/>
          <w:sz w:val="22"/>
          <w:szCs w:val="22"/>
          <w:rtl/>
        </w:rPr>
        <w:t xml:space="preserve">إنشاء مجلد التقارير </w:t>
      </w:r>
      <w:r>
        <w:rPr>
          <w:rFonts w:ascii="Arial" w:cs="Arial" w:hAnsi="Arial"/>
          <w:b/>
          <w:bCs/>
          <w:sz w:val="22"/>
          <w:szCs w:val="22"/>
          <w:rtl/>
        </w:rPr>
        <w:t xml:space="preserve">C:\LSM\reports</w:t>
      </w:r>
      <w:r>
        <w:rPr>
          <w:rFonts w:ascii="Arial" w:cs="Arial" w:hAnsi="Arial"/>
          <w:sz w:val="22"/>
          <w:szCs w:val="22"/>
          <w:rtl/>
        </w:rPr>
        <w:t xml:space="preserve"> ومشاركته على الشبكة (زر أيمن ← Properties ← Sharing) مع صلاحية </w:t>
      </w:r>
      <w:r>
        <w:rPr>
          <w:rFonts w:ascii="Arial" w:cs="Arial" w:hAnsi="Arial"/>
          <w:b/>
          <w:bCs/>
          <w:sz w:val="22"/>
          <w:szCs w:val="22"/>
          <w:rtl/>
        </w:rPr>
        <w:t xml:space="preserve">كتابة لموظف التقارير فقط</w:t>
      </w:r>
      <w:r>
        <w:rPr>
          <w:rFonts w:ascii="Arial" w:cs="Arial" w:hAnsi="Arial"/>
          <w:sz w:val="22"/>
          <w:szCs w:val="22"/>
          <w:rtl/>
        </w:rPr>
        <w:t xml:space="preserve">.</w:t>
      </w:r>
    </w:p>
    <w:p>
      <w:pPr>
        <w:pStyle w:val="ListParagraph"/>
        <w:numPr>
          <w:ilvl w:val="0"/>
          <w:numId w:val="5"/>
        </w:numPr>
        <w:bidi/>
        <w:spacing w:after="100" w:line="300"/>
      </w:pPr>
      <w:r>
        <w:rPr>
          <w:rFonts w:ascii="Arial" w:cs="Arial" w:hAnsi="Arial"/>
          <w:sz w:val="22"/>
          <w:szCs w:val="22"/>
          <w:rtl/>
        </w:rPr>
        <w:t xml:space="preserve">إذا كان المجلد في مكان آخر: تعديل السطر </w:t>
      </w:r>
      <w:r>
        <w:rPr>
          <w:rFonts w:ascii="Arial" w:cs="Arial" w:hAnsi="Arial"/>
          <w:b/>
          <w:bCs/>
          <w:sz w:val="22"/>
          <w:szCs w:val="22"/>
          <w:rtl/>
        </w:rPr>
        <w:t xml:space="preserve">set REPORTS=C:\LSM\reports</w:t>
      </w:r>
      <w:r>
        <w:rPr>
          <w:rFonts w:ascii="Arial" w:cs="Arial" w:hAnsi="Arial"/>
          <w:sz w:val="22"/>
          <w:szCs w:val="22"/>
          <w:rtl/>
        </w:rPr>
        <w:t xml:space="preserve"> في start-feeder.bat.</w:t>
      </w:r>
    </w:p>
    <w:p>
      <w:pPr>
        <w:pStyle w:val="ListParagraph"/>
        <w:numPr>
          <w:ilvl w:val="0"/>
          <w:numId w:val="5"/>
        </w:numPr>
        <w:bidi/>
        <w:spacing w:after="100" w:line="300"/>
      </w:pPr>
      <w:r>
        <w:rPr>
          <w:rFonts w:ascii="Arial" w:cs="Arial" w:hAnsi="Arial"/>
          <w:sz w:val="22"/>
          <w:szCs w:val="22"/>
          <w:rtl/>
        </w:rPr>
        <w:t xml:space="preserve">التجربة: سحب ملف تقرير وإفلاته فوق </w:t>
      </w:r>
      <w:r>
        <w:rPr>
          <w:rFonts w:ascii="Arial" w:cs="Arial" w:hAnsi="Arial"/>
          <w:b/>
          <w:bCs/>
          <w:sz w:val="22"/>
          <w:szCs w:val="22"/>
          <w:rtl/>
        </w:rPr>
        <w:t xml:space="preserve">convert-report.bat</w:t>
      </w:r>
      <w:r>
        <w:rPr>
          <w:rFonts w:ascii="Arial" w:cs="Arial" w:hAnsi="Arial"/>
          <w:sz w:val="22"/>
          <w:szCs w:val="22"/>
          <w:rtl/>
        </w:rPr>
        <w:t xml:space="preserve"> — يجب أن تظهر رسالة «المطابقة مع إجماليات التقرير دون فروق ✔» وتتحدث الشاشة خلال 5 ثوانٍ.</w:t>
      </w:r>
    </w:p>
    <w:p>
      <w:pPr>
        <w:pStyle w:val="Heading2"/>
        <w:keepNext/>
        <w:bidi/>
        <w:spacing w:after="120" w:before="240"/>
      </w:pPr>
      <w:r>
        <w:rPr>
          <w:rFonts w:ascii="Arial" w:cs="Arial" w:hAnsi="Arial"/>
          <w:b/>
          <w:bCs/>
          <w:color w:val="1E2761"/>
          <w:sz w:val="26"/>
          <w:szCs w:val="26"/>
          <w:rtl/>
        </w:rPr>
        <w:t xml:space="preserve">ج) التشغيل التلقائي عند إقلاع الجهاز</w:t>
      </w:r>
    </w:p>
    <w:p>
      <w:pPr>
        <w:pStyle w:val="ListParagraph"/>
        <w:numPr>
          <w:ilvl w:val="0"/>
          <w:numId w:val="6"/>
        </w:numPr>
        <w:bidi/>
        <w:spacing w:after="100" w:line="300"/>
      </w:pPr>
      <w:r>
        <w:rPr>
          <w:rFonts w:ascii="Arial" w:cs="Arial" w:hAnsi="Arial"/>
          <w:sz w:val="22"/>
          <w:szCs w:val="22"/>
          <w:rtl/>
        </w:rPr>
        <w:t xml:space="preserve">الضغط على </w:t>
      </w:r>
      <w:r>
        <w:rPr>
          <w:rFonts w:ascii="Arial" w:cs="Arial" w:hAnsi="Arial"/>
          <w:b/>
          <w:bCs/>
          <w:sz w:val="22"/>
          <w:szCs w:val="22"/>
          <w:rtl/>
        </w:rPr>
        <w:t xml:space="preserve">Win + R</w:t>
      </w:r>
      <w:r>
        <w:rPr>
          <w:rFonts w:ascii="Arial" w:cs="Arial" w:hAnsi="Arial"/>
          <w:sz w:val="22"/>
          <w:szCs w:val="22"/>
          <w:rtl/>
        </w:rPr>
        <w:t xml:space="preserve"> وكتابة </w:t>
      </w:r>
      <w:r>
        <w:rPr>
          <w:rFonts w:ascii="Arial" w:cs="Arial" w:hAnsi="Arial"/>
          <w:b/>
          <w:bCs/>
          <w:sz w:val="22"/>
          <w:szCs w:val="22"/>
          <w:rtl/>
        </w:rPr>
        <w:t xml:space="preserve">shell:startup</w:t>
      </w:r>
      <w:r>
        <w:rPr>
          <w:rFonts w:ascii="Arial" w:cs="Arial" w:hAnsi="Arial"/>
          <w:sz w:val="22"/>
          <w:szCs w:val="22"/>
          <w:rtl/>
        </w:rPr>
        <w:t xml:space="preserve"> ثم Enter.</w:t>
      </w:r>
    </w:p>
    <w:p>
      <w:pPr>
        <w:pStyle w:val="ListParagraph"/>
        <w:numPr>
          <w:ilvl w:val="0"/>
          <w:numId w:val="6"/>
        </w:numPr>
        <w:bidi/>
        <w:spacing w:after="100" w:line="300"/>
      </w:pPr>
      <w:r>
        <w:rPr>
          <w:rFonts w:ascii="Arial" w:cs="Arial" w:hAnsi="Arial"/>
          <w:sz w:val="22"/>
          <w:szCs w:val="22"/>
          <w:rtl/>
        </w:rPr>
        <w:t xml:space="preserve">نسخ </w:t>
      </w:r>
      <w:r>
        <w:rPr>
          <w:rFonts w:ascii="Arial" w:cs="Arial" w:hAnsi="Arial"/>
          <w:b/>
          <w:bCs/>
          <w:sz w:val="22"/>
          <w:szCs w:val="22"/>
          <w:rtl/>
        </w:rPr>
        <w:t xml:space="preserve">اختصارين</w:t>
      </w:r>
      <w:r>
        <w:rPr>
          <w:rFonts w:ascii="Arial" w:cs="Arial" w:hAnsi="Arial"/>
          <w:sz w:val="22"/>
          <w:szCs w:val="22"/>
          <w:rtl/>
        </w:rPr>
        <w:t xml:space="preserve"> (Shortcut وليس الملف نفسه) إلى المجلد: لـ start-display.bat ولـ start-feeder.bat.</w:t>
      </w:r>
    </w:p>
    <w:p>
      <w:pPr>
        <w:pStyle w:val="ListParagraph"/>
        <w:numPr>
          <w:ilvl w:val="0"/>
          <w:numId w:val="6"/>
        </w:numPr>
        <w:bidi/>
        <w:spacing w:after="100" w:line="300"/>
      </w:pPr>
      <w:r>
        <w:rPr>
          <w:rFonts w:ascii="Arial" w:cs="Arial" w:hAnsi="Arial"/>
          <w:sz w:val="22"/>
          <w:szCs w:val="22"/>
          <w:rtl/>
        </w:rPr>
        <w:t xml:space="preserve">إعادة تشغيل الجهاز والتحقق أن الشاشة والتغذية تبدآن وحدهما.</w:t>
      </w:r>
    </w:p>
    <w:p>
      <w:pPr>
        <w:pStyle w:val="Heading2"/>
        <w:keepNext/>
        <w:bidi/>
        <w:spacing w:after="120" w:before="240"/>
      </w:pPr>
      <w:r>
        <w:rPr>
          <w:rFonts w:ascii="Arial" w:cs="Arial" w:hAnsi="Arial"/>
          <w:b/>
          <w:bCs/>
          <w:color w:val="1E2761"/>
          <w:sz w:val="26"/>
          <w:szCs w:val="26"/>
          <w:rtl/>
        </w:rPr>
        <w:t xml:space="preserve">د) إعدادات ويندوز لجهاز عرض دائم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الإعداد</w:t>
            </w:r>
          </w:p>
        </w:tc>
        <w:tc>
          <w:tcPr>
            <w:tcW w:type="dxa" w:w="38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المسار في ويندوز</w:t>
            </w:r>
          </w:p>
        </w:tc>
        <w:tc>
          <w:tcPr>
            <w:tcW w:type="dxa" w:w="28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القيمة</w:t>
            </w:r>
          </w:p>
        </w:tc>
      </w:tr>
      <w:tr>
        <w:trPr>
          <w:cantSplit/>
        </w:trPr>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إطفاء الشاشة والسكون</w:t>
            </w:r>
          </w:p>
        </w:tc>
        <w:tc>
          <w:tcPr>
            <w:tcW w:type="dxa" w:w="3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Settings ← System ← Power</w:t>
            </w:r>
          </w:p>
        </w:tc>
        <w:tc>
          <w:tcPr>
            <w:tcW w:type="dxa" w:w="28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Never لكليهما</w:t>
            </w:r>
          </w:p>
        </w:tc>
      </w:tr>
      <w:tr>
        <w:trPr>
          <w:cantSplit/>
        </w:trPr>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ساعات النشاط للتحديثات</w:t>
            </w:r>
          </w:p>
        </w:tc>
        <w:tc>
          <w:tcPr>
            <w:tcW w:type="dxa" w:w="3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Windows Update ← Advanced options ← Active hours</w:t>
            </w:r>
          </w:p>
        </w:tc>
        <w:tc>
          <w:tcPr>
            <w:tcW w:type="dxa" w:w="28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من 8:00 إلى 16:00 (منع إعادة التشغيل أثناء الجلسة)</w:t>
            </w:r>
          </w:p>
        </w:tc>
      </w:tr>
      <w:tr>
        <w:trPr>
          <w:cantSplit/>
        </w:trPr>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حساب المستخدم</w:t>
            </w:r>
          </w:p>
        </w:tc>
        <w:tc>
          <w:tcPr>
            <w:tcW w:type="dxa" w:w="3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Settings ← Accounts</w:t>
            </w:r>
          </w:p>
        </w:tc>
        <w:tc>
          <w:tcPr>
            <w:tcW w:type="dxa" w:w="28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حساب محلي مخصص للشاشة بلا صلاحيات إدارية، مع دخول تلقائي</w:t>
            </w:r>
          </w:p>
        </w:tc>
      </w:tr>
      <w:tr>
        <w:trPr>
          <w:cantSplit/>
        </w:trPr>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الإشعارات وشاشة التوقف</w:t>
            </w:r>
          </w:p>
        </w:tc>
        <w:tc>
          <w:tcPr>
            <w:tcW w:type="dxa" w:w="3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Settings ← System ← Notifications</w:t>
            </w:r>
          </w:p>
        </w:tc>
        <w:tc>
          <w:tcPr>
            <w:tcW w:type="dxa" w:w="28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إيقاف</w:t>
            </w:r>
          </w:p>
        </w:tc>
      </w:tr>
    </w:tbl>
    <w:p>
      <w:pPr>
        <w:pStyle w:val="Heading1"/>
        <w:keepNext/>
        <w:pBdr>
          <w:bottom w:val="single" w:color="C9A961" w:sz="8" w:space="4"/>
        </w:pBdr>
        <w:bidi/>
        <w:spacing w:after="160" w:before="360"/>
      </w:pPr>
      <w:r>
        <w:rPr>
          <w:rFonts w:ascii="Arial" w:cs="Arial" w:hAnsi="Arial"/>
          <w:b/>
          <w:bCs/>
          <w:color w:val="1E2761"/>
          <w:sz w:val="32"/>
          <w:szCs w:val="32"/>
          <w:rtl/>
        </w:rPr>
        <w:t xml:space="preserve">8. الإجراء اليومي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26"/>
      </w:tblGrid>
      <w:tr>
        <w:trPr>
          <w:tblHeader/>
        </w:trPr>
        <w:tc>
          <w:tcPr>
            <w:tcW w:type="dxa" w:w="19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الوقت</w:t>
            </w:r>
          </w:p>
        </w:tc>
        <w:tc>
          <w:tcPr>
            <w:tcW w:type="dxa" w:w="17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المسؤول</w:t>
            </w:r>
          </w:p>
        </w:tc>
        <w:tc>
          <w:tcPr>
            <w:tcW w:type="dxa" w:w="54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الإجراء</w:t>
            </w:r>
          </w:p>
        </w:tc>
      </w:tr>
      <w:tr>
        <w:trPr>
          <w:cantSplit/>
        </w:trPr>
        <w:tc>
          <w:tcPr>
            <w:tcW w:type="dxa" w:w="1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قبل الجلسة</w:t>
            </w:r>
          </w:p>
        </w:tc>
        <w:tc>
          <w:tcPr>
            <w:tcW w:type="dxa" w:w="1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لا أحد</w:t>
            </w:r>
          </w:p>
        </w:tc>
        <w:tc>
          <w:tcPr>
            <w:tcW w:type="dxa" w:w="54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الشاشة تعمل وحدها وتعرض «السوق مغلق» مع أرقام الجلسة السابقة وعبارة «الأرقام لجلسة سابقة»</w:t>
            </w:r>
          </w:p>
        </w:tc>
      </w:tr>
      <w:tr>
        <w:trPr>
          <w:cantSplit/>
        </w:trPr>
        <w:tc>
          <w:tcPr>
            <w:tcW w:type="dxa" w:w="1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أثناء الجلسة (اختياري)</w:t>
            </w:r>
          </w:p>
        </w:tc>
        <w:tc>
          <w:tcPr>
            <w:tcW w:type="dxa" w:w="1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موظف التقارير</w:t>
            </w:r>
          </w:p>
        </w:tc>
        <w:tc>
          <w:tcPr>
            <w:tcW w:type="dxa" w:w="54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كلما حُدّث التقرير يُحفظ في مجلد التقارير ← تتحدث الشاشة ويُضاف المؤشر لمنحنى الجلسة</w:t>
            </w:r>
          </w:p>
        </w:tc>
      </w:tr>
      <w:tr>
        <w:trPr>
          <w:cantSplit/>
        </w:trPr>
        <w:tc>
          <w:tcPr>
            <w:tcW w:type="dxa" w:w="1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بعد الإقفال</w:t>
            </w:r>
          </w:p>
        </w:tc>
        <w:tc>
          <w:tcPr>
            <w:tcW w:type="dxa" w:w="1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موظف التقارير</w:t>
            </w:r>
          </w:p>
        </w:tc>
        <w:tc>
          <w:tcPr>
            <w:tcW w:type="dxa" w:w="54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bCs/>
                <w:sz w:val="20"/>
                <w:szCs w:val="20"/>
                <w:rtl/>
              </w:rPr>
              <w:t xml:space="preserve">حفظ التقرير النهائي في مجلد التقارير</w:t>
            </w:r>
            <w:r>
              <w:rPr>
                <w:rFonts w:ascii="Arial" w:cs="Arial" w:hAnsi="Arial"/>
                <w:b w:val="false"/>
                <w:sz w:val="20"/>
                <w:szCs w:val="20"/>
                <w:rtl/>
              </w:rPr>
              <w:t xml:space="preserve"> (ملف Excel الأصلي مفضّل على PDF) — الإجراء الوحيد المطلوب يوميًا</w:t>
            </w:r>
          </w:p>
        </w:tc>
      </w:tr>
      <w:tr>
        <w:trPr>
          <w:cantSplit/>
        </w:trPr>
        <w:tc>
          <w:tcPr>
            <w:tcW w:type="dxa" w:w="1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بعد الحفظ بدقيقة</w:t>
            </w:r>
          </w:p>
        </w:tc>
        <w:tc>
          <w:tcPr>
            <w:tcW w:type="dxa" w:w="1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موظف التقارير</w:t>
            </w:r>
          </w:p>
        </w:tc>
        <w:tc>
          <w:tcPr>
            <w:tcW w:type="dxa" w:w="54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النظر إلى نافذة التغذية: «دون فروق» ✔ أو قراءة التحذيرات ومراجعتها</w:t>
            </w:r>
          </w:p>
        </w:tc>
      </w:tr>
    </w:tbl>
    <w:p>
      <w:pPr>
        <w:spacing w:after="120"/>
      </w:pPr>
    </w:p>
    <w:p>
      <w:pPr>
        <w:pBdr>
          <w:right w:val="single" w:color="C9A961" w:sz="24" w:space="8"/>
        </w:pBdr>
        <w:shd w:fill="FBF6EA" w:color="auto" w:val="clear"/>
        <w:bidi/>
        <w:spacing w:after="160" w:before="80" w:line="300"/>
        <w:ind w:left="200" w:right="200"/>
      </w:pPr>
      <w:r>
        <w:rPr>
          <w:rFonts w:ascii="Arial" w:cs="Arial" w:hAnsi="Arial"/>
          <w:b/>
          <w:bCs/>
          <w:sz w:val="21"/>
          <w:szCs w:val="21"/>
          <w:rtl/>
        </w:rPr>
        <w:t xml:space="preserve">لا داعي لإعادة تسمية الملف</w:t>
      </w:r>
      <w:r>
        <w:rPr>
          <w:rFonts w:ascii="Arial" w:cs="Arial" w:hAnsi="Arial"/>
          <w:sz w:val="21"/>
          <w:szCs w:val="21"/>
          <w:rtl/>
        </w:rPr>
        <w:t xml:space="preserve">: تأخذ التغذية أحدث ملف في المجلد، وتقرأ تاريخ الجلسة من داخل التقرير نفسه.</w:t>
      </w:r>
    </w:p>
    <w:p>
      <w:pPr>
        <w:pStyle w:val="Heading1"/>
        <w:keepNext/>
        <w:pBdr>
          <w:bottom w:val="single" w:color="C9A961" w:sz="8" w:space="4"/>
        </w:pBdr>
        <w:bidi/>
        <w:spacing w:after="160" w:before="360"/>
      </w:pPr>
      <w:r>
        <w:rPr>
          <w:rFonts w:ascii="Arial" w:cs="Arial" w:hAnsi="Arial"/>
          <w:b/>
          <w:bCs/>
          <w:color w:val="1E2761"/>
          <w:sz w:val="32"/>
          <w:szCs w:val="32"/>
          <w:rtl/>
        </w:rPr>
        <w:t xml:space="preserve">9. ما يُستخرج من التقرير والمطابقة الآلية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من التقرير</w:t>
            </w:r>
          </w:p>
        </w:tc>
        <w:tc>
          <w:tcPr>
            <w:tcW w:type="dxa" w:w="50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إلى الشاشة</w:t>
            </w:r>
          </w:p>
        </w:tc>
      </w:tr>
      <w:tr>
        <w:trPr>
          <w:cantSplit/>
        </w:trPr>
        <w:tc>
          <w:tcPr>
            <w:tcW w:type="dxa" w:w="4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سعر الفتح، أعلى سعر، أقل سعر، سعر الإغلاق، التغير %</w:t>
            </w:r>
          </w:p>
        </w:tc>
        <w:tc>
          <w:tcPr>
            <w:tcW w:type="dxa" w:w="5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جدول الأسعار؛ ويُشتق الإغلاق السابق من التغير % (ويطابق سعر الفتح)</w:t>
            </w:r>
          </w:p>
        </w:tc>
      </w:tr>
      <w:tr>
        <w:trPr>
          <w:cantSplit/>
        </w:trPr>
        <w:tc>
          <w:tcPr>
            <w:tcW w:type="dxa" w:w="4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كمية التداول، قيمة التداول، عدد العمليات</w:t>
            </w:r>
          </w:p>
        </w:tc>
        <w:tc>
          <w:tcPr>
            <w:tcW w:type="dxa" w:w="5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الإحصاءات، الأكثر نشاطًا، خريطة السوق</w:t>
            </w:r>
          </w:p>
        </w:tc>
      </w:tr>
      <w:tr>
        <w:trPr>
          <w:cantSplit/>
        </w:trPr>
        <w:tc>
          <w:tcPr>
            <w:tcW w:type="dxa" w:w="4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أفضل طلب، أفضل عرض</w:t>
            </w:r>
          </w:p>
        </w:tc>
        <w:tc>
          <w:tcPr>
            <w:tcW w:type="dxa" w:w="5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عمودان في جدول الأسعار</w:t>
            </w:r>
          </w:p>
        </w:tc>
      </w:tr>
      <w:tr>
        <w:trPr>
          <w:cantSplit/>
        </w:trPr>
        <w:tc>
          <w:tcPr>
            <w:tcW w:type="dxa" w:w="4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القيمة السوقية</w:t>
            </w:r>
          </w:p>
        </w:tc>
        <w:tc>
          <w:tcPr>
            <w:tcW w:type="dxa" w:w="5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bCs/>
                <w:sz w:val="20"/>
                <w:szCs w:val="20"/>
                <w:rtl/>
              </w:rPr>
              <w:t xml:space="preserve">عدد الأسهم المصدرة = القيمة السوقية ÷ سعر الإغلاق</w:t>
            </w:r>
            <w:r>
              <w:rPr>
                <w:rFonts w:ascii="Arial" w:cs="Arial" w:hAnsi="Arial"/>
                <w:b w:val="false"/>
                <w:sz w:val="20"/>
                <w:szCs w:val="20"/>
                <w:rtl/>
              </w:rPr>
              <w:t xml:space="preserve"> — يُقارن بالملف المرجعي ويُنبَّه عند تغيّره (كزيادة رأس المال)</w:t>
            </w:r>
          </w:p>
        </w:tc>
      </w:tr>
      <w:tr>
        <w:trPr>
          <w:cantSplit/>
        </w:trPr>
        <w:tc>
          <w:tcPr>
            <w:tcW w:type="dxa" w:w="4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تاريخ التقرير</w:t>
            </w:r>
          </w:p>
        </w:tc>
        <w:tc>
          <w:tcPr>
            <w:tcW w:type="dxa" w:w="5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تاريخ الجلسة</w:t>
            </w:r>
          </w:p>
        </w:tc>
      </w:tr>
      <w:tr>
        <w:trPr>
          <w:cantSplit/>
        </w:trPr>
        <w:tc>
          <w:tcPr>
            <w:tcW w:type="dxa" w:w="4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كتلة المؤشر (الفتح، الإغلاق، الأعلى، الأدنى)</w:t>
            </w:r>
          </w:p>
        </w:tc>
        <w:tc>
          <w:tcPr>
            <w:tcW w:type="dxa" w:w="5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المؤشر العام ومنحناه</w:t>
            </w:r>
          </w:p>
        </w:tc>
      </w:tr>
    </w:tbl>
    <w:p>
      <w:pPr>
        <w:pStyle w:val="Heading2"/>
        <w:keepNext/>
        <w:bidi/>
        <w:spacing w:after="120" w:before="240"/>
      </w:pPr>
      <w:r>
        <w:rPr>
          <w:rFonts w:ascii="Arial" w:cs="Arial" w:hAnsi="Arial"/>
          <w:b/>
          <w:bCs/>
          <w:color w:val="1E2761"/>
          <w:sz w:val="26"/>
          <w:szCs w:val="26"/>
          <w:rtl/>
        </w:rPr>
        <w:t xml:space="preserve">المطابقة الآلية</w:t>
      </w:r>
    </w:p>
    <w:p>
      <w:pPr>
        <w:bidi/>
        <w:spacing w:after="120" w:before="0" w:line="300"/>
      </w:pPr>
      <w:r>
        <w:rPr>
          <w:rFonts w:ascii="Arial" w:cs="Arial" w:hAnsi="Arial"/>
          <w:sz w:val="22"/>
          <w:szCs w:val="22"/>
          <w:rtl/>
        </w:rPr>
        <w:t xml:space="preserve">بعد كل تحويل تقارن المنظومة ما ستعرضه الشاشة مع إجماليات التقرير نفسه، وتطبع «المطابقة دون فروق» أو تسرد كل فرق:</w:t>
      </w:r>
    </w:p>
    <w:p>
      <w:pPr>
        <w:pStyle w:val="ListParagraph"/>
        <w:numPr>
          <w:ilvl w:val="0"/>
          <w:numId w:val="2"/>
        </w:numPr>
        <w:bidi/>
        <w:spacing w:after="80" w:line="300"/>
      </w:pPr>
      <w:r>
        <w:rPr>
          <w:rFonts w:ascii="Arial" w:cs="Arial" w:hAnsi="Arial"/>
          <w:sz w:val="22"/>
          <w:szCs w:val="22"/>
          <w:rtl/>
        </w:rPr>
        <w:t xml:space="preserve">قيمة التداول وكمية التداول وعدد العمليات لإجمالي السوق.</w:t>
      </w:r>
    </w:p>
    <w:p>
      <w:pPr>
        <w:pStyle w:val="ListParagraph"/>
        <w:numPr>
          <w:ilvl w:val="0"/>
          <w:numId w:val="2"/>
        </w:numPr>
        <w:bidi/>
        <w:spacing w:after="80" w:line="300"/>
      </w:pPr>
      <w:r>
        <w:rPr>
          <w:rFonts w:ascii="Arial" w:cs="Arial" w:hAnsi="Arial"/>
          <w:sz w:val="22"/>
          <w:szCs w:val="22"/>
          <w:rtl/>
        </w:rPr>
        <w:t xml:space="preserve">القيمة السوقية الإجمالية للسوق.</w:t>
      </w:r>
    </w:p>
    <w:p>
      <w:pPr>
        <w:pStyle w:val="ListParagraph"/>
        <w:numPr>
          <w:ilvl w:val="0"/>
          <w:numId w:val="2"/>
        </w:numPr>
        <w:bidi/>
        <w:spacing w:after="80" w:line="300"/>
      </w:pPr>
      <w:r>
        <w:rPr>
          <w:rFonts w:ascii="Arial" w:cs="Arial" w:hAnsi="Arial"/>
          <w:sz w:val="22"/>
          <w:szCs w:val="22"/>
          <w:rtl/>
        </w:rPr>
        <w:t xml:space="preserve">عدد الشركات المتداولة والمرتفعة والمنخفضة والثابتة.</w:t>
      </w:r>
    </w:p>
    <w:p>
      <w:pPr>
        <w:pStyle w:val="ListParagraph"/>
        <w:numPr>
          <w:ilvl w:val="0"/>
          <w:numId w:val="2"/>
        </w:numPr>
        <w:bidi/>
        <w:spacing w:after="80" w:line="300"/>
      </w:pPr>
      <w:r>
        <w:rPr>
          <w:rFonts w:ascii="Arial" w:cs="Arial" w:hAnsi="Arial"/>
          <w:sz w:val="22"/>
          <w:szCs w:val="22"/>
          <w:rtl/>
        </w:rPr>
        <w:t xml:space="preserve">نسبة التغير لكل شركة.</w:t>
      </w:r>
    </w:p>
    <w:p>
      <w:pPr>
        <w:pStyle w:val="ListParagraph"/>
        <w:numPr>
          <w:ilvl w:val="0"/>
          <w:numId w:val="2"/>
        </w:numPr>
        <w:bidi/>
        <w:spacing w:after="80" w:line="300"/>
      </w:pPr>
      <w:r>
        <w:rPr>
          <w:rFonts w:ascii="Arial" w:cs="Arial" w:hAnsi="Arial"/>
          <w:sz w:val="22"/>
          <w:szCs w:val="22"/>
          <w:rtl/>
        </w:rPr>
        <w:t xml:space="preserve">اتساق المؤشر: (الإغلاق − الفتح) = التغير بالنقاط.</w:t>
      </w:r>
    </w:p>
    <w:p>
      <w:pPr>
        <w:pStyle w:val="Heading2"/>
        <w:keepNext/>
        <w:bidi/>
        <w:spacing w:after="120" w:before="240"/>
      </w:pPr>
      <w:r>
        <w:rPr>
          <w:rFonts w:ascii="Arial" w:cs="Arial" w:hAnsi="Arial"/>
          <w:b/>
          <w:bCs/>
          <w:color w:val="1E2761"/>
          <w:sz w:val="26"/>
          <w:szCs w:val="26"/>
          <w:rtl/>
        </w:rPr>
        <w:t xml:space="preserve">ملاحظات خاصة بالتقرير الرسمي</w:t>
      </w:r>
    </w:p>
    <w:p>
      <w:pPr>
        <w:pStyle w:val="ListParagraph"/>
        <w:numPr>
          <w:ilvl w:val="0"/>
          <w:numId w:val="2"/>
        </w:numPr>
        <w:bidi/>
        <w:spacing w:after="80" w:line="300"/>
      </w:pPr>
      <w:r>
        <w:rPr>
          <w:rFonts w:ascii="Arial" w:cs="Arial" w:hAnsi="Arial"/>
          <w:b/>
          <w:bCs/>
          <w:sz w:val="22"/>
          <w:szCs w:val="22"/>
          <w:rtl/>
        </w:rPr>
        <w:t xml:space="preserve">التقرير لا يحتوي عمود رمز</w:t>
      </w:r>
      <w:r>
        <w:rPr>
          <w:rFonts w:ascii="Arial" w:cs="Arial" w:hAnsi="Arial"/>
          <w:sz w:val="22"/>
          <w:szCs w:val="22"/>
          <w:rtl/>
        </w:rPr>
        <w:t xml:space="preserve">؛ تُطابق الشركات بالاسم الإنجليزي أو العربي (مع تجاوز اختلافات الهمزة والتاء المربوطة و«ال» التعريف).</w:t>
      </w:r>
    </w:p>
    <w:p>
      <w:pPr>
        <w:pStyle w:val="ListParagraph"/>
        <w:numPr>
          <w:ilvl w:val="0"/>
          <w:numId w:val="2"/>
        </w:numPr>
        <w:bidi/>
        <w:spacing w:after="80" w:line="300"/>
      </w:pPr>
      <w:r>
        <w:rPr>
          <w:rFonts w:ascii="Arial" w:cs="Arial" w:hAnsi="Arial"/>
          <w:b/>
          <w:bCs/>
          <w:sz w:val="22"/>
          <w:szCs w:val="22"/>
          <w:rtl/>
        </w:rPr>
        <w:t xml:space="preserve">نسخة PDF تقرّب قيمة التداول لكل شركة لأقرب دينار</w:t>
      </w:r>
      <w:r>
        <w:rPr>
          <w:rFonts w:ascii="Arial" w:cs="Arial" w:hAnsi="Arial"/>
          <w:sz w:val="22"/>
          <w:szCs w:val="22"/>
          <w:rtl/>
        </w:rPr>
        <w:t xml:space="preserve"> بينما الإجمالي دقيق؛ تستعيد المنظومة القيمة الدقيقة عند التنفيذ بسعر واحد.</w:t>
      </w:r>
    </w:p>
    <w:p>
      <w:pPr>
        <w:pStyle w:val="ListParagraph"/>
        <w:numPr>
          <w:ilvl w:val="0"/>
          <w:numId w:val="2"/>
        </w:numPr>
        <w:bidi/>
        <w:spacing w:after="80" w:line="300"/>
      </w:pPr>
      <w:r>
        <w:rPr>
          <w:rFonts w:ascii="Arial" w:cs="Arial" w:hAnsi="Arial"/>
          <w:b/>
          <w:bCs/>
          <w:sz w:val="22"/>
          <w:szCs w:val="22"/>
          <w:rtl/>
        </w:rPr>
        <w:t xml:space="preserve">سعر الإغلاق قد لا يتغير رغم التنفيذ بسعر آخر</w:t>
      </w:r>
      <w:r>
        <w:rPr>
          <w:rFonts w:ascii="Arial" w:cs="Arial" w:hAnsi="Arial"/>
          <w:sz w:val="22"/>
          <w:szCs w:val="22"/>
          <w:rtl/>
        </w:rPr>
        <w:t xml:space="preserve"> إذا لم يستوفِ التداول شرط تغيير السعر — يُعامل كحالة صحيحة لا كخطأ.</w:t>
      </w:r>
    </w:p>
    <w:p>
      <w:pPr>
        <w:pStyle w:val="Heading1"/>
        <w:keepNext/>
        <w:pBdr>
          <w:bottom w:val="single" w:color="C9A961" w:sz="8" w:space="4"/>
        </w:pBdr>
        <w:bidi/>
        <w:spacing w:after="160" w:before="360"/>
      </w:pPr>
      <w:r>
        <w:rPr>
          <w:rFonts w:ascii="Arial" w:cs="Arial" w:hAnsi="Arial"/>
          <w:b/>
          <w:bCs/>
          <w:color w:val="1E2761"/>
          <w:sz w:val="32"/>
          <w:szCs w:val="32"/>
          <w:rtl/>
        </w:rPr>
        <w:t xml:space="preserve">10. الحالات والتنبيهات الآلية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الحالة</w:t>
            </w:r>
          </w:p>
        </w:tc>
        <w:tc>
          <w:tcPr>
            <w:tcW w:type="dxa" w:w="56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ماذا يحدث</w:t>
            </w:r>
          </w:p>
        </w:tc>
      </w:tr>
      <w:tr>
        <w:trPr>
          <w:cantSplit/>
        </w:trPr>
        <w:tc>
          <w:tcPr>
            <w:tcW w:type="dxa" w:w="3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تقرير سليم</w:t>
            </w:r>
          </w:p>
        </w:tc>
        <w:tc>
          <w:tcPr>
            <w:tcW w:type="dxa" w:w="5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«المطابقة مع إجماليات التقرير دون فروق» وتتحدث الشاشة</w:t>
            </w:r>
          </w:p>
        </w:tc>
      </w:tr>
      <w:tr>
        <w:trPr>
          <w:cantSplit/>
        </w:trPr>
        <w:tc>
          <w:tcPr>
            <w:tcW w:type="dxa" w:w="3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فرق بين مجموع الشركات وإجمالي التقرير</w:t>
            </w:r>
          </w:p>
        </w:tc>
        <w:tc>
          <w:tcPr>
            <w:tcW w:type="dxa" w:w="5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تحذير «مطابقة: …» في نافذة التغذية — يُراجع التقرير</w:t>
            </w:r>
          </w:p>
        </w:tc>
      </w:tr>
      <w:tr>
        <w:trPr>
          <w:cantSplit/>
        </w:trPr>
        <w:tc>
          <w:tcPr>
            <w:tcW w:type="dxa" w:w="3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شركة جديدة مدرجة غير معرّفة</w:t>
            </w:r>
          </w:p>
        </w:tc>
        <w:tc>
          <w:tcPr>
            <w:tcW w:type="dxa" w:w="5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تظهر برمز مؤقت مع تحذير ← تُضاف إلى data\companies.json (البند 11)</w:t>
            </w:r>
          </w:p>
        </w:tc>
      </w:tr>
      <w:tr>
        <w:trPr>
          <w:cantSplit/>
        </w:trPr>
        <w:tc>
          <w:tcPr>
            <w:tcW w:type="dxa" w:w="3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تغيّر عدد أسهم شركة</w:t>
            </w:r>
          </w:p>
        </w:tc>
        <w:tc>
          <w:tcPr>
            <w:tcW w:type="dxa" w:w="5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تحذير، ويُعتمد رقم التقرير تلقائيًا</w:t>
            </w:r>
          </w:p>
        </w:tc>
      </w:tr>
      <w:tr>
        <w:trPr>
          <w:cantSplit/>
        </w:trPr>
        <w:tc>
          <w:tcPr>
            <w:tcW w:type="dxa" w:w="3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ملف تالف أو لم يكتمل حفظه</w:t>
            </w:r>
          </w:p>
        </w:tc>
        <w:tc>
          <w:tcPr>
            <w:tcW w:type="dxa" w:w="5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تبقى آخر بيانات سليمة على الشاشة، ويُعاد المحاولة تلقائيًا</w:t>
            </w:r>
          </w:p>
        </w:tc>
      </w:tr>
      <w:tr>
        <w:trPr>
          <w:cantSplit/>
        </w:trPr>
        <w:tc>
          <w:tcPr>
            <w:tcW w:type="dxa" w:w="3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توقف التحديث أثناء الجلسة</w:t>
            </w:r>
          </w:p>
        </w:tc>
        <w:tc>
          <w:tcPr>
            <w:tcW w:type="dxa" w:w="5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مؤشر الحالة يتحول برتقاليًا «الجلسة جارية — بانتظار التحديث» بعد 10 دقائق</w:t>
            </w:r>
          </w:p>
        </w:tc>
      </w:tr>
      <w:tr>
        <w:trPr>
          <w:cantSplit/>
        </w:trPr>
        <w:tc>
          <w:tcPr>
            <w:tcW w:type="dxa" w:w="3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أرقام جلسة سابقة</w:t>
            </w:r>
          </w:p>
        </w:tc>
        <w:tc>
          <w:tcPr>
            <w:tcW w:type="dxa" w:w="5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عبارة «الأرقام لجلسة سابقة» أسفل الشاشة</w:t>
            </w:r>
          </w:p>
        </w:tc>
      </w:tr>
      <w:tr>
        <w:trPr>
          <w:cantSplit/>
        </w:trPr>
        <w:tc>
          <w:tcPr>
            <w:tcW w:type="dxa" w:w="3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إغلاق برنامج الشاشة أو التغذية</w:t>
            </w:r>
          </w:p>
        </w:tc>
        <w:tc>
          <w:tcPr>
            <w:tcW w:type="dxa" w:w="5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يُعاد تشغيله آليًا خلال ثوانٍ</w:t>
            </w:r>
          </w:p>
        </w:tc>
      </w:tr>
    </w:tbl>
    <w:p>
      <w:pPr>
        <w:spacing w:after="120"/>
      </w:pPr>
    </w:p>
    <w:p>
      <w:pPr>
        <w:pBdr>
          <w:right w:val="single" w:color="C9A961" w:sz="24" w:space="8"/>
        </w:pBdr>
        <w:shd w:fill="FBF6EA" w:color="auto" w:val="clear"/>
        <w:bidi/>
        <w:spacing w:after="160" w:before="80" w:line="300"/>
        <w:ind w:left="200" w:right="200"/>
      </w:pPr>
      <w:r>
        <w:rPr>
          <w:rFonts w:ascii="Arial" w:cs="Arial" w:hAnsi="Arial"/>
          <w:sz w:val="21"/>
          <w:szCs w:val="21"/>
          <w:rtl/>
        </w:rPr>
        <w:t xml:space="preserve">تحذيرات فحص البيانات تظهر للمشغّل فقط، </w:t>
      </w:r>
      <w:r>
        <w:rPr>
          <w:rFonts w:ascii="Arial" w:cs="Arial" w:hAnsi="Arial"/>
          <w:b/>
          <w:bCs/>
          <w:sz w:val="21"/>
          <w:szCs w:val="21"/>
          <w:rtl/>
        </w:rPr>
        <w:t xml:space="preserve">ولا تظهر للجمهور</w:t>
      </w:r>
      <w:r>
        <w:rPr>
          <w:rFonts w:ascii="Arial" w:cs="Arial" w:hAnsi="Arial"/>
          <w:sz w:val="21"/>
          <w:szCs w:val="21"/>
          <w:rtl/>
        </w:rPr>
        <w:t xml:space="preserve"> في وضع ملء الشاشة.</w:t>
      </w:r>
    </w:p>
    <w:p>
      <w:pPr>
        <w:pStyle w:val="Heading1"/>
        <w:keepNext/>
        <w:pBdr>
          <w:bottom w:val="single" w:color="C9A961" w:sz="8" w:space="4"/>
        </w:pBdr>
        <w:bidi/>
        <w:spacing w:after="160" w:before="360"/>
      </w:pPr>
      <w:r>
        <w:rPr>
          <w:rFonts w:ascii="Arial" w:cs="Arial" w:hAnsi="Arial"/>
          <w:b/>
          <w:bCs/>
          <w:color w:val="1E2761"/>
          <w:sz w:val="32"/>
          <w:szCs w:val="32"/>
          <w:rtl/>
        </w:rPr>
        <w:t xml:space="preserve">11. الصيانة</w:t>
      </w:r>
    </w:p>
    <w:p>
      <w:pPr>
        <w:pStyle w:val="Heading2"/>
        <w:keepNext/>
        <w:bidi/>
        <w:spacing w:after="120" w:before="240"/>
      </w:pPr>
      <w:r>
        <w:rPr>
          <w:rFonts w:ascii="Arial" w:cs="Arial" w:hAnsi="Arial"/>
          <w:b/>
          <w:bCs/>
          <w:color w:val="1E2761"/>
          <w:sz w:val="26"/>
          <w:szCs w:val="26"/>
          <w:rtl/>
        </w:rPr>
        <w:t xml:space="preserve">إضافة شركة جديدة مدرجة</w:t>
      </w:r>
    </w:p>
    <w:p>
      <w:pPr>
        <w:keepNext/>
        <w:bidi/>
        <w:spacing w:after="120" w:before="0" w:line="300"/>
      </w:pPr>
      <w:r>
        <w:rPr>
          <w:rFonts w:ascii="Arial" w:cs="Arial" w:hAnsi="Arial"/>
          <w:sz w:val="22"/>
          <w:szCs w:val="22"/>
          <w:rtl/>
        </w:rPr>
        <w:t xml:space="preserve">فتح data\companies.json بالمفكرة وإضافة سطر بنفس الصيغة:</w:t>
      </w:r>
    </w:p>
    <w:p>
      <w:pPr>
        <w:shd w:fill="F4F5F9" w:color="auto" w:val="clear"/>
        <w:bidi w:val="false"/>
        <w:spacing w:after="0" w:line="260"/>
        <w:ind w:left="200" w:right="200"/>
        <w:jc w:val="left"/>
      </w:pPr>
      <w:r>
        <w:rPr>
          <w:rFonts w:ascii="Consolas" w:cs="Consolas" w:hAnsi="Consolas"/>
          <w:color w:val="1A1F36"/>
          <w:sz w:val="19"/>
          <w:szCs w:val="19"/>
          <w:rtl w:val="false"/>
        </w:rPr>
        <w:t xml:space="preserve">{ "sym": "XYZ", "name": "اسم الشركة كما في التقرير", "en": "English name as in report",</w:t>
      </w:r>
    </w:p>
    <w:p>
      <w:pPr>
        <w:shd w:fill="F4F5F9" w:color="auto" w:val="clear"/>
        <w:bidi w:val="false"/>
        <w:spacing w:after="160" w:line="260"/>
        <w:ind w:left="200" w:right="200"/>
        <w:jc w:val="left"/>
      </w:pPr>
      <w:r>
        <w:rPr>
          <w:rFonts w:ascii="Consolas" w:cs="Consolas" w:hAnsi="Consolas"/>
          <w:color w:val="1A1F36"/>
          <w:sz w:val="19"/>
          <w:szCs w:val="19"/>
          <w:rtl w:val="false"/>
        </w:rPr>
        <w:t xml:space="preserve">  "sector": "القطاع", "shares": null },</w:t>
      </w:r>
    </w:p>
    <w:p>
      <w:pPr>
        <w:pStyle w:val="ListParagraph"/>
        <w:numPr>
          <w:ilvl w:val="0"/>
          <w:numId w:val="2"/>
        </w:numPr>
        <w:bidi/>
        <w:spacing w:after="80" w:line="300"/>
      </w:pPr>
      <w:r>
        <w:rPr>
          <w:rFonts w:ascii="Arial" w:cs="Arial" w:hAnsi="Arial"/>
          <w:b/>
          <w:bCs/>
          <w:sz w:val="22"/>
          <w:szCs w:val="22"/>
          <w:rtl/>
        </w:rPr>
        <w:t xml:space="preserve">en</w:t>
      </w:r>
      <w:r>
        <w:rPr>
          <w:rFonts w:ascii="Arial" w:cs="Arial" w:hAnsi="Arial"/>
          <w:sz w:val="22"/>
          <w:szCs w:val="22"/>
          <w:rtl/>
        </w:rPr>
        <w:t xml:space="preserve"> يجب أن يطابق الاسم الإنجليزي في عمود Company بالتقرير.</w:t>
      </w:r>
    </w:p>
    <w:p>
      <w:pPr>
        <w:pStyle w:val="ListParagraph"/>
        <w:numPr>
          <w:ilvl w:val="0"/>
          <w:numId w:val="2"/>
        </w:numPr>
        <w:bidi/>
        <w:spacing w:after="80" w:line="300"/>
      </w:pPr>
      <w:r>
        <w:rPr>
          <w:rFonts w:ascii="Arial" w:cs="Arial" w:hAnsi="Arial"/>
          <w:b/>
          <w:bCs/>
          <w:sz w:val="22"/>
          <w:szCs w:val="22"/>
          <w:rtl/>
        </w:rPr>
        <w:t xml:space="preserve">shares</w:t>
      </w:r>
      <w:r>
        <w:rPr>
          <w:rFonts w:ascii="Arial" w:cs="Arial" w:hAnsi="Arial"/>
          <w:sz w:val="22"/>
          <w:szCs w:val="22"/>
          <w:rtl/>
        </w:rPr>
        <w:t xml:space="preserve"> يُترك null — يُحسب تلقائيًا من القيمة السوقية في أول تقرير.</w:t>
      </w:r>
    </w:p>
    <w:p>
      <w:pPr>
        <w:pStyle w:val="ListParagraph"/>
        <w:numPr>
          <w:ilvl w:val="0"/>
          <w:numId w:val="2"/>
        </w:numPr>
        <w:bidi/>
        <w:spacing w:after="80" w:line="300"/>
      </w:pPr>
      <w:r>
        <w:rPr>
          <w:rFonts w:ascii="Arial" w:cs="Arial" w:hAnsi="Arial"/>
          <w:sz w:val="22"/>
          <w:szCs w:val="22"/>
          <w:rtl/>
        </w:rPr>
        <w:t xml:space="preserve">إذا اختلف الاسم العربي في التقرير عن الرسمي يُضاف: "aliases": ["الاسم كما في التقرير"].</w:t>
      </w:r>
    </w:p>
    <w:p>
      <w:pPr>
        <w:pStyle w:val="ListParagraph"/>
        <w:numPr>
          <w:ilvl w:val="0"/>
          <w:numId w:val="2"/>
        </w:numPr>
        <w:bidi/>
        <w:spacing w:after="80" w:line="300"/>
      </w:pPr>
      <w:r>
        <w:rPr>
          <w:rFonts w:ascii="Arial" w:cs="Arial" w:hAnsi="Arial"/>
          <w:sz w:val="22"/>
          <w:szCs w:val="22"/>
          <w:rtl/>
        </w:rPr>
        <w:t xml:space="preserve">يُحفظ الملف بترميز </w:t>
      </w:r>
      <w:r>
        <w:rPr>
          <w:rFonts w:ascii="Arial" w:cs="Arial" w:hAnsi="Arial"/>
          <w:b/>
          <w:bCs/>
          <w:sz w:val="22"/>
          <w:szCs w:val="22"/>
          <w:rtl/>
        </w:rPr>
        <w:t xml:space="preserve">UTF-8</w:t>
      </w:r>
      <w:r>
        <w:rPr>
          <w:rFonts w:ascii="Arial" w:cs="Arial" w:hAnsi="Arial"/>
          <w:sz w:val="22"/>
          <w:szCs w:val="22"/>
          <w:rtl/>
        </w:rPr>
        <w:t xml:space="preserve">، وتلتقط الشاشة التعديل وحدها.</w:t>
      </w:r>
    </w:p>
    <w:p>
      <w:pPr>
        <w:pStyle w:val="Heading2"/>
        <w:keepNext/>
        <w:bidi/>
        <w:spacing w:after="120" w:before="240"/>
      </w:pPr>
      <w:r>
        <w:rPr>
          <w:rFonts w:ascii="Arial" w:cs="Arial" w:hAnsi="Arial"/>
          <w:b/>
          <w:bCs/>
          <w:color w:val="1E2761"/>
          <w:sz w:val="26"/>
          <w:szCs w:val="26"/>
          <w:rtl/>
        </w:rPr>
        <w:t xml:space="preserve">مفاتيح التحكم في الشاشة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المفتاح</w:t>
            </w:r>
          </w:p>
        </w:tc>
        <w:tc>
          <w:tcPr>
            <w:tcW w:type="dxa" w:w="52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الوظيفة</w:t>
            </w:r>
          </w:p>
        </w:tc>
      </w:tr>
      <w:tr>
        <w:trPr>
          <w:cantSplit/>
        </w:trPr>
        <w:tc>
          <w:tcPr>
            <w:tcW w:type="dxa" w:w="3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F11</w:t>
            </w:r>
          </w:p>
        </w:tc>
        <w:tc>
          <w:tcPr>
            <w:tcW w:type="dxa" w:w="52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ملء الشاشة / الخروج منه</w:t>
            </w:r>
          </w:p>
        </w:tc>
      </w:tr>
      <w:tr>
        <w:trPr>
          <w:cantSplit/>
        </w:trPr>
        <w:tc>
          <w:tcPr>
            <w:tcW w:type="dxa" w:w="3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Esc</w:t>
            </w:r>
          </w:p>
        </w:tc>
        <w:tc>
          <w:tcPr>
            <w:tcW w:type="dxa" w:w="52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الخروج من ملء الشاشة</w:t>
            </w:r>
          </w:p>
        </w:tc>
      </w:tr>
      <w:tr>
        <w:trPr>
          <w:cantSplit/>
        </w:trPr>
        <w:tc>
          <w:tcPr>
            <w:tcW w:type="dxa" w:w="3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R أو F5 (أو «ق» بلوحة المفاتيح العربية)</w:t>
            </w:r>
          </w:p>
        </w:tc>
        <w:tc>
          <w:tcPr>
            <w:tcW w:type="dxa" w:w="52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إعادة قراءة البيانات فورًا</w:t>
            </w:r>
          </w:p>
        </w:tc>
      </w:tr>
    </w:tbl>
    <w:p>
      <w:pPr>
        <w:pStyle w:val="Heading2"/>
        <w:keepNext/>
        <w:bidi/>
        <w:spacing w:after="120" w:before="240"/>
      </w:pPr>
      <w:r>
        <w:rPr>
          <w:rFonts w:ascii="Arial" w:cs="Arial" w:hAnsi="Arial"/>
          <w:b/>
          <w:bCs/>
          <w:color w:val="1E2761"/>
          <w:sz w:val="26"/>
          <w:szCs w:val="26"/>
          <w:rtl/>
        </w:rPr>
        <w:t xml:space="preserve">خيارات تشغيل برنامج الشاشة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الخيار</w:t>
            </w:r>
          </w:p>
        </w:tc>
        <w:tc>
          <w:tcPr>
            <w:tcW w:type="dxa" w:w="60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الوظيفة</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--fullscreen</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البدء بملء الشاشة وإخفاء مؤشر الفأرة</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--scale 1.5</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تكبير الواجهة للشاشات الكبيرة</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--data &lt;ملف&gt;</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مسار ملف البيانات إن كان في مكان آخر</w:t>
            </w:r>
          </w:p>
        </w:tc>
      </w:tr>
      <w:tr>
        <w:trPr>
          <w:cantSplit/>
        </w:trPr>
        <w:tc>
          <w:tcPr>
            <w:tcW w:type="dxa" w:w="30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--stale 10</w:t>
            </w:r>
          </w:p>
        </w:tc>
        <w:tc>
          <w:tcPr>
            <w:tcW w:type="dxa" w:w="6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دقائق بلا تحديث أثناء الجلسة قبل التنبيه</w:t>
            </w:r>
          </w:p>
        </w:tc>
      </w:tr>
      <w:tr>
        <w:trPr>
          <w:cantSplit/>
        </w:trPr>
        <w:tc>
          <w:tcPr>
            <w:tcW w:type="dxa" w:w="30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--snapshot صورة.png</w:t>
            </w:r>
          </w:p>
        </w:tc>
        <w:tc>
          <w:tcPr>
            <w:tcW w:type="dxa" w:w="6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حفظ صورة للشاشة ثم الخروج (للنشر على الموقع أو وسائل التواصل)</w:t>
            </w:r>
          </w:p>
        </w:tc>
      </w:tr>
    </w:tbl>
    <w:p>
      <w:pPr>
        <w:pStyle w:val="Heading2"/>
        <w:keepNext/>
        <w:bidi/>
        <w:spacing w:after="120" w:before="240"/>
      </w:pPr>
      <w:r>
        <w:rPr>
          <w:rFonts w:ascii="Arial" w:cs="Arial" w:hAnsi="Arial"/>
          <w:b/>
          <w:bCs/>
          <w:color w:val="1E2761"/>
          <w:sz w:val="26"/>
          <w:szCs w:val="26"/>
          <w:rtl/>
        </w:rPr>
        <w:t xml:space="preserve">حالات خاصة</w:t>
      </w:r>
    </w:p>
    <w:p>
      <w:pPr>
        <w:pStyle w:val="ListParagraph"/>
        <w:numPr>
          <w:ilvl w:val="0"/>
          <w:numId w:val="2"/>
        </w:numPr>
        <w:bidi/>
        <w:spacing w:after="80" w:line="300"/>
      </w:pPr>
      <w:r>
        <w:rPr>
          <w:rFonts w:ascii="Arial" w:cs="Arial" w:hAnsi="Arial"/>
          <w:b/>
          <w:bCs/>
          <w:sz w:val="22"/>
          <w:szCs w:val="22"/>
          <w:rtl/>
        </w:rPr>
        <w:t xml:space="preserve">عطلة رسمية</w:t>
      </w:r>
      <w:r>
        <w:rPr>
          <w:rFonts w:ascii="Arial" w:cs="Arial" w:hAnsi="Arial"/>
          <w:sz w:val="22"/>
          <w:szCs w:val="22"/>
          <w:rtl/>
        </w:rPr>
        <w:t xml:space="preserve">: تعديل "status": "closed" في data\session.json لتثبيت حالة «السوق مغلق».</w:t>
      </w:r>
    </w:p>
    <w:p>
      <w:pPr>
        <w:pStyle w:val="ListParagraph"/>
        <w:numPr>
          <w:ilvl w:val="0"/>
          <w:numId w:val="2"/>
        </w:numPr>
        <w:bidi/>
        <w:spacing w:after="80" w:line="300"/>
      </w:pPr>
      <w:r>
        <w:rPr>
          <w:rFonts w:ascii="Arial" w:cs="Arial" w:hAnsi="Arial"/>
          <w:b/>
          <w:bCs/>
          <w:sz w:val="22"/>
          <w:szCs w:val="22"/>
          <w:rtl/>
        </w:rPr>
        <w:t xml:space="preserve">تحديث البرنامج</w:t>
      </w:r>
      <w:r>
        <w:rPr>
          <w:rFonts w:ascii="Arial" w:cs="Arial" w:hAnsi="Arial"/>
          <w:sz w:val="22"/>
          <w:szCs w:val="22"/>
          <w:rtl/>
        </w:rPr>
        <w:t xml:space="preserve">: تنزيل الحزمة الأحدث ونسخها فوق المجلد القديم </w:t>
      </w:r>
      <w:r>
        <w:rPr>
          <w:rFonts w:ascii="Arial" w:cs="Arial" w:hAnsi="Arial"/>
          <w:b/>
          <w:bCs/>
          <w:sz w:val="22"/>
          <w:szCs w:val="22"/>
          <w:rtl/>
        </w:rPr>
        <w:t xml:space="preserve">مع الإبقاء على مجلد data</w:t>
      </w:r>
      <w:r>
        <w:rPr>
          <w:rFonts w:ascii="Arial" w:cs="Arial" w:hAnsi="Arial"/>
          <w:sz w:val="22"/>
          <w:szCs w:val="22"/>
          <w:rtl/>
        </w:rPr>
        <w:t xml:space="preserve">.</w:t>
      </w:r>
    </w:p>
    <w:p>
      <w:pPr>
        <w:pStyle w:val="ListParagraph"/>
        <w:numPr>
          <w:ilvl w:val="0"/>
          <w:numId w:val="2"/>
        </w:numPr>
        <w:bidi/>
        <w:spacing w:after="80" w:line="300"/>
      </w:pPr>
      <w:r>
        <w:rPr>
          <w:rFonts w:ascii="Arial" w:cs="Arial" w:hAnsi="Arial"/>
          <w:b/>
          <w:bCs/>
          <w:sz w:val="22"/>
          <w:szCs w:val="22"/>
          <w:rtl/>
        </w:rPr>
        <w:t xml:space="preserve">النسخ الاحتياطي</w:t>
      </w:r>
      <w:r>
        <w:rPr>
          <w:rFonts w:ascii="Arial" w:cs="Arial" w:hAnsi="Arial"/>
          <w:sz w:val="22"/>
          <w:szCs w:val="22"/>
          <w:rtl/>
        </w:rPr>
        <w:t xml:space="preserve">: مجلد التقارير (أرشيف رسمي) دوريًا، و data\companies.json بعد كل تعديل.</w:t>
      </w:r>
    </w:p>
    <w:p>
      <w:pPr>
        <w:pStyle w:val="Heading1"/>
        <w:keepNext/>
        <w:pBdr>
          <w:bottom w:val="single" w:color="C9A961" w:sz="8" w:space="4"/>
        </w:pBdr>
        <w:bidi/>
        <w:spacing w:after="160" w:before="360"/>
      </w:pPr>
      <w:r>
        <w:rPr>
          <w:rFonts w:ascii="Arial" w:cs="Arial" w:hAnsi="Arial"/>
          <w:b/>
          <w:bCs/>
          <w:color w:val="1E2761"/>
          <w:sz w:val="32"/>
          <w:szCs w:val="32"/>
          <w:rtl/>
        </w:rPr>
        <w:t xml:space="preserve">12. استكشاف الأعطال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rPr>
          <w:tblHeader/>
        </w:trPr>
        <w:tc>
          <w:tcPr>
            <w:tcW w:type="dxa" w:w="27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العَرَض</w:t>
            </w:r>
          </w:p>
        </w:tc>
        <w:tc>
          <w:tcPr>
            <w:tcW w:type="dxa" w:w="27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السبب المحتمل</w:t>
            </w:r>
          </w:p>
        </w:tc>
        <w:tc>
          <w:tcPr>
            <w:tcW w:type="dxa" w:w="36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الحل</w:t>
            </w:r>
          </w:p>
        </w:tc>
      </w:tr>
      <w:tr>
        <w:trPr>
          <w:cantSplit/>
        </w:trPr>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الشاشة لا تتحدث بعد حفظ التقرير</w:t>
            </w:r>
          </w:p>
        </w:tc>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نافذة التغذية مغلقة أو المسار خطأ</w:t>
            </w:r>
          </w:p>
        </w:tc>
        <w:tc>
          <w:tcPr>
            <w:tcW w:type="dxa" w:w="3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التأكد أن start-feeder.bat يعمل وأن REPORTS يشير للمجلد الصحيح</w:t>
            </w:r>
          </w:p>
        </w:tc>
      </w:tr>
      <w:tr>
        <w:trPr>
          <w:cantSplit/>
        </w:trPr>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رسالة python is not recognized</w:t>
            </w:r>
          </w:p>
        </w:tc>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Python غير مضاف إلى PATH</w:t>
            </w:r>
          </w:p>
        </w:tc>
        <w:tc>
          <w:tcPr>
            <w:tcW w:type="dxa" w:w="3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إعادة تثبيت Python مع تفعيل Add to PATH</w:t>
            </w:r>
          </w:p>
        </w:tc>
      </w:tr>
      <w:tr>
        <w:trPr>
          <w:cantSplit/>
        </w:trPr>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«لقراءة ملفات PDF ثبّت المكتبة»</w:t>
            </w:r>
          </w:p>
        </w:tc>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لم يُشغَّل install-feeder.bat</w:t>
            </w:r>
          </w:p>
        </w:tc>
        <w:tc>
          <w:tcPr>
            <w:tcW w:type="dxa" w:w="3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تشغيله</w:t>
            </w:r>
          </w:p>
        </w:tc>
      </w:tr>
      <w:tr>
        <w:trPr>
          <w:cantSplit/>
        </w:trPr>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«لم أجد جدول الأسهم في التقرير»</w:t>
            </w:r>
          </w:p>
        </w:tc>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تغيّر شكل التقرير أو الملف ليس تقريرًا</w:t>
            </w:r>
          </w:p>
        </w:tc>
        <w:tc>
          <w:tcPr>
            <w:tcW w:type="dxa" w:w="3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إرسال نسخة من التقرير للمطوّر لإضافة أسماء الأعمدة الجديدة</w:t>
            </w:r>
          </w:p>
        </w:tc>
      </w:tr>
      <w:tr>
        <w:trPr>
          <w:cantSplit/>
        </w:trPr>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الخط صغير أو كبير على التلفاز</w:t>
            </w:r>
          </w:p>
        </w:tc>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المقياس غير مناسب</w:t>
            </w:r>
          </w:p>
        </w:tc>
        <w:tc>
          <w:tcPr>
            <w:tcW w:type="dxa" w:w="3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تعديل SCALE في start-display.bat</w:t>
            </w:r>
          </w:p>
        </w:tc>
      </w:tr>
      <w:tr>
        <w:trPr>
          <w:cantSplit/>
        </w:trPr>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الأحرف العربية تظهر مربعات</w:t>
            </w:r>
          </w:p>
        </w:tc>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خط غير متوفر (نادر في ويندوز)</w:t>
            </w:r>
          </w:p>
        </w:tc>
        <w:tc>
          <w:tcPr>
            <w:tcW w:type="dxa" w:w="3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تثبيت خط Tahoma أو Noto Sans Arabic</w:t>
            </w:r>
          </w:p>
        </w:tc>
      </w:tr>
      <w:tr>
        <w:trPr>
          <w:cantSplit/>
        </w:trPr>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الشاشة سوداء أو لا يفتح البرنامج</w:t>
            </w:r>
          </w:p>
        </w:tc>
        <w:tc>
          <w:tcPr>
            <w:tcW w:type="dxa" w:w="2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مكتبات Qt ناقصة</w:t>
            </w:r>
          </w:p>
        </w:tc>
        <w:tc>
          <w:tcPr>
            <w:tcW w:type="dxa" w:w="36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نقل المجلد كاملًا لا ملف exe وحده</w:t>
            </w:r>
          </w:p>
        </w:tc>
      </w:tr>
      <w:tr>
        <w:trPr>
          <w:cantSplit/>
        </w:trPr>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تحذير «مطابقة» بعد التحويل</w:t>
            </w:r>
          </w:p>
        </w:tc>
        <w:tc>
          <w:tcPr>
            <w:tcW w:type="dxa" w:w="2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فرق بين الشركات وإجمالي التقرير</w:t>
            </w:r>
          </w:p>
        </w:tc>
        <w:tc>
          <w:tcPr>
            <w:tcW w:type="dxa" w:w="36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مراجعة التقرير؛ الشاشة تعرض الأرقام لكن يجب التحقق من المصدر</w:t>
            </w:r>
          </w:p>
        </w:tc>
      </w:tr>
    </w:tbl>
    <w:p>
      <w:pPr>
        <w:pStyle w:val="Heading1"/>
        <w:keepNext/>
        <w:pBdr>
          <w:bottom w:val="single" w:color="C9A961" w:sz="8" w:space="4"/>
        </w:pBdr>
        <w:bidi/>
        <w:spacing w:after="160" w:before="360"/>
      </w:pPr>
      <w:r>
        <w:rPr>
          <w:rFonts w:ascii="Arial" w:cs="Arial" w:hAnsi="Arial"/>
          <w:b/>
          <w:bCs/>
          <w:color w:val="1E2761"/>
          <w:sz w:val="32"/>
          <w:szCs w:val="32"/>
          <w:rtl/>
        </w:rPr>
        <w:t xml:space="preserve">13. الأمن والحوكمة</w:t>
      </w:r>
    </w:p>
    <w:p>
      <w:pPr>
        <w:pStyle w:val="ListParagraph"/>
        <w:numPr>
          <w:ilvl w:val="0"/>
          <w:numId w:val="2"/>
        </w:numPr>
        <w:bidi/>
        <w:spacing w:after="80" w:line="300"/>
      </w:pPr>
      <w:r>
        <w:rPr>
          <w:rFonts w:ascii="Arial" w:cs="Arial" w:hAnsi="Arial"/>
          <w:sz w:val="22"/>
          <w:szCs w:val="22"/>
          <w:rtl/>
        </w:rPr>
        <w:t xml:space="preserve">المنظومة </w:t>
      </w:r>
      <w:r>
        <w:rPr>
          <w:rFonts w:ascii="Arial" w:cs="Arial" w:hAnsi="Arial"/>
          <w:b/>
          <w:bCs/>
          <w:sz w:val="22"/>
          <w:szCs w:val="22"/>
          <w:rtl/>
        </w:rPr>
        <w:t xml:space="preserve">للقراءة فقط</w:t>
      </w:r>
      <w:r>
        <w:rPr>
          <w:rFonts w:ascii="Arial" w:cs="Arial" w:hAnsi="Arial"/>
          <w:sz w:val="22"/>
          <w:szCs w:val="22"/>
          <w:rtl/>
        </w:rPr>
        <w:t xml:space="preserve">: لا تتصل بنظام التداول ولا ترسل أي بيانات لأي جهة خارجية.</w:t>
      </w:r>
    </w:p>
    <w:p>
      <w:pPr>
        <w:pStyle w:val="ListParagraph"/>
        <w:numPr>
          <w:ilvl w:val="0"/>
          <w:numId w:val="2"/>
        </w:numPr>
        <w:bidi/>
        <w:spacing w:after="80" w:line="300"/>
      </w:pPr>
      <w:r>
        <w:rPr>
          <w:rFonts w:ascii="Arial" w:cs="Arial" w:hAnsi="Arial"/>
          <w:sz w:val="22"/>
          <w:szCs w:val="22"/>
          <w:rtl/>
        </w:rPr>
        <w:t xml:space="preserve">صلاحية الكتابة في مجلد التقارير لموظف التقارير فقط، وحساب جهاز العرض بلا صلاحيات إدارية.</w:t>
      </w:r>
    </w:p>
    <w:p>
      <w:pPr>
        <w:pStyle w:val="ListParagraph"/>
        <w:numPr>
          <w:ilvl w:val="0"/>
          <w:numId w:val="2"/>
        </w:numPr>
        <w:bidi/>
        <w:spacing w:after="80" w:line="300"/>
      </w:pPr>
      <w:r>
        <w:rPr>
          <w:rFonts w:ascii="Arial" w:cs="Arial" w:hAnsi="Arial"/>
          <w:sz w:val="22"/>
          <w:szCs w:val="22"/>
          <w:rtl/>
        </w:rPr>
        <w:t xml:space="preserve">اسم التقرير المصدر ووقت آخر تحديث يظهران أسفل الشاشة — للتتبع والمساءلة.</w:t>
      </w:r>
    </w:p>
    <w:p>
      <w:pPr>
        <w:pStyle w:val="ListParagraph"/>
        <w:numPr>
          <w:ilvl w:val="0"/>
          <w:numId w:val="2"/>
        </w:numPr>
        <w:bidi/>
        <w:spacing w:after="80" w:line="300"/>
      </w:pPr>
      <w:r>
        <w:rPr>
          <w:rFonts w:ascii="Arial" w:cs="Arial" w:hAnsi="Arial"/>
          <w:sz w:val="22"/>
          <w:szCs w:val="22"/>
          <w:rtl/>
        </w:rPr>
        <w:t xml:space="preserve">الشيفرة محفوظة في المستودع، وكل تعديل يمر باختبارات آلية (منها اختبار على التقرير الرسمي) قبل إنتاج الحزمة.</w:t>
      </w:r>
    </w:p>
    <w:p>
      <w:pPr>
        <w:pStyle w:val="ListParagraph"/>
        <w:numPr>
          <w:ilvl w:val="0"/>
          <w:numId w:val="2"/>
        </w:numPr>
        <w:bidi/>
        <w:spacing w:after="80" w:line="300"/>
      </w:pPr>
      <w:r>
        <w:rPr>
          <w:rFonts w:ascii="Arial" w:cs="Arial" w:hAnsi="Arial"/>
          <w:sz w:val="22"/>
          <w:szCs w:val="22"/>
          <w:rtl/>
        </w:rPr>
        <w:t xml:space="preserve">تحذيرات سلامة البيانات لا تظهر للجمهور، وتبقى آخر بيانات سليمة معروضة عند أي خطأ.</w:t>
      </w:r>
    </w:p>
    <w:p>
      <w:pPr>
        <w:pStyle w:val="Heading1"/>
        <w:keepNext/>
        <w:pBdr>
          <w:bottom w:val="single" w:color="C9A961" w:sz="8" w:space="4"/>
        </w:pBdr>
        <w:bidi/>
        <w:spacing w:after="160" w:before="360"/>
      </w:pPr>
      <w:r>
        <w:rPr>
          <w:rFonts w:ascii="Arial" w:cs="Arial" w:hAnsi="Arial"/>
          <w:b/>
          <w:bCs/>
          <w:color w:val="1E2761"/>
          <w:sz w:val="32"/>
          <w:szCs w:val="32"/>
          <w:rtl/>
        </w:rPr>
        <w:t xml:space="preserve">14. قائمة التحقق قبل الإطلاق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926"/>
        <w:gridCol w:w="2400"/>
      </w:tblGrid>
      <w:tr>
        <w:trPr>
          <w:tblHeader/>
        </w:trPr>
        <w:tc>
          <w:tcPr>
            <w:tcW w:type="dxa" w:w="7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w:t>
            </w:r>
          </w:p>
        </w:tc>
        <w:tc>
          <w:tcPr>
            <w:tcW w:type="dxa" w:w="59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البند</w:t>
            </w:r>
          </w:p>
        </w:tc>
        <w:tc>
          <w:tcPr>
            <w:tcW w:type="dxa" w:w="24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المسؤول</w:t>
            </w:r>
          </w:p>
        </w:tc>
      </w:tr>
      <w:tr>
        <w:trPr>
          <w:cantSplit/>
        </w:trPr>
        <w:tc>
          <w:tcPr>
            <w:tcW w:type="dxa" w:w="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الحزمة منزّلة ومفكوكة في C:\LSM\display</w:t>
            </w:r>
          </w:p>
        </w:tc>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w:t>
            </w:r>
          </w:p>
        </w:tc>
      </w:tr>
      <w:tr>
        <w:trPr>
          <w:cantSplit/>
        </w:trPr>
        <w:tc>
          <w:tcPr>
            <w:tcW w:type="dxa" w:w="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Python مثبت و install-feeder.bat نُفّذ بنجاح</w:t>
            </w:r>
          </w:p>
        </w:tc>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w:t>
            </w:r>
          </w:p>
        </w:tc>
      </w:tr>
      <w:tr>
        <w:trPr>
          <w:cantSplit/>
        </w:trPr>
        <w:tc>
          <w:tcPr>
            <w:tcW w:type="dxa" w:w="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تجربة convert-report.bat على تقرير حقيقي ← «دون فروق»</w:t>
            </w:r>
          </w:p>
        </w:tc>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 + التقارير</w:t>
            </w:r>
          </w:p>
        </w:tc>
      </w:tr>
      <w:tr>
        <w:trPr>
          <w:cantSplit/>
        </w:trPr>
        <w:tc>
          <w:tcPr>
            <w:tcW w:type="dxa" w:w="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تجربة ملف Excel الأصلي للتقرير (المصدر المفضّل)</w:t>
            </w:r>
          </w:p>
        </w:tc>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التقارير</w:t>
            </w:r>
          </w:p>
        </w:tc>
      </w:tr>
      <w:tr>
        <w:trPr>
          <w:cantSplit/>
        </w:trPr>
        <w:tc>
          <w:tcPr>
            <w:tcW w:type="dxa" w:w="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مجلد التقارير مشارك وصلاحياته مضبوطة</w:t>
            </w:r>
          </w:p>
        </w:tc>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w:t>
            </w:r>
          </w:p>
        </w:tc>
      </w:tr>
      <w:tr>
        <w:trPr>
          <w:cantSplit/>
        </w:trPr>
        <w:tc>
          <w:tcPr>
            <w:tcW w:type="dxa" w:w="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الاختصاران في shell:startup وإعادة التشغيل تبدأ كل شيء آليًا</w:t>
            </w:r>
          </w:p>
        </w:tc>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w:t>
            </w:r>
          </w:p>
        </w:tc>
      </w:tr>
      <w:tr>
        <w:trPr>
          <w:cantSplit/>
        </w:trPr>
        <w:tc>
          <w:tcPr>
            <w:tcW w:type="dxa" w:w="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الطاقة: الشاشة والسكون = Never، وساعات النشاط مضبوطة</w:t>
            </w:r>
          </w:p>
        </w:tc>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w:t>
            </w:r>
          </w:p>
        </w:tc>
      </w:tr>
      <w:tr>
        <w:trPr>
          <w:cantSplit/>
        </w:trPr>
        <w:tc>
          <w:tcPr>
            <w:tcW w:type="dxa" w:w="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المقياس مناسب للشاشة من مسافة المشاهدة في القاعة</w:t>
            </w:r>
          </w:p>
        </w:tc>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إدارة السوق</w:t>
            </w:r>
          </w:p>
        </w:tc>
      </w:tr>
      <w:tr>
        <w:trPr>
          <w:cantSplit/>
        </w:trPr>
        <w:tc>
          <w:tcPr>
            <w:tcW w:type="dxa" w:w="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تدريب موظف التقارير على البندين 8 و 10 (10 دقائق)</w:t>
            </w:r>
          </w:p>
        </w:tc>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تقنية المعلومات</w:t>
            </w:r>
          </w:p>
        </w:tc>
      </w:tr>
      <w:tr>
        <w:trPr>
          <w:cantSplit/>
        </w:trPr>
        <w:tc>
          <w:tcPr>
            <w:tcW w:type="dxa" w:w="7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تشغيل تجريبي أسبوعًا كاملًا بالتوازي مع العرض الحالي</w:t>
            </w:r>
          </w:p>
        </w:tc>
        <w:tc>
          <w:tcPr>
            <w:tcW w:type="dxa" w:w="2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إدارة السوق</w:t>
            </w:r>
          </w:p>
        </w:tc>
      </w:tr>
      <w:tr>
        <w:trPr>
          <w:cantSplit/>
        </w:trPr>
        <w:tc>
          <w:tcPr>
            <w:tcW w:type="dxa" w:w="7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w:t>
            </w:r>
          </w:p>
        </w:tc>
        <w:tc>
          <w:tcPr>
            <w:tcW w:type="dxa" w:w="59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اعتماد الإطلاق</w:t>
            </w:r>
          </w:p>
        </w:tc>
        <w:tc>
          <w:tcPr>
            <w:tcW w:type="dxa" w:w="2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مدير السوق</w:t>
            </w:r>
          </w:p>
        </w:tc>
      </w:tr>
    </w:tbl>
    <w:p>
      <w:r>
        <w:br w:type="page"/>
      </w:r>
    </w:p>
    <w:p>
      <w:pPr>
        <w:pStyle w:val="Heading1"/>
        <w:keepNext/>
        <w:pBdr>
          <w:bottom w:val="single" w:color="C9A961" w:sz="8" w:space="4"/>
        </w:pBdr>
        <w:bidi/>
        <w:spacing w:after="160" w:before="360"/>
      </w:pPr>
      <w:r>
        <w:rPr>
          <w:rFonts w:ascii="Arial" w:cs="Arial" w:hAnsi="Arial"/>
          <w:b/>
          <w:bCs/>
          <w:color w:val="1E2761"/>
          <w:sz w:val="32"/>
          <w:szCs w:val="32"/>
          <w:rtl/>
        </w:rPr>
        <w:t xml:space="preserve">ملحق أ: نتائج تحويل تقرير جلسة 2026-11-01</w:t>
      </w:r>
    </w:p>
    <w:p>
      <w:pPr>
        <w:keepNext/>
        <w:bidi/>
        <w:spacing w:after="120" w:before="0" w:line="300"/>
      </w:pPr>
      <w:r>
        <w:rPr>
          <w:rFonts w:ascii="Arial" w:cs="Arial" w:hAnsi="Arial"/>
          <w:sz w:val="22"/>
          <w:szCs w:val="22"/>
          <w:rtl/>
        </w:rPr>
        <w:t xml:space="preserve">حُوّل التقرير الرسمي «تقرير عمليات التداول بسوق المال الليبي عن يوم الأحد 2026-11-01» (نسخة PDF) فتطابقت جميع الأرقام: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26"/>
      </w:tblGrid>
      <w:tr>
        <w:trPr>
          <w:tblHeader/>
        </w:trPr>
        <w:tc>
          <w:tcPr>
            <w:tcW w:type="dxa" w:w="36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البند</w:t>
            </w:r>
          </w:p>
        </w:tc>
        <w:tc>
          <w:tcPr>
            <w:tcW w:type="dxa" w:w="32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في التقرير</w:t>
            </w:r>
          </w:p>
        </w:tc>
        <w:tc>
          <w:tcPr>
            <w:tcW w:type="dxa" w:w="22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في الشاشة</w:t>
            </w:r>
          </w:p>
        </w:tc>
      </w:tr>
      <w:tr>
        <w:trPr>
          <w:cantSplit/>
        </w:trPr>
        <w:tc>
          <w:tcPr>
            <w:tcW w:type="dxa" w:w="3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القيمة السوقية للسوق</w:t>
            </w:r>
          </w:p>
        </w:tc>
        <w:tc>
          <w:tcPr>
            <w:tcW w:type="dxa" w:w="3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11,268,446,000 د.ل</w:t>
            </w:r>
          </w:p>
        </w:tc>
        <w:tc>
          <w:tcPr>
            <w:tcW w:type="dxa" w:w="22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 مطابق</w:t>
            </w:r>
          </w:p>
        </w:tc>
      </w:tr>
      <w:tr>
        <w:trPr>
          <w:cantSplit/>
        </w:trPr>
        <w:tc>
          <w:tcPr>
            <w:tcW w:type="dxa" w:w="36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قيمة التداول</w:t>
            </w:r>
          </w:p>
        </w:tc>
        <w:tc>
          <w:tcPr>
            <w:tcW w:type="dxa" w:w="3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75,118.300 د.ل</w:t>
            </w:r>
          </w:p>
        </w:tc>
        <w:tc>
          <w:tcPr>
            <w:tcW w:type="dxa" w:w="22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 مطابق</w:t>
            </w:r>
          </w:p>
        </w:tc>
      </w:tr>
      <w:tr>
        <w:trPr>
          <w:cantSplit/>
        </w:trPr>
        <w:tc>
          <w:tcPr>
            <w:tcW w:type="dxa" w:w="3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كمية التداول / عدد العمليات</w:t>
            </w:r>
          </w:p>
        </w:tc>
        <w:tc>
          <w:tcPr>
            <w:tcW w:type="dxa" w:w="3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8,412 / 7</w:t>
            </w:r>
          </w:p>
        </w:tc>
        <w:tc>
          <w:tcPr>
            <w:tcW w:type="dxa" w:w="22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 مطابق</w:t>
            </w:r>
          </w:p>
        </w:tc>
      </w:tr>
      <w:tr>
        <w:trPr>
          <w:cantSplit/>
        </w:trPr>
        <w:tc>
          <w:tcPr>
            <w:tcW w:type="dxa" w:w="36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المتداولة / المرتفعة / المنخفضة / الثابتة</w:t>
            </w:r>
          </w:p>
        </w:tc>
        <w:tc>
          <w:tcPr>
            <w:tcW w:type="dxa" w:w="32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3 / 0 / 1 / 2</w:t>
            </w:r>
          </w:p>
        </w:tc>
        <w:tc>
          <w:tcPr>
            <w:tcW w:type="dxa" w:w="22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 مطابق</w:t>
            </w:r>
          </w:p>
        </w:tc>
      </w:tr>
      <w:tr>
        <w:trPr>
          <w:cantSplit/>
        </w:trPr>
        <w:tc>
          <w:tcPr>
            <w:tcW w:type="dxa" w:w="36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المؤشر العام</w:t>
            </w:r>
          </w:p>
        </w:tc>
        <w:tc>
          <w:tcPr>
            <w:tcW w:type="dxa" w:w="32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1,134.57 (−4.47 نقطة، −0.39%)</w:t>
            </w:r>
          </w:p>
        </w:tc>
        <w:tc>
          <w:tcPr>
            <w:tcW w:type="dxa" w:w="22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pPr>
            <w:r>
              <w:rPr>
                <w:rFonts w:ascii="Arial" w:cs="Arial" w:hAnsi="Arial"/>
                <w:b w:val="false"/>
                <w:sz w:val="20"/>
                <w:szCs w:val="20"/>
                <w:rtl/>
              </w:rPr>
              <w:t xml:space="preserve">✔ مطابق</w:t>
            </w:r>
          </w:p>
        </w:tc>
      </w:tr>
    </w:tbl>
    <w:p>
      <w:pPr>
        <w:pStyle w:val="Heading2"/>
        <w:keepNext/>
        <w:bidi/>
        <w:spacing w:after="120" w:before="240"/>
      </w:pPr>
      <w:r>
        <w:rPr>
          <w:rFonts w:ascii="Arial" w:cs="Arial" w:hAnsi="Arial"/>
          <w:b/>
          <w:bCs/>
          <w:color w:val="1E2761"/>
          <w:sz w:val="26"/>
          <w:szCs w:val="26"/>
          <w:rtl/>
        </w:rPr>
        <w:t xml:space="preserve">عدد الأسهم المصدرة المشتق من التقرير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400"/>
        <w:gridCol w:w="2026"/>
        <w:gridCol w:w="1800"/>
      </w:tblGrid>
      <w:tr>
        <w:trPr>
          <w:tblHeader/>
        </w:trPr>
        <w:tc>
          <w:tcPr>
            <w:tcW w:type="dxa" w:w="9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الرمز</w:t>
            </w:r>
          </w:p>
        </w:tc>
        <w:tc>
          <w:tcPr>
            <w:tcW w:type="dxa" w:w="29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الشركة</w:t>
            </w:r>
          </w:p>
        </w:tc>
        <w:tc>
          <w:tcPr>
            <w:tcW w:type="dxa" w:w="14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سعر الإغلاق</w:t>
            </w:r>
          </w:p>
        </w:tc>
        <w:tc>
          <w:tcPr>
            <w:tcW w:type="dxa" w:w="2026"/>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القيمة السوقية</w:t>
            </w:r>
          </w:p>
        </w:tc>
        <w:tc>
          <w:tcPr>
            <w:tcW w:type="dxa" w:w="1800"/>
            <w:tcBorders>
              <w:top w:val="single" w:color="C9CEDF" w:sz="4"/>
              <w:left w:val="single" w:color="C9CEDF" w:sz="4"/>
              <w:bottom w:val="single" w:color="C9CEDF" w:sz="4"/>
              <w:right w:val="single" w:color="C9CEDF" w:sz="4"/>
            </w:tcBorders>
            <w:shd w:fill="1E2761" w:color="auto" w:val="clear"/>
            <w:tcMar>
              <w:top w:type="dxa" w:w="70"/>
              <w:left w:type="dxa" w:w="110"/>
              <w:bottom w:type="dxa" w:w="70"/>
              <w:right w:type="dxa" w:w="110"/>
            </w:tcMar>
            <w:vAlign w:val="center"/>
          </w:tcPr>
          <w:p>
            <w:pPr>
              <w:bidi/>
              <w:spacing w:after="0" w:line="276"/>
            </w:pPr>
            <w:r>
              <w:rPr>
                <w:rFonts w:ascii="Arial" w:cs="Arial" w:hAnsi="Arial"/>
                <w:b/>
                <w:bCs/>
                <w:color w:val="FFFFFF"/>
                <w:sz w:val="20"/>
                <w:szCs w:val="20"/>
                <w:rtl/>
              </w:rPr>
              <w:t xml:space="preserve">عدد الأسهم</w:t>
            </w:r>
          </w:p>
        </w:tc>
      </w:tr>
      <w:tr>
        <w:trPr>
          <w:cantSplit/>
        </w:trPr>
        <w:tc>
          <w:tcPr>
            <w:tcW w:type="dxa" w:w="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SB</w:t>
            </w:r>
          </w:p>
        </w:tc>
        <w:tc>
          <w:tcPr>
            <w:tcW w:type="dxa" w:w="2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مصرف الصحارى</w:t>
            </w:r>
          </w:p>
        </w:tc>
        <w:tc>
          <w:tcPr>
            <w:tcW w:type="dxa" w:w="1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12.27</w:t>
            </w:r>
          </w:p>
        </w:tc>
        <w:tc>
          <w:tcPr>
            <w:tcW w:type="dxa" w:w="2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463,806,000</w:t>
            </w:r>
          </w:p>
        </w:tc>
        <w:tc>
          <w:tcPr>
            <w:tcW w:type="dxa" w:w="1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37,800,000</w:t>
            </w:r>
          </w:p>
        </w:tc>
      </w:tr>
      <w:tr>
        <w:trPr>
          <w:cantSplit/>
        </w:trPr>
        <w:tc>
          <w:tcPr>
            <w:tcW w:type="dxa" w:w="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WB</w:t>
            </w:r>
          </w:p>
        </w:tc>
        <w:tc>
          <w:tcPr>
            <w:tcW w:type="dxa" w:w="2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مصرف الوحدة</w:t>
            </w:r>
          </w:p>
        </w:tc>
        <w:tc>
          <w:tcPr>
            <w:tcW w:type="dxa" w:w="1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14.51</w:t>
            </w:r>
          </w:p>
        </w:tc>
        <w:tc>
          <w:tcPr>
            <w:tcW w:type="dxa" w:w="2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2,321,600,000</w:t>
            </w:r>
          </w:p>
        </w:tc>
        <w:tc>
          <w:tcPr>
            <w:tcW w:type="dxa" w:w="1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160,000,000</w:t>
            </w:r>
          </w:p>
        </w:tc>
      </w:tr>
      <w:tr>
        <w:trPr>
          <w:cantSplit/>
        </w:trPr>
        <w:tc>
          <w:tcPr>
            <w:tcW w:type="dxa" w:w="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BCD</w:t>
            </w:r>
          </w:p>
        </w:tc>
        <w:tc>
          <w:tcPr>
            <w:tcW w:type="dxa" w:w="2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مصرف التجارة والتنمية</w:t>
            </w:r>
          </w:p>
        </w:tc>
        <w:tc>
          <w:tcPr>
            <w:tcW w:type="dxa" w:w="1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42.00</w:t>
            </w:r>
          </w:p>
        </w:tc>
        <w:tc>
          <w:tcPr>
            <w:tcW w:type="dxa" w:w="2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2,520,000,000</w:t>
            </w:r>
          </w:p>
        </w:tc>
        <w:tc>
          <w:tcPr>
            <w:tcW w:type="dxa" w:w="1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60,000,000</w:t>
            </w:r>
          </w:p>
        </w:tc>
      </w:tr>
      <w:tr>
        <w:trPr>
          <w:cantSplit/>
        </w:trPr>
        <w:tc>
          <w:tcPr>
            <w:tcW w:type="dxa" w:w="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NCB</w:t>
            </w:r>
          </w:p>
        </w:tc>
        <w:tc>
          <w:tcPr>
            <w:tcW w:type="dxa" w:w="2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المصرف التجاري الوطني</w:t>
            </w:r>
          </w:p>
        </w:tc>
        <w:tc>
          <w:tcPr>
            <w:tcW w:type="dxa" w:w="1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9.10</w:t>
            </w:r>
          </w:p>
        </w:tc>
        <w:tc>
          <w:tcPr>
            <w:tcW w:type="dxa" w:w="2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1,592,500,000</w:t>
            </w:r>
          </w:p>
        </w:tc>
        <w:tc>
          <w:tcPr>
            <w:tcW w:type="dxa" w:w="1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175,000,000</w:t>
            </w:r>
          </w:p>
        </w:tc>
      </w:tr>
      <w:tr>
        <w:trPr>
          <w:cantSplit/>
        </w:trPr>
        <w:tc>
          <w:tcPr>
            <w:tcW w:type="dxa" w:w="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GB</w:t>
            </w:r>
          </w:p>
        </w:tc>
        <w:tc>
          <w:tcPr>
            <w:tcW w:type="dxa" w:w="2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مصرف الجمهورية</w:t>
            </w:r>
          </w:p>
        </w:tc>
        <w:tc>
          <w:tcPr>
            <w:tcW w:type="dxa" w:w="1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7.50</w:t>
            </w:r>
          </w:p>
        </w:tc>
        <w:tc>
          <w:tcPr>
            <w:tcW w:type="dxa" w:w="2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2,250,000,000</w:t>
            </w:r>
          </w:p>
        </w:tc>
        <w:tc>
          <w:tcPr>
            <w:tcW w:type="dxa" w:w="1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300,000,000</w:t>
            </w:r>
          </w:p>
        </w:tc>
      </w:tr>
      <w:tr>
        <w:trPr>
          <w:cantSplit/>
        </w:trPr>
        <w:tc>
          <w:tcPr>
            <w:tcW w:type="dxa" w:w="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MED</w:t>
            </w:r>
          </w:p>
        </w:tc>
        <w:tc>
          <w:tcPr>
            <w:tcW w:type="dxa" w:w="2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مصرف المتوسط</w:t>
            </w:r>
          </w:p>
        </w:tc>
        <w:tc>
          <w:tcPr>
            <w:tcW w:type="dxa" w:w="1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12.00</w:t>
            </w:r>
          </w:p>
        </w:tc>
        <w:tc>
          <w:tcPr>
            <w:tcW w:type="dxa" w:w="2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600,000,000</w:t>
            </w:r>
          </w:p>
        </w:tc>
        <w:tc>
          <w:tcPr>
            <w:tcW w:type="dxa" w:w="1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50,000,000</w:t>
            </w:r>
          </w:p>
        </w:tc>
      </w:tr>
      <w:tr>
        <w:trPr>
          <w:cantSplit/>
        </w:trPr>
        <w:tc>
          <w:tcPr>
            <w:tcW w:type="dxa" w:w="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LIB</w:t>
            </w:r>
          </w:p>
        </w:tc>
        <w:tc>
          <w:tcPr>
            <w:tcW w:type="dxa" w:w="2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المصرف الإسلامي الليبي</w:t>
            </w:r>
          </w:p>
        </w:tc>
        <w:tc>
          <w:tcPr>
            <w:tcW w:type="dxa" w:w="1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246.63</w:t>
            </w:r>
          </w:p>
        </w:tc>
        <w:tc>
          <w:tcPr>
            <w:tcW w:type="dxa" w:w="2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1,233,150,000</w:t>
            </w:r>
          </w:p>
        </w:tc>
        <w:tc>
          <w:tcPr>
            <w:tcW w:type="dxa" w:w="1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5,000,000</w:t>
            </w:r>
          </w:p>
        </w:tc>
      </w:tr>
      <w:tr>
        <w:trPr>
          <w:cantSplit/>
        </w:trPr>
        <w:tc>
          <w:tcPr>
            <w:tcW w:type="dxa" w:w="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UIC</w:t>
            </w:r>
          </w:p>
        </w:tc>
        <w:tc>
          <w:tcPr>
            <w:tcW w:type="dxa" w:w="2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شركة المتحدة للتأمين</w:t>
            </w:r>
          </w:p>
        </w:tc>
        <w:tc>
          <w:tcPr>
            <w:tcW w:type="dxa" w:w="1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19.99</w:t>
            </w:r>
          </w:p>
        </w:tc>
        <w:tc>
          <w:tcPr>
            <w:tcW w:type="dxa" w:w="2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39,980,000</w:t>
            </w:r>
          </w:p>
        </w:tc>
        <w:tc>
          <w:tcPr>
            <w:tcW w:type="dxa" w:w="1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2,000,000</w:t>
            </w:r>
          </w:p>
        </w:tc>
      </w:tr>
      <w:tr>
        <w:trPr>
          <w:cantSplit/>
        </w:trPr>
        <w:tc>
          <w:tcPr>
            <w:tcW w:type="dxa" w:w="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LIC</w:t>
            </w:r>
          </w:p>
        </w:tc>
        <w:tc>
          <w:tcPr>
            <w:tcW w:type="dxa" w:w="2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شركة ليبيا للتأمين</w:t>
            </w:r>
          </w:p>
        </w:tc>
        <w:tc>
          <w:tcPr>
            <w:tcW w:type="dxa" w:w="1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9.50</w:t>
            </w:r>
          </w:p>
        </w:tc>
        <w:tc>
          <w:tcPr>
            <w:tcW w:type="dxa" w:w="2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66,500,000</w:t>
            </w:r>
          </w:p>
        </w:tc>
        <w:tc>
          <w:tcPr>
            <w:tcW w:type="dxa" w:w="1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7,000,000</w:t>
            </w:r>
          </w:p>
        </w:tc>
      </w:tr>
      <w:tr>
        <w:trPr>
          <w:cantSplit/>
        </w:trPr>
        <w:tc>
          <w:tcPr>
            <w:tcW w:type="dxa" w:w="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SIC</w:t>
            </w:r>
          </w:p>
        </w:tc>
        <w:tc>
          <w:tcPr>
            <w:tcW w:type="dxa" w:w="29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شركة الصحارى للتأمين</w:t>
            </w:r>
          </w:p>
        </w:tc>
        <w:tc>
          <w:tcPr>
            <w:tcW w:type="dxa" w:w="14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17.00</w:t>
            </w:r>
          </w:p>
        </w:tc>
        <w:tc>
          <w:tcPr>
            <w:tcW w:type="dxa" w:w="2026"/>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29,410,000</w:t>
            </w:r>
          </w:p>
        </w:tc>
        <w:tc>
          <w:tcPr>
            <w:tcW w:type="dxa" w:w="1800"/>
            <w:tcBorders>
              <w:top w:val="single" w:color="C9CEDF" w:sz="4"/>
              <w:left w:val="single" w:color="C9CEDF" w:sz="4"/>
              <w:bottom w:val="single" w:color="C9CEDF" w:sz="4"/>
              <w:right w:val="single" w:color="C9CEDF" w:sz="4"/>
            </w:tcBorders>
            <w:shd w:fill="F6F7FB"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1,730,000</w:t>
            </w:r>
          </w:p>
        </w:tc>
      </w:tr>
      <w:tr>
        <w:trPr>
          <w:cantSplit/>
        </w:trPr>
        <w:tc>
          <w:tcPr>
            <w:tcW w:type="dxa" w:w="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LSM</w:t>
            </w:r>
          </w:p>
        </w:tc>
        <w:tc>
          <w:tcPr>
            <w:tcW w:type="dxa" w:w="29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شركة سوق المال الليبي</w:t>
            </w:r>
          </w:p>
        </w:tc>
        <w:tc>
          <w:tcPr>
            <w:tcW w:type="dxa" w:w="14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30.30</w:t>
            </w:r>
          </w:p>
        </w:tc>
        <w:tc>
          <w:tcPr>
            <w:tcW w:type="dxa" w:w="2026"/>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151,500,000</w:t>
            </w:r>
          </w:p>
        </w:tc>
        <w:tc>
          <w:tcPr>
            <w:tcW w:type="dxa" w:w="1800"/>
            <w:tcBorders>
              <w:top w:val="single" w:color="C9CEDF" w:sz="4"/>
              <w:left w:val="single" w:color="C9CEDF" w:sz="4"/>
              <w:bottom w:val="single" w:color="C9CEDF" w:sz="4"/>
              <w:right w:val="single" w:color="C9CEDF" w:sz="4"/>
            </w:tcBorders>
            <w:shd w:fill="FFFFFF" w:color="auto" w:val="clear"/>
            <w:tcMar>
              <w:top w:type="dxa" w:w="70"/>
              <w:left w:type="dxa" w:w="110"/>
              <w:bottom w:type="dxa" w:w="70"/>
              <w:right w:type="dxa" w:w="110"/>
            </w:tcMar>
            <w:vAlign w:val="center"/>
          </w:tcPr>
          <w:p>
            <w:pPr>
              <w:bidi/>
              <w:spacing w:after="0" w:line="276"/>
              <w:jc w:val="center"/>
            </w:pPr>
            <w:r>
              <w:rPr>
                <w:rFonts w:ascii="Arial" w:cs="Arial" w:hAnsi="Arial"/>
                <w:b w:val="false"/>
                <w:sz w:val="20"/>
                <w:szCs w:val="20"/>
                <w:rtl/>
              </w:rPr>
              <w:t xml:space="preserve">5,000,000</w:t>
            </w:r>
          </w:p>
        </w:tc>
      </w:tr>
    </w:tbl>
    <w:p>
      <w:pPr>
        <w:pStyle w:val="Heading2"/>
        <w:keepNext/>
        <w:bidi/>
        <w:spacing w:after="120" w:before="240"/>
      </w:pPr>
      <w:r>
        <w:rPr>
          <w:rFonts w:ascii="Arial" w:cs="Arial" w:hAnsi="Arial"/>
          <w:b/>
          <w:bCs/>
          <w:color w:val="1E2761"/>
          <w:sz w:val="26"/>
          <w:szCs w:val="26"/>
          <w:rtl/>
        </w:rPr>
        <w:t xml:space="preserve">ملاحظات من التقرير</w:t>
      </w:r>
    </w:p>
    <w:p>
      <w:pPr>
        <w:pStyle w:val="ListParagraph"/>
        <w:numPr>
          <w:ilvl w:val="0"/>
          <w:numId w:val="2"/>
        </w:numPr>
        <w:bidi/>
        <w:spacing w:after="80" w:line="300"/>
      </w:pPr>
      <w:r>
        <w:rPr>
          <w:rFonts w:ascii="Arial" w:cs="Arial" w:hAnsi="Arial"/>
          <w:b/>
          <w:bCs/>
          <w:sz w:val="22"/>
          <w:szCs w:val="22"/>
          <w:rtl/>
        </w:rPr>
        <w:t xml:space="preserve">مصرف التجارة والتنمية (BCD)</w:t>
      </w:r>
      <w:r>
        <w:rPr>
          <w:rFonts w:ascii="Arial" w:cs="Arial" w:hAnsi="Arial"/>
          <w:sz w:val="22"/>
          <w:szCs w:val="22"/>
          <w:rtl/>
        </w:rPr>
        <w:t xml:space="preserve">: نُفّذت صفقة عند 41.00 وبقي سعر الإغلاق 42.00 بتغير 0% — لم يستوفِ التداول شرط تغيير سعر الإغلاق. الرقم صحيح.</w:t>
      </w:r>
    </w:p>
    <w:p>
      <w:pPr>
        <w:pStyle w:val="ListParagraph"/>
        <w:numPr>
          <w:ilvl w:val="0"/>
          <w:numId w:val="2"/>
        </w:numPr>
        <w:bidi/>
        <w:spacing w:after="80" w:line="300"/>
      </w:pPr>
      <w:r>
        <w:rPr>
          <w:rFonts w:ascii="Arial" w:cs="Arial" w:hAnsi="Arial"/>
          <w:b/>
          <w:bCs/>
          <w:sz w:val="22"/>
          <w:szCs w:val="22"/>
          <w:rtl/>
        </w:rPr>
        <w:t xml:space="preserve">تقريب القيم في PDF</w:t>
      </w:r>
      <w:r>
        <w:rPr>
          <w:rFonts w:ascii="Arial" w:cs="Arial" w:hAnsi="Arial"/>
          <w:sz w:val="22"/>
          <w:szCs w:val="22"/>
          <w:rtl/>
        </w:rPr>
        <w:t xml:space="preserve">: مجموع قيم الشركات المعروضة 75,119 مقابل إجمالي 75,118.300 بسبب التقريب (مثال: 3,058 × 9.10 = 27,827.80 تظهر 27,828). تستعيد المنظومة القيم الدقيقة؛ ويُفضَّل اعتماد ملف Excel مصدرًا.</w:t>
      </w:r>
    </w:p>
    <w:p>
      <w:pPr>
        <w:pStyle w:val="ListParagraph"/>
        <w:numPr>
          <w:ilvl w:val="0"/>
          <w:numId w:val="2"/>
        </w:numPr>
        <w:bidi/>
        <w:spacing w:after="80" w:line="300"/>
      </w:pPr>
      <w:r>
        <w:rPr>
          <w:rFonts w:ascii="Arial" w:cs="Arial" w:hAnsi="Arial"/>
          <w:b/>
          <w:bCs/>
          <w:sz w:val="22"/>
          <w:szCs w:val="22"/>
          <w:rtl/>
        </w:rPr>
        <w:t xml:space="preserve">دفتر الأوامر</w:t>
      </w:r>
      <w:r>
        <w:rPr>
          <w:rFonts w:ascii="Arial" w:cs="Arial" w:hAnsi="Arial"/>
          <w:sz w:val="22"/>
          <w:szCs w:val="22"/>
          <w:rtl/>
        </w:rPr>
        <w:t xml:space="preserve">: طلب على المصرف الإسلامي الليبي عند 295.95 (أعلى من الإغلاق بنحو 20%) دون بائع، وعرض على المتحدة للتأمين عند 16.00 (أقل من الإغلاق 19.99) دون مشترٍ — يُرجّح أن السبب حدود التذبذب اليومية.</w:t>
      </w:r>
    </w:p>
    <w:p>
      <w:pPr>
        <w:pStyle w:val="ListParagraph"/>
        <w:numPr>
          <w:ilvl w:val="0"/>
          <w:numId w:val="2"/>
        </w:numPr>
        <w:bidi/>
        <w:spacing w:after="80" w:line="300"/>
      </w:pPr>
      <w:r>
        <w:rPr>
          <w:rFonts w:ascii="Arial" w:cs="Arial" w:hAnsi="Arial"/>
          <w:b/>
          <w:bCs/>
          <w:sz w:val="22"/>
          <w:szCs w:val="22"/>
          <w:rtl/>
        </w:rPr>
        <w:t xml:space="preserve">القيمة السوقية انخفضت 0.92%</w:t>
      </w:r>
      <w:r>
        <w:rPr>
          <w:rFonts w:ascii="Arial" w:cs="Arial" w:hAnsi="Arial"/>
          <w:sz w:val="22"/>
          <w:szCs w:val="22"/>
          <w:rtl/>
        </w:rPr>
        <w:t xml:space="preserve"> بينما المؤشر انخفض 0.39%؛ أغلب الفرق من المصرف التجاري الوطني (−6.19%).</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0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bidi/>
    </w:pPr>
    <w:r>
      <w:rPr>
        <w:rFonts w:ascii="Arial" w:cs="Arial" w:hAnsi="Arial"/>
        <w:color w:val="5A6078"/>
        <w:sz w:val="17"/>
        <w:szCs w:val="17"/>
        <w:rtl/>
      </w:rPr>
      <w:t xml:space="preserve">سوق المال الليبي — دليل تركيب وتشغيل شاشة عرض الأسهم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rPr>
        <w:color w:val="C9A961"/>
      </w:rPr>
    </w:lvl>
    <w:lvl w:ilvl="1" w15:tentative="1">
      <w:start w:val="1"/>
      <w:numFmt w:val="bullet"/>
      <w:lvlText w:val="◦"/>
      <w:lvlJc w:val="right"/>
      <w:pPr>
        <w:ind w:left="1000" w:hanging="300"/>
      </w:pPr>
    </w:lvl>
  </w:abstractNum>
  <w:abstractNum w:abstractNumId="3" w15:restartNumberingAfterBreak="0">
    <w:multiLevelType w:val="hybridMultilevel"/>
    <w:lvl w:ilvl="0" w15:tentative="1">
      <w:start w:val="1"/>
      <w:numFmt w:val="decimal"/>
      <w:lvlText w:val="%1."/>
      <w:lvlJc w:val="right"/>
      <w:pPr>
        <w:ind w:left="560" w:hanging="360"/>
      </w:pPr>
      <w:rPr>
        <w:b/>
        <w:bCs/>
        <w:color w:val="1E2761"/>
      </w:rPr>
    </w:lvl>
  </w:abstractNum>
  <w:abstractNum w:abstractNumId="4" w15:restartNumberingAfterBreak="0">
    <w:multiLevelType w:val="hybridMultilevel"/>
    <w:lvl w:ilvl="0" w15:tentative="1">
      <w:start w:val="1"/>
      <w:numFmt w:val="decimal"/>
      <w:lvlText w:val="%1."/>
      <w:lvlJc w:val="right"/>
      <w:pPr>
        <w:ind w:left="560" w:hanging="360"/>
      </w:pPr>
      <w:rPr>
        <w:b/>
        <w:bCs/>
        <w:color w:val="1E2761"/>
      </w:rPr>
    </w:lvl>
  </w:abstractNum>
  <w:abstractNum w:abstractNumId="5" w15:restartNumberingAfterBreak="0">
    <w:multiLevelType w:val="hybridMultilevel"/>
    <w:lvl w:ilvl="0" w15:tentative="1">
      <w:start w:val="1"/>
      <w:numFmt w:val="decimal"/>
      <w:lvlText w:val="%1."/>
      <w:lvlJc w:val="right"/>
      <w:pPr>
        <w:ind w:left="560" w:hanging="360"/>
      </w:pPr>
      <w:rPr>
        <w:b/>
        <w:bCs/>
        <w:color w:val="1E2761"/>
      </w:rPr>
    </w:lvl>
  </w:abstractNum>
  <w:abstractNum w:abstractNumId="6" w15:restartNumberingAfterBreak="0">
    <w:multiLevelType w:val="hybridMultilevel"/>
    <w:lvl w:ilvl="0" w15:tentative="1">
      <w:start w:val="1"/>
      <w:numFmt w:val="decimal"/>
      <w:lvlText w:val="%1."/>
      <w:lvlJc w:val="right"/>
      <w:pPr>
        <w:ind w:left="560" w:hanging="360"/>
      </w:pPr>
      <w:rPr>
        <w:b/>
        <w:bCs/>
        <w:color w:val="1E2761"/>
      </w:rPr>
    </w:lvl>
  </w:abstractNum>
  <w:abstractNum w:abstractNumId="7" w15:restartNumberingAfterBreak="0">
    <w:multiLevelType w:val="hybridMultilevel"/>
    <w:lvl w:ilvl="0" w15:tentative="1">
      <w:start w:val="1"/>
      <w:numFmt w:val="decimal"/>
      <w:lvlText w:val="%1."/>
      <w:lvlJc w:val="right"/>
      <w:pPr>
        <w:ind w:left="560" w:hanging="360"/>
      </w:pPr>
      <w:rPr>
        <w:b/>
        <w:bCs/>
        <w:color w:val="1E2761"/>
      </w:rPr>
    </w:lvl>
  </w:abstractNum>
  <w:abstractNum w:abstractNumId="8" w15:restartNumberingAfterBreak="0">
    <w:multiLevelType w:val="hybridMultilevel"/>
    <w:lvl w:ilvl="0" w15:tentative="1">
      <w:start w:val="1"/>
      <w:numFmt w:val="decimal"/>
      <w:lvlText w:val="%1."/>
      <w:lvlJc w:val="right"/>
      <w:pPr>
        <w:ind w:left="560" w:hanging="360"/>
      </w:pPr>
      <w:rPr>
        <w:b/>
        <w:bCs/>
        <w:color w:val="1E2761"/>
      </w:rPr>
    </w:lvl>
  </w:abstractNum>
  <w:abstractNum w:abstractNumId="9" w15:restartNumberingAfterBreak="0">
    <w:multiLevelType w:val="hybridMultilevel"/>
    <w:lvl w:ilvl="0" w15:tentative="1">
      <w:start w:val="1"/>
      <w:numFmt w:val="decimal"/>
      <w:lvlText w:val="%1."/>
      <w:lvlJc w:val="right"/>
      <w:pPr>
        <w:ind w:left="560" w:hanging="360"/>
      </w:pPr>
      <w:rPr>
        <w:b/>
        <w:bCs/>
        <w:color w:val="1E2761"/>
      </w:rPr>
    </w:lvl>
  </w:abstractNum>
  <w:abstractNum w:abstractNumId="10" w15:restartNumberingAfterBreak="0">
    <w:multiLevelType w:val="hybridMultilevel"/>
    <w:lvl w:ilvl="0" w15:tentative="1">
      <w:start w:val="1"/>
      <w:numFmt w:val="decimal"/>
      <w:lvlText w:val="%1."/>
      <w:lvlJc w:val="right"/>
      <w:pPr>
        <w:ind w:left="560" w:hanging="360"/>
      </w:pPr>
      <w:rPr>
        <w:b/>
        <w:bCs/>
        <w:color w:val="1E2761"/>
      </w:rPr>
    </w:lvl>
  </w:abstractNum>
  <w:abstractNum w:abstractNumId="11" w15:restartNumberingAfterBreak="0">
    <w:multiLevelType w:val="hybridMultilevel"/>
    <w:lvl w:ilvl="0" w15:tentative="1">
      <w:start w:val="1"/>
      <w:numFmt w:val="decimal"/>
      <w:lvlText w:val="%1."/>
      <w:lvlJc w:val="right"/>
      <w:pPr>
        <w:ind w:left="560" w:hanging="360"/>
      </w:pPr>
      <w:rPr>
        <w:b/>
        <w:bCs/>
        <w:color w:val="1E2761"/>
      </w:rPr>
    </w:lvl>
  </w:abstractNum>
  <w:abstractNum w:abstractNumId="12" w15:restartNumberingAfterBreak="0">
    <w:multiLevelType w:val="hybridMultilevel"/>
    <w:lvl w:ilvl="0" w15:tentative="1">
      <w:start w:val="1"/>
      <w:numFmt w:val="decimal"/>
      <w:lvlText w:val="%1."/>
      <w:lvlJc w:val="right"/>
      <w:pPr>
        <w:ind w:left="560" w:hanging="360"/>
      </w:pPr>
      <w:rPr>
        <w:b/>
        <w:bCs/>
        <w:color w:val="1E2761"/>
      </w:rPr>
    </w:lvl>
  </w:abstractNum>
  <w:abstractNum w:abstractNumId="13" w15:restartNumberingAfterBreak="0">
    <w:multiLevelType w:val="hybridMultilevel"/>
    <w:lvl w:ilvl="0" w15:tentative="1">
      <w:start w:val="1"/>
      <w:numFmt w:val="decimal"/>
      <w:lvlText w:val="%1."/>
      <w:lvlJc w:val="right"/>
      <w:pPr>
        <w:ind w:left="560" w:hanging="360"/>
      </w:pPr>
      <w:rPr>
        <w:b/>
        <w:bCs/>
        <w:color w:val="1E2761"/>
      </w:rPr>
    </w:lvl>
  </w:abstractNum>
  <w:abstractNum w:abstractNumId="14" w15:restartNumberingAfterBreak="0">
    <w:multiLevelType w:val="hybridMultilevel"/>
    <w:lvl w:ilvl="0" w15:tentative="1">
      <w:start w:val="1"/>
      <w:numFmt w:val="decimal"/>
      <w:lvlText w:val="%1."/>
      <w:lvlJc w:val="right"/>
      <w:pPr>
        <w:ind w:left="560" w:hanging="360"/>
      </w:pPr>
      <w:rPr>
        <w:b/>
        <w:bCs/>
        <w:color w:val="1E276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E2761"/>
      <w:sz w:val="32"/>
      <w:szCs w:val="32"/>
    </w:rPr>
  </w:style>
  <w:style w:type="paragraph" w:styleId="Heading2">
    <w:name w:val="Heading 2"/>
    <w:basedOn w:val="Normal"/>
    <w:next w:val="Normal"/>
    <w:qFormat/>
    <w:pPr>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5e4da8f6014714b71c0a0072448d6658f47d8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تركيب وتشغيل شاشة عرض الأسهم</dc:title>
  <dc:creator>سوق المال الليبي</dc:creator>
  <dc:description>الإجراءات والبرامج المطلوبة لتشغيل شاشة عرض الأسهم ومنظومة التغذية</dc:description>
  <cp:lastModifiedBy>Un-named</cp:lastModifiedBy>
  <cp:revision>1</cp:revision>
  <dcterms:created xsi:type="dcterms:W3CDTF">2026-11-02T01:20:36.620Z</dcterms:created>
  <dcterms:modified xsi:type="dcterms:W3CDTF">2026-11-02T01:20:36.620Z</dcterms:modified>
</cp:coreProperties>
</file>

<file path=docProps/custom.xml><?xml version="1.0" encoding="utf-8"?>
<Properties xmlns="http://schemas.openxmlformats.org/officeDocument/2006/custom-properties" xmlns:vt="http://schemas.openxmlformats.org/officeDocument/2006/docPropsVTypes"/>
</file>