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E25F" w14:textId="77777777" w:rsidR="00AF5C7A" w:rsidRDefault="00FB1870">
      <w:pPr>
        <w:pStyle w:val="Title"/>
      </w:pPr>
      <w:r>
        <w:t>Computer Networks: Phase 2</w:t>
      </w:r>
      <w:r>
        <w:br/>
        <w:t>Poisoning, Retention and Legitimate Adaptation</w:t>
      </w:r>
      <w:r>
        <w:br/>
        <w:t>in Federated Continual Intrusion Detection</w:t>
      </w:r>
    </w:p>
    <w:p w14:paraId="14452B69" w14:textId="77777777" w:rsidR="00AF5C7A" w:rsidRDefault="00FB1870">
      <w:pPr>
        <w:pStyle w:val="Author"/>
      </w:pPr>
      <w:r>
        <w:t>Saneedullah (23I-2568) Ahmed Bilal (23I-2581)</w:t>
      </w:r>
    </w:p>
    <w:p w14:paraId="3C9F06E7" w14:textId="77777777" w:rsidR="00AF5C7A" w:rsidRDefault="00FB1870">
      <w:pPr>
        <w:pStyle w:val="Date"/>
      </w:pPr>
      <w:r>
        <w:t>8 October 2026</w:t>
      </w:r>
    </w:p>
    <w:p w14:paraId="3BD8A8C1" w14:textId="77777777" w:rsidR="00AF5C7A" w:rsidRDefault="00FB1870">
      <w:pPr>
        <w:pStyle w:val="Abstract"/>
      </w:pPr>
      <w:r>
        <w:t xml:space="preserve">Federated intrusion detectors must learn emerging attack families while retaining useful discrimination. Poisoned training labels can distort both acquisition and the memory used during subsequent adaptation. Existing studies establish clean federated class-incremental learning, client label-flipping susceptibility and </w:t>
      </w:r>
      <w:r>
        <w:t xml:space="preserve">uncertainty-driven memory selection, but provide limited joint evidence on source-specific damage after attacker withdrawal and the acquisition cost of admission defenses. We propose a controlled study using CICIDS2017, with CICIoT2023 as an external check. Five persistent clients train a common 128/64 multilayer perceptron using fine-tuning, EWC-style accumulated importance or DER++. An oblivious source-to-benign labeling intervention affects one client during the second supervised experience. </w:t>
      </w:r>
      <w:r>
        <w:t xml:space="preserve">Eligible-source doses, development pilots and paired clean controls determine whether the intervention is informative. We compare class-aware admission with global selection at matched client quotas, using unique-ID reservoir replay. Source recall and clean-matched targeted error test poisoning damage; new-family F1 measures adaptation; previously learned-family scores quantify collateral change. Twelve paired seeds, two declared Holm families, signed-rank tests and symmetry-qualified permutation intervals </w:t>
      </w:r>
      <w:r>
        <w:t>support analysis. The intended contribution is a reproducible security–adaptation protocol and a falsifiable admission heuristic. This proposal reports a design; experimental outcomes and deployment performance remain to be measured.</w:t>
      </w:r>
    </w:p>
    <w:p w14:paraId="01CECFFB" w14:textId="77777777" w:rsidR="00AF5C7A" w:rsidRDefault="00FB1870">
      <w:pPr>
        <w:pStyle w:val="FirstParagraph"/>
      </w:pPr>
      <w:r>
        <w:rPr>
          <w:b/>
          <w:bCs/>
        </w:rPr>
        <w:t>Keywords:</w:t>
      </w:r>
      <w:r>
        <w:t xml:space="preserve"> continual learning; federated IDS; label poisoning; replay memory; legitimate adaptation.</w:t>
      </w:r>
    </w:p>
    <w:p w14:paraId="760D77D1" w14:textId="77777777" w:rsidR="00AF5C7A" w:rsidRDefault="00FB1870">
      <w:pPr>
        <w:pStyle w:val="Heading11"/>
      </w:pPr>
      <w:bookmarkStart w:id="0" w:name="introduction-and-scope"/>
      <w:r>
        <w:t>Introduction and Scope</w:t>
      </w:r>
    </w:p>
    <w:p w14:paraId="7DBA9080" w14:textId="77777777" w:rsidR="00AF5C7A" w:rsidRDefault="00FB1870">
      <w:pPr>
        <w:pStyle w:val="FirstParagraph"/>
      </w:pPr>
      <w:r>
        <w:t>Attack families change. Learning incoming families can erase earlier discrimination, while replay preserves possibly corrupted examples. A federated detector inherits information from clients with different class support. We study client label corruption, continual memory and admission decisions.</w:t>
      </w:r>
    </w:p>
    <w:p w14:paraId="79466DEA" w14:textId="77777777" w:rsidR="00AF5C7A" w:rsidRDefault="00FB1870">
      <w:pPr>
        <w:pStyle w:val="BodyText"/>
      </w:pPr>
      <w:r>
        <w:t>Phase 1 identifies “Continual Learning for Network Security,” warns that “If clustering goes wrong, every later step is affected,” and records an assumption that “the coordinating server and all clients are honest.</w:t>
      </w:r>
      <w:r>
        <w:t>” Its adaptation-security gap concerns attackers who “specifically target the adaptation mechanism itself” [1]. Ge et al. investigate staged unknown-DoS discovery, Wu et al. combine federated class acquisition with compressed communication, and Luo et al. address RF authentication drift [2, 3, 4]. We retain the federated poisoning question, narrow resource evaluation to measured host and transmission costs, and defer drift-detector evasion and RF spoofing. Phase 1 remains unchanged.</w:t>
      </w:r>
    </w:p>
    <w:p w14:paraId="1DF3AE1C" w14:textId="77777777" w:rsidR="00AF5C7A" w:rsidRDefault="00FB1870">
      <w:pPr>
        <w:pStyle w:val="BodyText"/>
      </w:pPr>
      <w:r>
        <w:t xml:space="preserve">Our questions are explicit. </w:t>
      </w:r>
      <w:r>
        <w:rPr>
          <w:b/>
          <w:bCs/>
        </w:rPr>
        <w:t>RQ1:</w:t>
      </w:r>
      <w:r>
        <w:t xml:space="preserve"> how do fine-tuning, EWC-style importance and DER++ differ in immediate source-family recall damage and targeted error after poison withdrawal? </w:t>
      </w:r>
      <w:r>
        <w:rPr>
          <w:b/>
          <w:bCs/>
        </w:rPr>
        <w:t>RQ2:</w:t>
      </w:r>
      <w:r>
        <w:t xml:space="preserve"> does class-aware admission change those security outcomes and legitimate new-family acquisition compared with equally sized global admission? </w:t>
      </w:r>
      <w:r>
        <w:rPr>
          <w:b/>
          <w:bCs/>
        </w:rPr>
        <w:t>RQ3:</w:t>
      </w:r>
      <w:r>
        <w:t xml:space="preserve"> which memory and selection mechanisms explain the observed differences, and what measured computation and communication do they require?</w:t>
      </w:r>
    </w:p>
    <w:p w14:paraId="286B24A4" w14:textId="77777777" w:rsidR="00AF5C7A" w:rsidRDefault="00FB1870">
      <w:pPr>
        <w:pStyle w:val="BodyText"/>
      </w:pPr>
      <w:r>
        <w:t>The proposed study will simulate five flow clients and compare source-family damage with legitimate acquisition under matched admission volumes. Phase 2 establishes the literature basis, research gap, experimental protocol and methodology architecture; the reported performance figures belong to the cited studies.</w:t>
      </w:r>
    </w:p>
    <w:p w14:paraId="31697175" w14:textId="77777777" w:rsidR="00AF5C7A" w:rsidRDefault="00FB1870">
      <w:pPr>
        <w:pStyle w:val="Heading11"/>
      </w:pPr>
      <w:bookmarkStart w:id="1" w:name="deliverable-1-extended-literature-review"/>
      <w:bookmarkEnd w:id="0"/>
      <w:r>
        <w:t>Deliverable 1: Extended Literature Review</w:t>
      </w:r>
    </w:p>
    <w:p w14:paraId="35327317" w14:textId="77777777" w:rsidR="00AF5C7A" w:rsidRDefault="00FB1870">
      <w:pPr>
        <w:pStyle w:val="Heading21"/>
      </w:pPr>
      <w:bookmarkStart w:id="2" w:name="corpus-and-selection-criteria"/>
      <w:r>
        <w:t>Corpus and Selection Criteria</w:t>
      </w:r>
    </w:p>
    <w:p w14:paraId="6B760E2C" w14:textId="77777777" w:rsidR="00AF5C7A" w:rsidRDefault="00FB1870">
      <w:pPr>
        <w:pStyle w:val="FirstParagraph"/>
      </w:pPr>
      <w:r>
        <w:t>Seven additional original experimental papers from 2025–2026 have free manuscripts and verified publication records (Table 1). Older references supply methods only.</w:t>
      </w:r>
    </w:p>
    <w:p w14:paraId="2B0A9F81" w14:textId="77777777" w:rsidR="00AF5C7A" w:rsidRDefault="00FB1870">
      <w:pPr>
        <w:pStyle w:val="BodyText"/>
      </w:pPr>
      <w:r>
        <w:lastRenderedPageBreak/>
        <w:t>Clarivate released the 2025 JCR update on 18 June 2025 [5]. Journal quartiles below refer to the 2024 JIF category edition. Archived rows support these values; primary journal profiles remain unverified. DAC qualifies as peer-reviewed ACM/IEEE proceedings, without a journal quartile.</w:t>
      </w:r>
    </w:p>
    <w:p w14:paraId="5195D288" w14:textId="77777777" w:rsidR="00AF5C7A" w:rsidRDefault="00FB1870">
      <w:pPr>
        <w:pStyle w:val="BodyText"/>
        <w:keepNext/>
        <w:spacing w:before="140" w:after="80"/>
      </w:pPr>
      <w:r>
        <w:rPr>
          <w:b/>
          <w:bCs/>
        </w:rPr>
        <w:t>Table 1. Seven-paper corpus. IS means Computer Science, Information Systems; EM means Engineering, Multidisciplinary. Quartiles require the primary-profile check noted above.</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574"/>
        <w:gridCol w:w="2852"/>
        <w:gridCol w:w="1770"/>
        <w:gridCol w:w="1672"/>
        <w:gridCol w:w="1967"/>
      </w:tblGrid>
      <w:tr w:rsidR="00AF5C7A" w14:paraId="7BF1F2C5"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1574" w:type="dxa"/>
            <w:shd w:val="clear" w:color="auto" w:fill="DDE6EC"/>
            <w:tcMar>
              <w:top w:w="65" w:type="dxa"/>
              <w:left w:w="65" w:type="dxa"/>
              <w:bottom w:w="65" w:type="dxa"/>
              <w:right w:w="65" w:type="dxa"/>
            </w:tcMar>
            <w:vAlign w:val="center"/>
          </w:tcPr>
          <w:p w14:paraId="7BBA8DDC" w14:textId="77777777" w:rsidR="00AF5C7A" w:rsidRDefault="00FB1870">
            <w:pPr>
              <w:pStyle w:val="Compact"/>
              <w:keepNext/>
              <w:spacing w:before="20" w:after="40" w:line="245" w:lineRule="auto"/>
            </w:pPr>
            <w:r>
              <w:rPr>
                <w:b/>
                <w:sz w:val="19"/>
              </w:rPr>
              <w:t>Study</w:t>
            </w:r>
          </w:p>
        </w:tc>
        <w:tc>
          <w:tcPr>
            <w:tcW w:w="2852" w:type="dxa"/>
            <w:shd w:val="clear" w:color="auto" w:fill="DDE6EC"/>
            <w:tcMar>
              <w:top w:w="65" w:type="dxa"/>
              <w:left w:w="65" w:type="dxa"/>
              <w:bottom w:w="65" w:type="dxa"/>
              <w:right w:w="65" w:type="dxa"/>
            </w:tcMar>
            <w:vAlign w:val="center"/>
          </w:tcPr>
          <w:p w14:paraId="3EE124B0" w14:textId="77777777" w:rsidR="00AF5C7A" w:rsidRDefault="00FB1870">
            <w:pPr>
              <w:pStyle w:val="Compact"/>
              <w:keepNext/>
              <w:spacing w:before="20" w:after="40" w:line="245" w:lineRule="auto"/>
            </w:pPr>
            <w:r>
              <w:rPr>
                <w:b/>
                <w:sz w:val="19"/>
              </w:rPr>
              <w:t>Venue / publisher</w:t>
            </w:r>
          </w:p>
        </w:tc>
        <w:tc>
          <w:tcPr>
            <w:tcW w:w="1770" w:type="dxa"/>
            <w:shd w:val="clear" w:color="auto" w:fill="DDE6EC"/>
            <w:tcMar>
              <w:top w:w="65" w:type="dxa"/>
              <w:left w:w="65" w:type="dxa"/>
              <w:bottom w:w="65" w:type="dxa"/>
              <w:right w:w="65" w:type="dxa"/>
            </w:tcMar>
            <w:vAlign w:val="center"/>
          </w:tcPr>
          <w:p w14:paraId="5E493FD7" w14:textId="77777777" w:rsidR="00AF5C7A" w:rsidRDefault="00FB1870">
            <w:pPr>
              <w:pStyle w:val="Compact"/>
              <w:keepNext/>
              <w:spacing w:before="20" w:after="40" w:line="245" w:lineRule="auto"/>
            </w:pPr>
            <w:r>
              <w:rPr>
                <w:b/>
                <w:sz w:val="19"/>
              </w:rPr>
              <w:t>Year; access version</w:t>
            </w:r>
          </w:p>
        </w:tc>
        <w:tc>
          <w:tcPr>
            <w:tcW w:w="1672" w:type="dxa"/>
            <w:shd w:val="clear" w:color="auto" w:fill="DDE6EC"/>
            <w:tcMar>
              <w:top w:w="65" w:type="dxa"/>
              <w:left w:w="65" w:type="dxa"/>
              <w:bottom w:w="65" w:type="dxa"/>
              <w:right w:w="65" w:type="dxa"/>
            </w:tcMar>
            <w:vAlign w:val="center"/>
          </w:tcPr>
          <w:p w14:paraId="3B22F505" w14:textId="77777777" w:rsidR="00AF5C7A" w:rsidRDefault="00FB1870">
            <w:pPr>
              <w:pStyle w:val="Compact"/>
              <w:keepNext/>
              <w:spacing w:before="20" w:after="40" w:line="245" w:lineRule="auto"/>
            </w:pPr>
            <w:r>
              <w:rPr>
                <w:b/>
                <w:sz w:val="19"/>
              </w:rPr>
              <w:t>Category; quartile; edition</w:t>
            </w:r>
          </w:p>
        </w:tc>
        <w:tc>
          <w:tcPr>
            <w:tcW w:w="1967" w:type="dxa"/>
            <w:shd w:val="clear" w:color="auto" w:fill="DDE6EC"/>
            <w:tcMar>
              <w:top w:w="65" w:type="dxa"/>
              <w:left w:w="65" w:type="dxa"/>
              <w:bottom w:w="65" w:type="dxa"/>
              <w:right w:w="65" w:type="dxa"/>
            </w:tcMar>
            <w:vAlign w:val="center"/>
          </w:tcPr>
          <w:p w14:paraId="471E9975" w14:textId="77777777" w:rsidR="00AF5C7A" w:rsidRDefault="00FB1870">
            <w:pPr>
              <w:pStyle w:val="Compact"/>
              <w:keepNext/>
              <w:spacing w:before="20" w:after="40" w:line="245" w:lineRule="auto"/>
            </w:pPr>
            <w:r>
              <w:rPr>
                <w:b/>
                <w:sz w:val="19"/>
              </w:rPr>
              <w:t>Protocol role</w:t>
            </w:r>
          </w:p>
        </w:tc>
      </w:tr>
      <w:tr w:rsidR="00AF5C7A" w14:paraId="32D59DA9" w14:textId="77777777" w:rsidTr="00AF5C7A">
        <w:trPr>
          <w:cantSplit/>
        </w:trPr>
        <w:tc>
          <w:tcPr>
            <w:tcW w:w="1574" w:type="dxa"/>
            <w:shd w:val="clear" w:color="auto" w:fill="FFFFFF"/>
            <w:tcMar>
              <w:top w:w="65" w:type="dxa"/>
              <w:left w:w="65" w:type="dxa"/>
              <w:bottom w:w="65" w:type="dxa"/>
              <w:right w:w="65" w:type="dxa"/>
            </w:tcMar>
            <w:vAlign w:val="center"/>
          </w:tcPr>
          <w:p w14:paraId="0BFB6488" w14:textId="77777777" w:rsidR="00AF5C7A" w:rsidRDefault="00FB1870">
            <w:pPr>
              <w:pStyle w:val="Compact"/>
              <w:keepNext/>
              <w:spacing w:before="20" w:after="40" w:line="245" w:lineRule="auto"/>
            </w:pPr>
            <w:r>
              <w:rPr>
                <w:sz w:val="19"/>
              </w:rPr>
              <w:t>Carillo et al. [6]</w:t>
            </w:r>
          </w:p>
        </w:tc>
        <w:tc>
          <w:tcPr>
            <w:tcW w:w="2852" w:type="dxa"/>
            <w:shd w:val="clear" w:color="auto" w:fill="FFFFFF"/>
            <w:tcMar>
              <w:top w:w="65" w:type="dxa"/>
              <w:left w:w="65" w:type="dxa"/>
              <w:bottom w:w="65" w:type="dxa"/>
              <w:right w:w="65" w:type="dxa"/>
            </w:tcMar>
            <w:vAlign w:val="center"/>
          </w:tcPr>
          <w:p w14:paraId="464C7DB6" w14:textId="77777777" w:rsidR="00AF5C7A" w:rsidRDefault="00FB1870">
            <w:pPr>
              <w:pStyle w:val="Compact"/>
              <w:keepNext/>
              <w:spacing w:before="20" w:after="40" w:line="245" w:lineRule="auto"/>
            </w:pPr>
            <w:r>
              <w:rPr>
                <w:sz w:val="19"/>
              </w:rPr>
              <w:t>IEEE Transactions on Network and Service Management</w:t>
            </w:r>
          </w:p>
        </w:tc>
        <w:tc>
          <w:tcPr>
            <w:tcW w:w="1770" w:type="dxa"/>
            <w:shd w:val="clear" w:color="auto" w:fill="FFFFFF"/>
            <w:tcMar>
              <w:top w:w="65" w:type="dxa"/>
              <w:left w:w="65" w:type="dxa"/>
              <w:bottom w:w="65" w:type="dxa"/>
              <w:right w:w="65" w:type="dxa"/>
            </w:tcMar>
            <w:vAlign w:val="center"/>
          </w:tcPr>
          <w:p w14:paraId="7F7F93D1" w14:textId="77777777" w:rsidR="00AF5C7A" w:rsidRDefault="00FB1870">
            <w:pPr>
              <w:pStyle w:val="Compact"/>
              <w:keepNext/>
              <w:spacing w:before="20" w:after="40" w:line="245" w:lineRule="auto"/>
            </w:pPr>
            <w:r>
              <w:rPr>
                <w:sz w:val="19"/>
              </w:rPr>
              <w:t>2026; author</w:t>
            </w:r>
          </w:p>
        </w:tc>
        <w:tc>
          <w:tcPr>
            <w:tcW w:w="1672" w:type="dxa"/>
            <w:shd w:val="clear" w:color="auto" w:fill="FFFFFF"/>
            <w:tcMar>
              <w:top w:w="65" w:type="dxa"/>
              <w:left w:w="65" w:type="dxa"/>
              <w:bottom w:w="65" w:type="dxa"/>
              <w:right w:w="65" w:type="dxa"/>
            </w:tcMar>
            <w:vAlign w:val="center"/>
          </w:tcPr>
          <w:p w14:paraId="5C56BDEC" w14:textId="77777777" w:rsidR="00AF5C7A" w:rsidRDefault="00FB1870">
            <w:pPr>
              <w:pStyle w:val="Compact"/>
              <w:keepNext/>
              <w:spacing w:before="20" w:after="40" w:line="245" w:lineRule="auto"/>
            </w:pPr>
            <w:r>
              <w:rPr>
                <w:sz w:val="19"/>
              </w:rPr>
              <w:t>IS; Q1; JCR 2025</w:t>
            </w:r>
          </w:p>
        </w:tc>
        <w:tc>
          <w:tcPr>
            <w:tcW w:w="1967" w:type="dxa"/>
            <w:shd w:val="clear" w:color="auto" w:fill="FFFFFF"/>
            <w:tcMar>
              <w:top w:w="65" w:type="dxa"/>
              <w:left w:w="65" w:type="dxa"/>
              <w:bottom w:w="65" w:type="dxa"/>
              <w:right w:w="65" w:type="dxa"/>
            </w:tcMar>
            <w:vAlign w:val="center"/>
          </w:tcPr>
          <w:p w14:paraId="06C0F076" w14:textId="77777777" w:rsidR="00AF5C7A" w:rsidRDefault="00FB1870">
            <w:pPr>
              <w:pStyle w:val="Compact"/>
              <w:keepNext/>
              <w:spacing w:before="20" w:after="40" w:line="245" w:lineRule="auto"/>
            </w:pPr>
            <w:r>
              <w:rPr>
                <w:sz w:val="19"/>
              </w:rPr>
              <w:t>Clean federated CIL</w:t>
            </w:r>
          </w:p>
        </w:tc>
      </w:tr>
      <w:tr w:rsidR="00AF5C7A" w14:paraId="6A8B2A29" w14:textId="77777777" w:rsidTr="00AF5C7A">
        <w:trPr>
          <w:cantSplit/>
        </w:trPr>
        <w:tc>
          <w:tcPr>
            <w:tcW w:w="1574" w:type="dxa"/>
            <w:shd w:val="clear" w:color="auto" w:fill="F5F7F9"/>
            <w:tcMar>
              <w:top w:w="65" w:type="dxa"/>
              <w:left w:w="65" w:type="dxa"/>
              <w:bottom w:w="65" w:type="dxa"/>
              <w:right w:w="65" w:type="dxa"/>
            </w:tcMar>
            <w:vAlign w:val="center"/>
          </w:tcPr>
          <w:p w14:paraId="480E181D" w14:textId="77777777" w:rsidR="00AF5C7A" w:rsidRDefault="00FB1870">
            <w:pPr>
              <w:pStyle w:val="Compact"/>
              <w:keepNext/>
              <w:spacing w:before="20" w:after="40" w:line="245" w:lineRule="auto"/>
            </w:pPr>
            <w:r>
              <w:rPr>
                <w:sz w:val="19"/>
              </w:rPr>
              <w:t>Lavaur et al. [7]</w:t>
            </w:r>
          </w:p>
        </w:tc>
        <w:tc>
          <w:tcPr>
            <w:tcW w:w="2852" w:type="dxa"/>
            <w:shd w:val="clear" w:color="auto" w:fill="F5F7F9"/>
            <w:tcMar>
              <w:top w:w="65" w:type="dxa"/>
              <w:left w:w="65" w:type="dxa"/>
              <w:bottom w:w="65" w:type="dxa"/>
              <w:right w:w="65" w:type="dxa"/>
            </w:tcMar>
            <w:vAlign w:val="center"/>
          </w:tcPr>
          <w:p w14:paraId="5FBFE175" w14:textId="77777777" w:rsidR="00AF5C7A" w:rsidRDefault="00FB1870">
            <w:pPr>
              <w:pStyle w:val="Compact"/>
              <w:keepNext/>
              <w:spacing w:before="20" w:after="40" w:line="245" w:lineRule="auto"/>
            </w:pPr>
            <w:r>
              <w:rPr>
                <w:sz w:val="19"/>
              </w:rPr>
              <w:t>Computers &amp; Security; Elsevier</w:t>
            </w:r>
          </w:p>
        </w:tc>
        <w:tc>
          <w:tcPr>
            <w:tcW w:w="1770" w:type="dxa"/>
            <w:shd w:val="clear" w:color="auto" w:fill="F5F7F9"/>
            <w:tcMar>
              <w:top w:w="65" w:type="dxa"/>
              <w:left w:w="65" w:type="dxa"/>
              <w:bottom w:w="65" w:type="dxa"/>
              <w:right w:w="65" w:type="dxa"/>
            </w:tcMar>
            <w:vAlign w:val="center"/>
          </w:tcPr>
          <w:p w14:paraId="5F3925EF" w14:textId="77777777" w:rsidR="00AF5C7A" w:rsidRDefault="00FB1870">
            <w:pPr>
              <w:pStyle w:val="Compact"/>
              <w:keepNext/>
              <w:spacing w:before="20" w:after="40" w:line="245" w:lineRule="auto"/>
            </w:pPr>
            <w:r>
              <w:rPr>
                <w:sz w:val="19"/>
              </w:rPr>
              <w:t>2025; institutional author</w:t>
            </w:r>
          </w:p>
        </w:tc>
        <w:tc>
          <w:tcPr>
            <w:tcW w:w="1672" w:type="dxa"/>
            <w:shd w:val="clear" w:color="auto" w:fill="F5F7F9"/>
            <w:tcMar>
              <w:top w:w="65" w:type="dxa"/>
              <w:left w:w="65" w:type="dxa"/>
              <w:bottom w:w="65" w:type="dxa"/>
              <w:right w:w="65" w:type="dxa"/>
            </w:tcMar>
            <w:vAlign w:val="center"/>
          </w:tcPr>
          <w:p w14:paraId="2E713943" w14:textId="77777777" w:rsidR="00AF5C7A" w:rsidRDefault="00FB1870">
            <w:pPr>
              <w:pStyle w:val="Compact"/>
              <w:keepNext/>
              <w:spacing w:before="20" w:after="40" w:line="245" w:lineRule="auto"/>
            </w:pPr>
            <w:r>
              <w:rPr>
                <w:sz w:val="19"/>
              </w:rPr>
              <w:t>IS; Q1; JCR 2025</w:t>
            </w:r>
          </w:p>
        </w:tc>
        <w:tc>
          <w:tcPr>
            <w:tcW w:w="1967" w:type="dxa"/>
            <w:shd w:val="clear" w:color="auto" w:fill="F5F7F9"/>
            <w:tcMar>
              <w:top w:w="65" w:type="dxa"/>
              <w:left w:w="65" w:type="dxa"/>
              <w:bottom w:w="65" w:type="dxa"/>
              <w:right w:w="65" w:type="dxa"/>
            </w:tcMar>
            <w:vAlign w:val="center"/>
          </w:tcPr>
          <w:p w14:paraId="48AE8759" w14:textId="77777777" w:rsidR="00AF5C7A" w:rsidRDefault="00FB1870">
            <w:pPr>
              <w:pStyle w:val="Compact"/>
              <w:keepNext/>
              <w:spacing w:before="20" w:after="40" w:line="245" w:lineRule="auto"/>
            </w:pPr>
            <w:r>
              <w:rPr>
                <w:sz w:val="19"/>
              </w:rPr>
              <w:t>Label-flip controls</w:t>
            </w:r>
          </w:p>
        </w:tc>
      </w:tr>
      <w:tr w:rsidR="00AF5C7A" w14:paraId="66470912" w14:textId="77777777" w:rsidTr="00AF5C7A">
        <w:trPr>
          <w:cantSplit/>
        </w:trPr>
        <w:tc>
          <w:tcPr>
            <w:tcW w:w="1574" w:type="dxa"/>
            <w:shd w:val="clear" w:color="auto" w:fill="FFFFFF"/>
            <w:tcMar>
              <w:top w:w="65" w:type="dxa"/>
              <w:left w:w="65" w:type="dxa"/>
              <w:bottom w:w="65" w:type="dxa"/>
              <w:right w:w="65" w:type="dxa"/>
            </w:tcMar>
            <w:vAlign w:val="center"/>
          </w:tcPr>
          <w:p w14:paraId="77DD5603" w14:textId="77777777" w:rsidR="00AF5C7A" w:rsidRDefault="00FB1870">
            <w:pPr>
              <w:pStyle w:val="Compact"/>
              <w:keepNext/>
              <w:spacing w:before="20" w:after="40" w:line="245" w:lineRule="auto"/>
            </w:pPr>
            <w:r>
              <w:rPr>
                <w:sz w:val="19"/>
              </w:rPr>
              <w:t>Fuhrman et al. [8]</w:t>
            </w:r>
          </w:p>
        </w:tc>
        <w:tc>
          <w:tcPr>
            <w:tcW w:w="2852" w:type="dxa"/>
            <w:shd w:val="clear" w:color="auto" w:fill="FFFFFF"/>
            <w:tcMar>
              <w:top w:w="65" w:type="dxa"/>
              <w:left w:w="65" w:type="dxa"/>
              <w:bottom w:w="65" w:type="dxa"/>
              <w:right w:w="65" w:type="dxa"/>
            </w:tcMar>
            <w:vAlign w:val="center"/>
          </w:tcPr>
          <w:p w14:paraId="0139993F" w14:textId="77777777" w:rsidR="00AF5C7A" w:rsidRDefault="00FB1870">
            <w:pPr>
              <w:pStyle w:val="Compact"/>
              <w:keepNext/>
              <w:spacing w:before="20" w:after="40" w:line="245" w:lineRule="auto"/>
            </w:pPr>
            <w:r>
              <w:rPr>
                <w:sz w:val="19"/>
              </w:rPr>
              <w:t>62nd ACM/IEEE DAC</w:t>
            </w:r>
          </w:p>
        </w:tc>
        <w:tc>
          <w:tcPr>
            <w:tcW w:w="1770" w:type="dxa"/>
            <w:shd w:val="clear" w:color="auto" w:fill="FFFFFF"/>
            <w:tcMar>
              <w:top w:w="65" w:type="dxa"/>
              <w:left w:w="65" w:type="dxa"/>
              <w:bottom w:w="65" w:type="dxa"/>
              <w:right w:w="65" w:type="dxa"/>
            </w:tcMar>
            <w:vAlign w:val="center"/>
          </w:tcPr>
          <w:p w14:paraId="19B8A596" w14:textId="77777777" w:rsidR="00AF5C7A" w:rsidRDefault="00FB1870">
            <w:pPr>
              <w:pStyle w:val="Compact"/>
              <w:keepNext/>
              <w:spacing w:before="20" w:after="40" w:line="245" w:lineRule="auto"/>
            </w:pPr>
            <w:r>
              <w:rPr>
                <w:sz w:val="19"/>
              </w:rPr>
              <w:t>2025; arXiv author</w:t>
            </w:r>
          </w:p>
        </w:tc>
        <w:tc>
          <w:tcPr>
            <w:tcW w:w="1672" w:type="dxa"/>
            <w:shd w:val="clear" w:color="auto" w:fill="FFFFFF"/>
            <w:tcMar>
              <w:top w:w="65" w:type="dxa"/>
              <w:left w:w="65" w:type="dxa"/>
              <w:bottom w:w="65" w:type="dxa"/>
              <w:right w:w="65" w:type="dxa"/>
            </w:tcMar>
            <w:vAlign w:val="center"/>
          </w:tcPr>
          <w:p w14:paraId="5BB51899" w14:textId="77777777" w:rsidR="00AF5C7A" w:rsidRDefault="00FB1870">
            <w:pPr>
              <w:pStyle w:val="Compact"/>
              <w:keepNext/>
              <w:spacing w:before="20" w:after="40" w:line="245" w:lineRule="auto"/>
            </w:pPr>
            <w:r>
              <w:rPr>
                <w:sz w:val="19"/>
              </w:rPr>
              <w:t xml:space="preserve">Proceedings; quartile </w:t>
            </w:r>
            <m:oMath>
              <m:r>
                <m:rPr>
                  <m:sty m:val="p"/>
                </m:rPr>
                <w:rPr>
                  <w:rFonts w:ascii="Cambria Math" w:hAnsi="Cambria Math"/>
                </w:rPr>
                <m:t>N/A</m:t>
              </m:r>
            </m:oMath>
          </w:p>
        </w:tc>
        <w:tc>
          <w:tcPr>
            <w:tcW w:w="1967" w:type="dxa"/>
            <w:shd w:val="clear" w:color="auto" w:fill="FFFFFF"/>
            <w:tcMar>
              <w:top w:w="65" w:type="dxa"/>
              <w:left w:w="65" w:type="dxa"/>
              <w:bottom w:w="65" w:type="dxa"/>
              <w:right w:w="65" w:type="dxa"/>
            </w:tcMar>
            <w:vAlign w:val="center"/>
          </w:tcPr>
          <w:p w14:paraId="4D7D9842" w14:textId="77777777" w:rsidR="00AF5C7A" w:rsidRDefault="00FB1870">
            <w:pPr>
              <w:pStyle w:val="Compact"/>
              <w:keepNext/>
              <w:spacing w:before="20" w:after="40" w:line="245" w:lineRule="auto"/>
            </w:pPr>
            <w:r>
              <w:rPr>
                <w:sz w:val="19"/>
              </w:rPr>
              <w:t>Novelty detection</w:t>
            </w:r>
          </w:p>
        </w:tc>
      </w:tr>
      <w:tr w:rsidR="00AF5C7A" w14:paraId="21E4C15A" w14:textId="77777777" w:rsidTr="00AF5C7A">
        <w:trPr>
          <w:cantSplit/>
        </w:trPr>
        <w:tc>
          <w:tcPr>
            <w:tcW w:w="1574" w:type="dxa"/>
            <w:shd w:val="clear" w:color="auto" w:fill="F5F7F9"/>
            <w:tcMar>
              <w:top w:w="65" w:type="dxa"/>
              <w:left w:w="65" w:type="dxa"/>
              <w:bottom w:w="65" w:type="dxa"/>
              <w:right w:w="65" w:type="dxa"/>
            </w:tcMar>
            <w:vAlign w:val="center"/>
          </w:tcPr>
          <w:p w14:paraId="4E33E35C" w14:textId="77777777" w:rsidR="00AF5C7A" w:rsidRDefault="00FB1870">
            <w:pPr>
              <w:pStyle w:val="Compact"/>
              <w:keepNext/>
              <w:spacing w:before="20" w:after="40" w:line="245" w:lineRule="auto"/>
            </w:pPr>
            <w:r>
              <w:rPr>
                <w:sz w:val="19"/>
              </w:rPr>
              <w:t>Sameera et al. [9]</w:t>
            </w:r>
          </w:p>
        </w:tc>
        <w:tc>
          <w:tcPr>
            <w:tcW w:w="2852" w:type="dxa"/>
            <w:shd w:val="clear" w:color="auto" w:fill="F5F7F9"/>
            <w:tcMar>
              <w:top w:w="65" w:type="dxa"/>
              <w:left w:w="65" w:type="dxa"/>
              <w:bottom w:w="65" w:type="dxa"/>
              <w:right w:w="65" w:type="dxa"/>
            </w:tcMar>
            <w:vAlign w:val="center"/>
          </w:tcPr>
          <w:p w14:paraId="37A628DF" w14:textId="77777777" w:rsidR="00AF5C7A" w:rsidRDefault="00FB1870">
            <w:pPr>
              <w:pStyle w:val="Compact"/>
              <w:keepNext/>
              <w:spacing w:before="20" w:after="40" w:line="245" w:lineRule="auto"/>
            </w:pPr>
            <w:r>
              <w:rPr>
                <w:sz w:val="19"/>
              </w:rPr>
              <w:t>Journal of Information Security and Applications; Elsevier</w:t>
            </w:r>
          </w:p>
        </w:tc>
        <w:tc>
          <w:tcPr>
            <w:tcW w:w="1770" w:type="dxa"/>
            <w:shd w:val="clear" w:color="auto" w:fill="F5F7F9"/>
            <w:tcMar>
              <w:top w:w="65" w:type="dxa"/>
              <w:left w:w="65" w:type="dxa"/>
              <w:bottom w:w="65" w:type="dxa"/>
              <w:right w:w="65" w:type="dxa"/>
            </w:tcMar>
            <w:vAlign w:val="center"/>
          </w:tcPr>
          <w:p w14:paraId="7C7AD4CA" w14:textId="77777777" w:rsidR="00AF5C7A" w:rsidRDefault="00FB1870">
            <w:pPr>
              <w:pStyle w:val="Compact"/>
              <w:keepNext/>
              <w:spacing w:before="20" w:after="40" w:line="245" w:lineRule="auto"/>
            </w:pPr>
            <w:r>
              <w:rPr>
                <w:sz w:val="19"/>
              </w:rPr>
              <w:t>2025; arXiv v2</w:t>
            </w:r>
          </w:p>
        </w:tc>
        <w:tc>
          <w:tcPr>
            <w:tcW w:w="1672" w:type="dxa"/>
            <w:shd w:val="clear" w:color="auto" w:fill="F5F7F9"/>
            <w:tcMar>
              <w:top w:w="65" w:type="dxa"/>
              <w:left w:w="65" w:type="dxa"/>
              <w:bottom w:w="65" w:type="dxa"/>
              <w:right w:w="65" w:type="dxa"/>
            </w:tcMar>
            <w:vAlign w:val="center"/>
          </w:tcPr>
          <w:p w14:paraId="0F424B29" w14:textId="77777777" w:rsidR="00AF5C7A" w:rsidRDefault="00FB1870">
            <w:pPr>
              <w:pStyle w:val="Compact"/>
              <w:keepNext/>
              <w:spacing w:before="20" w:after="40" w:line="245" w:lineRule="auto"/>
            </w:pPr>
            <w:r>
              <w:rPr>
                <w:sz w:val="19"/>
              </w:rPr>
              <w:t>IS; Q2; JCR 2025</w:t>
            </w:r>
          </w:p>
        </w:tc>
        <w:tc>
          <w:tcPr>
            <w:tcW w:w="1967" w:type="dxa"/>
            <w:shd w:val="clear" w:color="auto" w:fill="F5F7F9"/>
            <w:tcMar>
              <w:top w:w="65" w:type="dxa"/>
              <w:left w:w="65" w:type="dxa"/>
              <w:bottom w:w="65" w:type="dxa"/>
              <w:right w:w="65" w:type="dxa"/>
            </w:tcMar>
            <w:vAlign w:val="center"/>
          </w:tcPr>
          <w:p w14:paraId="7D4A2E72" w14:textId="77777777" w:rsidR="00AF5C7A" w:rsidRDefault="00FB1870">
            <w:pPr>
              <w:pStyle w:val="Compact"/>
              <w:keepNext/>
              <w:spacing w:before="20" w:after="40" w:line="245" w:lineRule="auto"/>
            </w:pPr>
            <w:r>
              <w:rPr>
                <w:sz w:val="19"/>
              </w:rPr>
              <w:t>Server validation gate</w:t>
            </w:r>
          </w:p>
        </w:tc>
      </w:tr>
      <w:tr w:rsidR="00AF5C7A" w14:paraId="4462FB54" w14:textId="77777777" w:rsidTr="00AF5C7A">
        <w:trPr>
          <w:cantSplit/>
        </w:trPr>
        <w:tc>
          <w:tcPr>
            <w:tcW w:w="1574" w:type="dxa"/>
            <w:shd w:val="clear" w:color="auto" w:fill="FFFFFF"/>
            <w:tcMar>
              <w:top w:w="65" w:type="dxa"/>
              <w:left w:w="65" w:type="dxa"/>
              <w:bottom w:w="65" w:type="dxa"/>
              <w:right w:w="65" w:type="dxa"/>
            </w:tcMar>
            <w:vAlign w:val="center"/>
          </w:tcPr>
          <w:p w14:paraId="5FDA6FF0" w14:textId="77777777" w:rsidR="00AF5C7A" w:rsidRDefault="00FB1870">
            <w:pPr>
              <w:pStyle w:val="Compact"/>
              <w:keepNext/>
              <w:spacing w:before="20" w:after="40" w:line="245" w:lineRule="auto"/>
            </w:pPr>
            <w:r>
              <w:rPr>
                <w:sz w:val="19"/>
              </w:rPr>
              <w:t>Cerasuolo et al. [10]</w:t>
            </w:r>
          </w:p>
        </w:tc>
        <w:tc>
          <w:tcPr>
            <w:tcW w:w="2852" w:type="dxa"/>
            <w:shd w:val="clear" w:color="auto" w:fill="FFFFFF"/>
            <w:tcMar>
              <w:top w:w="65" w:type="dxa"/>
              <w:left w:w="65" w:type="dxa"/>
              <w:bottom w:w="65" w:type="dxa"/>
              <w:right w:w="65" w:type="dxa"/>
            </w:tcMar>
            <w:vAlign w:val="center"/>
          </w:tcPr>
          <w:p w14:paraId="5A0526A6" w14:textId="77777777" w:rsidR="00AF5C7A" w:rsidRDefault="00FB1870">
            <w:pPr>
              <w:pStyle w:val="Compact"/>
              <w:keepNext/>
              <w:spacing w:before="20" w:after="40" w:line="245" w:lineRule="auto"/>
            </w:pPr>
            <w:r>
              <w:rPr>
                <w:sz w:val="19"/>
              </w:rPr>
              <w:t>Computer Networks; Elsevier</w:t>
            </w:r>
          </w:p>
        </w:tc>
        <w:tc>
          <w:tcPr>
            <w:tcW w:w="1770" w:type="dxa"/>
            <w:shd w:val="clear" w:color="auto" w:fill="FFFFFF"/>
            <w:tcMar>
              <w:top w:w="65" w:type="dxa"/>
              <w:left w:w="65" w:type="dxa"/>
              <w:bottom w:w="65" w:type="dxa"/>
              <w:right w:w="65" w:type="dxa"/>
            </w:tcMar>
            <w:vAlign w:val="center"/>
          </w:tcPr>
          <w:p w14:paraId="12A88DB1" w14:textId="77777777" w:rsidR="00AF5C7A" w:rsidRDefault="00FB1870">
            <w:pPr>
              <w:pStyle w:val="Compact"/>
              <w:keepNext/>
              <w:spacing w:before="20" w:after="40" w:line="245" w:lineRule="auto"/>
            </w:pPr>
            <w:r>
              <w:rPr>
                <w:sz w:val="19"/>
              </w:rPr>
              <w:t>2025; author</w:t>
            </w:r>
          </w:p>
        </w:tc>
        <w:tc>
          <w:tcPr>
            <w:tcW w:w="1672" w:type="dxa"/>
            <w:shd w:val="clear" w:color="auto" w:fill="FFFFFF"/>
            <w:tcMar>
              <w:top w:w="65" w:type="dxa"/>
              <w:left w:w="65" w:type="dxa"/>
              <w:bottom w:w="65" w:type="dxa"/>
              <w:right w:w="65" w:type="dxa"/>
            </w:tcMar>
            <w:vAlign w:val="center"/>
          </w:tcPr>
          <w:p w14:paraId="67507B8B" w14:textId="77777777" w:rsidR="00AF5C7A" w:rsidRDefault="00FB1870">
            <w:pPr>
              <w:pStyle w:val="Compact"/>
              <w:keepNext/>
              <w:spacing w:before="20" w:after="40" w:line="245" w:lineRule="auto"/>
            </w:pPr>
            <w:r>
              <w:rPr>
                <w:sz w:val="19"/>
              </w:rPr>
              <w:t>IS; Q1; JCR 2025</w:t>
            </w:r>
          </w:p>
        </w:tc>
        <w:tc>
          <w:tcPr>
            <w:tcW w:w="1967" w:type="dxa"/>
            <w:shd w:val="clear" w:color="auto" w:fill="FFFFFF"/>
            <w:tcMar>
              <w:top w:w="65" w:type="dxa"/>
              <w:left w:w="65" w:type="dxa"/>
              <w:bottom w:w="65" w:type="dxa"/>
              <w:right w:w="65" w:type="dxa"/>
            </w:tcMar>
            <w:vAlign w:val="center"/>
          </w:tcPr>
          <w:p w14:paraId="15A05ED6" w14:textId="77777777" w:rsidR="00AF5C7A" w:rsidRDefault="00FB1870">
            <w:pPr>
              <w:pStyle w:val="Compact"/>
              <w:keepNext/>
              <w:spacing w:before="20" w:after="40" w:line="245" w:lineRule="auto"/>
            </w:pPr>
            <w:r>
              <w:rPr>
                <w:sz w:val="19"/>
              </w:rPr>
              <w:t>CIL/memory reference</w:t>
            </w:r>
          </w:p>
        </w:tc>
      </w:tr>
      <w:tr w:rsidR="00AF5C7A" w14:paraId="6B1EE1EC" w14:textId="77777777" w:rsidTr="00AF5C7A">
        <w:trPr>
          <w:cantSplit/>
        </w:trPr>
        <w:tc>
          <w:tcPr>
            <w:tcW w:w="1574" w:type="dxa"/>
            <w:shd w:val="clear" w:color="auto" w:fill="F5F7F9"/>
            <w:tcMar>
              <w:top w:w="65" w:type="dxa"/>
              <w:left w:w="65" w:type="dxa"/>
              <w:bottom w:w="65" w:type="dxa"/>
              <w:right w:w="65" w:type="dxa"/>
            </w:tcMar>
            <w:vAlign w:val="center"/>
          </w:tcPr>
          <w:p w14:paraId="24509936" w14:textId="77777777" w:rsidR="00AF5C7A" w:rsidRDefault="00FB1870">
            <w:pPr>
              <w:pStyle w:val="Compact"/>
              <w:keepNext/>
              <w:spacing w:before="20" w:after="40" w:line="245" w:lineRule="auto"/>
            </w:pPr>
            <w:r>
              <w:rPr>
                <w:sz w:val="19"/>
              </w:rPr>
              <w:t>Guo et al. [11]</w:t>
            </w:r>
          </w:p>
        </w:tc>
        <w:tc>
          <w:tcPr>
            <w:tcW w:w="2852" w:type="dxa"/>
            <w:shd w:val="clear" w:color="auto" w:fill="F5F7F9"/>
            <w:tcMar>
              <w:top w:w="65" w:type="dxa"/>
              <w:left w:w="65" w:type="dxa"/>
              <w:bottom w:w="65" w:type="dxa"/>
              <w:right w:w="65" w:type="dxa"/>
            </w:tcMar>
            <w:vAlign w:val="center"/>
          </w:tcPr>
          <w:p w14:paraId="43128256" w14:textId="77777777" w:rsidR="00AF5C7A" w:rsidRDefault="00FB1870">
            <w:pPr>
              <w:pStyle w:val="Compact"/>
              <w:keepNext/>
              <w:spacing w:before="20" w:after="40" w:line="245" w:lineRule="auto"/>
            </w:pPr>
            <w:r>
              <w:rPr>
                <w:sz w:val="19"/>
              </w:rPr>
              <w:t>Future Internet; MDPI</w:t>
            </w:r>
          </w:p>
        </w:tc>
        <w:tc>
          <w:tcPr>
            <w:tcW w:w="1770" w:type="dxa"/>
            <w:shd w:val="clear" w:color="auto" w:fill="F5F7F9"/>
            <w:tcMar>
              <w:top w:w="65" w:type="dxa"/>
              <w:left w:w="65" w:type="dxa"/>
              <w:bottom w:w="65" w:type="dxa"/>
              <w:right w:w="65" w:type="dxa"/>
            </w:tcMar>
            <w:vAlign w:val="center"/>
          </w:tcPr>
          <w:p w14:paraId="381EEF4A" w14:textId="77777777" w:rsidR="00AF5C7A" w:rsidRDefault="00FB1870">
            <w:pPr>
              <w:pStyle w:val="Compact"/>
              <w:keepNext/>
              <w:spacing w:before="20" w:after="40" w:line="245" w:lineRule="auto"/>
            </w:pPr>
            <w:r>
              <w:rPr>
                <w:sz w:val="19"/>
              </w:rPr>
              <w:t>2025; publisher</w:t>
            </w:r>
          </w:p>
        </w:tc>
        <w:tc>
          <w:tcPr>
            <w:tcW w:w="1672" w:type="dxa"/>
            <w:shd w:val="clear" w:color="auto" w:fill="F5F7F9"/>
            <w:tcMar>
              <w:top w:w="65" w:type="dxa"/>
              <w:left w:w="65" w:type="dxa"/>
              <w:bottom w:w="65" w:type="dxa"/>
              <w:right w:w="65" w:type="dxa"/>
            </w:tcMar>
            <w:vAlign w:val="center"/>
          </w:tcPr>
          <w:p w14:paraId="15CEBFC1" w14:textId="77777777" w:rsidR="00AF5C7A" w:rsidRDefault="00FB1870">
            <w:pPr>
              <w:pStyle w:val="Compact"/>
              <w:keepNext/>
              <w:spacing w:before="20" w:after="40" w:line="245" w:lineRule="auto"/>
            </w:pPr>
            <w:r>
              <w:rPr>
                <w:sz w:val="19"/>
              </w:rPr>
              <w:t>IS; Q2; JCR 2025</w:t>
            </w:r>
          </w:p>
        </w:tc>
        <w:tc>
          <w:tcPr>
            <w:tcW w:w="1967" w:type="dxa"/>
            <w:shd w:val="clear" w:color="auto" w:fill="F5F7F9"/>
            <w:tcMar>
              <w:top w:w="65" w:type="dxa"/>
              <w:left w:w="65" w:type="dxa"/>
              <w:bottom w:w="65" w:type="dxa"/>
              <w:right w:w="65" w:type="dxa"/>
            </w:tcMar>
            <w:vAlign w:val="center"/>
          </w:tcPr>
          <w:p w14:paraId="379F08BC" w14:textId="77777777" w:rsidR="00AF5C7A" w:rsidRDefault="00FB1870">
            <w:pPr>
              <w:pStyle w:val="Compact"/>
              <w:keepNext/>
              <w:spacing w:before="20" w:after="40" w:line="245" w:lineRule="auto"/>
            </w:pPr>
            <w:r>
              <w:rPr>
                <w:sz w:val="19"/>
              </w:rPr>
              <w:t>Memory selection</w:t>
            </w:r>
          </w:p>
        </w:tc>
      </w:tr>
      <w:tr w:rsidR="00AF5C7A" w14:paraId="647B0BA3" w14:textId="77777777" w:rsidTr="00AF5C7A">
        <w:trPr>
          <w:cantSplit/>
        </w:trPr>
        <w:tc>
          <w:tcPr>
            <w:tcW w:w="1574" w:type="dxa"/>
            <w:shd w:val="clear" w:color="auto" w:fill="FFFFFF"/>
            <w:tcMar>
              <w:top w:w="65" w:type="dxa"/>
              <w:left w:w="65" w:type="dxa"/>
              <w:bottom w:w="65" w:type="dxa"/>
              <w:right w:w="65" w:type="dxa"/>
            </w:tcMar>
            <w:vAlign w:val="center"/>
          </w:tcPr>
          <w:p w14:paraId="1ACDFB78" w14:textId="77777777" w:rsidR="00AF5C7A" w:rsidRDefault="00FB1870">
            <w:pPr>
              <w:pStyle w:val="Compact"/>
              <w:spacing w:before="20" w:after="40" w:line="245" w:lineRule="auto"/>
            </w:pPr>
            <w:r>
              <w:rPr>
                <w:sz w:val="19"/>
              </w:rPr>
              <w:t>Prasad et al. [12]</w:t>
            </w:r>
          </w:p>
        </w:tc>
        <w:tc>
          <w:tcPr>
            <w:tcW w:w="2852" w:type="dxa"/>
            <w:shd w:val="clear" w:color="auto" w:fill="FFFFFF"/>
            <w:tcMar>
              <w:top w:w="65" w:type="dxa"/>
              <w:left w:w="65" w:type="dxa"/>
              <w:bottom w:w="65" w:type="dxa"/>
              <w:right w:w="65" w:type="dxa"/>
            </w:tcMar>
            <w:vAlign w:val="center"/>
          </w:tcPr>
          <w:p w14:paraId="6B34F140" w14:textId="77777777" w:rsidR="00AF5C7A" w:rsidRDefault="00FB1870">
            <w:pPr>
              <w:pStyle w:val="Compact"/>
              <w:spacing w:before="20" w:after="40" w:line="245" w:lineRule="auto"/>
            </w:pPr>
            <w:r>
              <w:rPr>
                <w:sz w:val="19"/>
              </w:rPr>
              <w:t>Computer Modeling in Engineering &amp; Sciences; Tech Science Press</w:t>
            </w:r>
          </w:p>
        </w:tc>
        <w:tc>
          <w:tcPr>
            <w:tcW w:w="1770" w:type="dxa"/>
            <w:shd w:val="clear" w:color="auto" w:fill="FFFFFF"/>
            <w:tcMar>
              <w:top w:w="65" w:type="dxa"/>
              <w:left w:w="65" w:type="dxa"/>
              <w:bottom w:w="65" w:type="dxa"/>
              <w:right w:w="65" w:type="dxa"/>
            </w:tcMar>
            <w:vAlign w:val="center"/>
          </w:tcPr>
          <w:p w14:paraId="6918091A" w14:textId="77777777" w:rsidR="00AF5C7A" w:rsidRDefault="00FB1870">
            <w:pPr>
              <w:pStyle w:val="Compact"/>
              <w:spacing w:before="20" w:after="40" w:line="245" w:lineRule="auto"/>
            </w:pPr>
            <w:r>
              <w:rPr>
                <w:sz w:val="19"/>
              </w:rPr>
              <w:t>2026; publisher</w:t>
            </w:r>
          </w:p>
        </w:tc>
        <w:tc>
          <w:tcPr>
            <w:tcW w:w="1672" w:type="dxa"/>
            <w:shd w:val="clear" w:color="auto" w:fill="FFFFFF"/>
            <w:tcMar>
              <w:top w:w="65" w:type="dxa"/>
              <w:left w:w="65" w:type="dxa"/>
              <w:bottom w:w="65" w:type="dxa"/>
              <w:right w:w="65" w:type="dxa"/>
            </w:tcMar>
            <w:vAlign w:val="center"/>
          </w:tcPr>
          <w:p w14:paraId="5A22172A" w14:textId="77777777" w:rsidR="00AF5C7A" w:rsidRDefault="00FB1870">
            <w:pPr>
              <w:pStyle w:val="Compact"/>
              <w:spacing w:before="20" w:after="40" w:line="245" w:lineRule="auto"/>
            </w:pPr>
            <w:r>
              <w:rPr>
                <w:sz w:val="19"/>
              </w:rPr>
              <w:t>EM; Q2; JCR 2025</w:t>
            </w:r>
          </w:p>
        </w:tc>
        <w:tc>
          <w:tcPr>
            <w:tcW w:w="1967" w:type="dxa"/>
            <w:shd w:val="clear" w:color="auto" w:fill="FFFFFF"/>
            <w:tcMar>
              <w:top w:w="65" w:type="dxa"/>
              <w:left w:w="65" w:type="dxa"/>
              <w:bottom w:w="65" w:type="dxa"/>
              <w:right w:w="65" w:type="dxa"/>
            </w:tcMar>
            <w:vAlign w:val="center"/>
          </w:tcPr>
          <w:p w14:paraId="68DF9599" w14:textId="77777777" w:rsidR="00AF5C7A" w:rsidRDefault="00FB1870">
            <w:pPr>
              <w:pStyle w:val="Compact"/>
              <w:spacing w:before="20" w:after="40" w:line="245" w:lineRule="auto"/>
            </w:pPr>
            <w:r>
              <w:rPr>
                <w:sz w:val="19"/>
              </w:rPr>
              <w:t>Streaming gate comparator</w:t>
            </w:r>
          </w:p>
        </w:tc>
      </w:tr>
    </w:tbl>
    <w:p w14:paraId="5F7A4C1F" w14:textId="77777777" w:rsidR="00AF5C7A" w:rsidRDefault="00FB1870">
      <w:pPr>
        <w:pStyle w:val="Heading21"/>
      </w:pPr>
      <w:bookmarkStart w:id="3" w:name="thematic-synthesis"/>
      <w:bookmarkEnd w:id="2"/>
      <w:r>
        <w:t>Thematic Synthesis</w:t>
      </w:r>
    </w:p>
    <w:p w14:paraId="71C72E48" w14:textId="77777777" w:rsidR="00AF5C7A" w:rsidRDefault="00FB1870">
      <w:pPr>
        <w:pStyle w:val="FirstParagraph"/>
      </w:pPr>
      <w:r>
        <w:t>Table 2 classifies all ten studies.</w:t>
      </w:r>
    </w:p>
    <w:p w14:paraId="01476504" w14:textId="77777777" w:rsidR="00AF5C7A" w:rsidRDefault="00AF5C7A">
      <w:pPr>
        <w:sectPr w:rsidR="00AF5C7A">
          <w:footerReference w:type="default" r:id="rId7"/>
          <w:pgSz w:w="11906" w:h="16838"/>
          <w:pgMar w:top="936" w:right="1037" w:bottom="936" w:left="1037" w:header="432" w:footer="432" w:gutter="0"/>
          <w:cols w:space="720"/>
        </w:sectPr>
      </w:pPr>
    </w:p>
    <w:p w14:paraId="2AFAEA73" w14:textId="77777777" w:rsidR="00AF5C7A" w:rsidRDefault="00FB1870">
      <w:pPr>
        <w:pStyle w:val="BodyText"/>
        <w:keepNext/>
        <w:spacing w:before="140" w:after="80"/>
      </w:pPr>
      <w:r>
        <w:rPr>
          <w:b/>
          <w:bCs/>
        </w:rPr>
        <w:lastRenderedPageBreak/>
        <w:t>Table 2. Taxonomy of the seven additions and three Phase 1 sources. CIL means class-incremental learning; FL means federated learning.</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19"/>
        <w:gridCol w:w="2140"/>
        <w:gridCol w:w="2140"/>
        <w:gridCol w:w="2140"/>
        <w:gridCol w:w="2140"/>
        <w:gridCol w:w="2140"/>
        <w:gridCol w:w="2140"/>
      </w:tblGrid>
      <w:tr w:rsidR="00AF5C7A" w14:paraId="57B5571B"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1919" w:type="dxa"/>
            <w:shd w:val="clear" w:color="auto" w:fill="DDE6EC"/>
            <w:tcMar>
              <w:top w:w="65" w:type="dxa"/>
              <w:left w:w="65" w:type="dxa"/>
              <w:bottom w:w="65" w:type="dxa"/>
              <w:right w:w="65" w:type="dxa"/>
            </w:tcMar>
            <w:vAlign w:val="center"/>
          </w:tcPr>
          <w:p w14:paraId="770106C1" w14:textId="77777777" w:rsidR="00AF5C7A" w:rsidRDefault="00FB1870">
            <w:pPr>
              <w:pStyle w:val="Compact"/>
              <w:spacing w:before="20" w:after="40" w:line="245" w:lineRule="auto"/>
            </w:pPr>
            <w:r>
              <w:rPr>
                <w:b/>
                <w:sz w:val="18"/>
              </w:rPr>
              <w:t>Study</w:t>
            </w:r>
          </w:p>
        </w:tc>
        <w:tc>
          <w:tcPr>
            <w:tcW w:w="2140" w:type="dxa"/>
            <w:shd w:val="clear" w:color="auto" w:fill="DDE6EC"/>
            <w:tcMar>
              <w:top w:w="65" w:type="dxa"/>
              <w:left w:w="65" w:type="dxa"/>
              <w:bottom w:w="65" w:type="dxa"/>
              <w:right w:w="65" w:type="dxa"/>
            </w:tcMar>
            <w:vAlign w:val="center"/>
          </w:tcPr>
          <w:p w14:paraId="7D6D22AB" w14:textId="77777777" w:rsidR="00AF5C7A" w:rsidRDefault="00FB1870">
            <w:pPr>
              <w:pStyle w:val="Compact"/>
              <w:spacing w:before="20" w:after="40" w:line="245" w:lineRule="auto"/>
            </w:pPr>
            <w:r>
              <w:rPr>
                <w:b/>
                <w:sz w:val="18"/>
              </w:rPr>
              <w:t>Learning setting</w:t>
            </w:r>
          </w:p>
        </w:tc>
        <w:tc>
          <w:tcPr>
            <w:tcW w:w="2140" w:type="dxa"/>
            <w:shd w:val="clear" w:color="auto" w:fill="DDE6EC"/>
            <w:tcMar>
              <w:top w:w="65" w:type="dxa"/>
              <w:left w:w="65" w:type="dxa"/>
              <w:bottom w:w="65" w:type="dxa"/>
              <w:right w:w="65" w:type="dxa"/>
            </w:tcMar>
            <w:vAlign w:val="center"/>
          </w:tcPr>
          <w:p w14:paraId="5ED7E8CA" w14:textId="77777777" w:rsidR="00AF5C7A" w:rsidRDefault="00FB1870">
            <w:pPr>
              <w:pStyle w:val="Compact"/>
              <w:spacing w:before="20" w:after="40" w:line="245" w:lineRule="auto"/>
            </w:pPr>
            <w:r>
              <w:rPr>
                <w:b/>
                <w:sz w:val="18"/>
              </w:rPr>
              <w:t>Threat model tested</w:t>
            </w:r>
          </w:p>
        </w:tc>
        <w:tc>
          <w:tcPr>
            <w:tcW w:w="2140" w:type="dxa"/>
            <w:shd w:val="clear" w:color="auto" w:fill="DDE6EC"/>
            <w:tcMar>
              <w:top w:w="65" w:type="dxa"/>
              <w:left w:w="65" w:type="dxa"/>
              <w:bottom w:w="65" w:type="dxa"/>
              <w:right w:w="65" w:type="dxa"/>
            </w:tcMar>
            <w:vAlign w:val="center"/>
          </w:tcPr>
          <w:p w14:paraId="1C0A722A" w14:textId="77777777" w:rsidR="00AF5C7A" w:rsidRDefault="00FB1870">
            <w:pPr>
              <w:pStyle w:val="Compact"/>
              <w:spacing w:before="20" w:after="40" w:line="245" w:lineRule="auto"/>
            </w:pPr>
            <w:r>
              <w:rPr>
                <w:b/>
                <w:sz w:val="18"/>
              </w:rPr>
              <w:t>Defense type</w:t>
            </w:r>
          </w:p>
        </w:tc>
        <w:tc>
          <w:tcPr>
            <w:tcW w:w="2140" w:type="dxa"/>
            <w:shd w:val="clear" w:color="auto" w:fill="DDE6EC"/>
            <w:tcMar>
              <w:top w:w="65" w:type="dxa"/>
              <w:left w:w="65" w:type="dxa"/>
              <w:bottom w:w="65" w:type="dxa"/>
              <w:right w:w="65" w:type="dxa"/>
            </w:tcMar>
            <w:vAlign w:val="center"/>
          </w:tcPr>
          <w:p w14:paraId="57CA747F" w14:textId="77777777" w:rsidR="00AF5C7A" w:rsidRDefault="00FB1870">
            <w:pPr>
              <w:pStyle w:val="Compact"/>
              <w:spacing w:before="20" w:after="40" w:line="245" w:lineRule="auto"/>
            </w:pPr>
            <w:r>
              <w:rPr>
                <w:b/>
                <w:sz w:val="18"/>
              </w:rPr>
              <w:t>Memory mechanism</w:t>
            </w:r>
          </w:p>
        </w:tc>
        <w:tc>
          <w:tcPr>
            <w:tcW w:w="2140" w:type="dxa"/>
            <w:shd w:val="clear" w:color="auto" w:fill="DDE6EC"/>
            <w:tcMar>
              <w:top w:w="65" w:type="dxa"/>
              <w:left w:w="65" w:type="dxa"/>
              <w:bottom w:w="65" w:type="dxa"/>
              <w:right w:w="65" w:type="dxa"/>
            </w:tcMar>
            <w:vAlign w:val="center"/>
          </w:tcPr>
          <w:p w14:paraId="0CE411AB" w14:textId="77777777" w:rsidR="00AF5C7A" w:rsidRDefault="00FB1870">
            <w:pPr>
              <w:pStyle w:val="Compact"/>
              <w:spacing w:before="20" w:after="40" w:line="245" w:lineRule="auto"/>
            </w:pPr>
            <w:r>
              <w:rPr>
                <w:b/>
                <w:sz w:val="18"/>
              </w:rPr>
              <w:t>Modality</w:t>
            </w:r>
          </w:p>
        </w:tc>
        <w:tc>
          <w:tcPr>
            <w:tcW w:w="2140" w:type="dxa"/>
            <w:shd w:val="clear" w:color="auto" w:fill="DDE6EC"/>
            <w:tcMar>
              <w:top w:w="65" w:type="dxa"/>
              <w:left w:w="65" w:type="dxa"/>
              <w:bottom w:w="65" w:type="dxa"/>
              <w:right w:w="65" w:type="dxa"/>
            </w:tcMar>
            <w:vAlign w:val="center"/>
          </w:tcPr>
          <w:p w14:paraId="24868552" w14:textId="77777777" w:rsidR="00AF5C7A" w:rsidRDefault="00FB1870">
            <w:pPr>
              <w:pStyle w:val="Compact"/>
              <w:spacing w:before="20" w:after="40" w:line="245" w:lineRule="auto"/>
            </w:pPr>
            <w:r>
              <w:rPr>
                <w:b/>
                <w:sz w:val="18"/>
              </w:rPr>
              <w:t>Poisoning with continual learning evidence</w:t>
            </w:r>
          </w:p>
        </w:tc>
      </w:tr>
      <w:tr w:rsidR="00AF5C7A" w14:paraId="3D904956" w14:textId="77777777" w:rsidTr="00AF5C7A">
        <w:trPr>
          <w:cantSplit/>
        </w:trPr>
        <w:tc>
          <w:tcPr>
            <w:tcW w:w="1919" w:type="dxa"/>
            <w:shd w:val="clear" w:color="auto" w:fill="FFFFFF"/>
            <w:tcMar>
              <w:top w:w="65" w:type="dxa"/>
              <w:left w:w="65" w:type="dxa"/>
              <w:bottom w:w="65" w:type="dxa"/>
              <w:right w:w="65" w:type="dxa"/>
            </w:tcMar>
            <w:vAlign w:val="center"/>
          </w:tcPr>
          <w:p w14:paraId="62DB891D" w14:textId="77777777" w:rsidR="00AF5C7A" w:rsidRDefault="00FB1870">
            <w:pPr>
              <w:pStyle w:val="Compact"/>
              <w:spacing w:before="20" w:after="40" w:line="245" w:lineRule="auto"/>
            </w:pPr>
            <w:r>
              <w:rPr>
                <w:sz w:val="18"/>
              </w:rPr>
              <w:t>Ge 2026 [2]</w:t>
            </w:r>
          </w:p>
        </w:tc>
        <w:tc>
          <w:tcPr>
            <w:tcW w:w="2140" w:type="dxa"/>
            <w:shd w:val="clear" w:color="auto" w:fill="FFFFFF"/>
            <w:tcMar>
              <w:top w:w="65" w:type="dxa"/>
              <w:left w:w="65" w:type="dxa"/>
              <w:bottom w:w="65" w:type="dxa"/>
              <w:right w:w="65" w:type="dxa"/>
            </w:tcMar>
            <w:vAlign w:val="center"/>
          </w:tcPr>
          <w:p w14:paraId="1B28035E" w14:textId="77777777" w:rsidR="00AF5C7A" w:rsidRDefault="00FB1870">
            <w:pPr>
              <w:pStyle w:val="Compact"/>
              <w:spacing w:before="20" w:after="40" w:line="245" w:lineRule="auto"/>
            </w:pPr>
            <w:r>
              <w:rPr>
                <w:sz w:val="18"/>
              </w:rPr>
              <w:t>Central unknown-DoS discovery/CIL</w:t>
            </w:r>
          </w:p>
        </w:tc>
        <w:tc>
          <w:tcPr>
            <w:tcW w:w="2140" w:type="dxa"/>
            <w:shd w:val="clear" w:color="auto" w:fill="FFFFFF"/>
            <w:tcMar>
              <w:top w:w="65" w:type="dxa"/>
              <w:left w:w="65" w:type="dxa"/>
              <w:bottom w:w="65" w:type="dxa"/>
              <w:right w:w="65" w:type="dxa"/>
            </w:tcMar>
            <w:vAlign w:val="center"/>
          </w:tcPr>
          <w:p w14:paraId="6915DADA" w14:textId="77777777" w:rsidR="00AF5C7A" w:rsidRDefault="00FB1870">
            <w:pPr>
              <w:pStyle w:val="Compact"/>
              <w:spacing w:before="20" w:after="40" w:line="245" w:lineRule="auto"/>
            </w:pPr>
            <w:r>
              <w:rPr>
                <w:sz w:val="18"/>
              </w:rPr>
              <w:t>Held-out DoS; clean training</w:t>
            </w:r>
          </w:p>
        </w:tc>
        <w:tc>
          <w:tcPr>
            <w:tcW w:w="2140" w:type="dxa"/>
            <w:shd w:val="clear" w:color="auto" w:fill="FFFFFF"/>
            <w:tcMar>
              <w:top w:w="65" w:type="dxa"/>
              <w:left w:w="65" w:type="dxa"/>
              <w:bottom w:w="65" w:type="dxa"/>
              <w:right w:w="65" w:type="dxa"/>
            </w:tcMar>
            <w:vAlign w:val="center"/>
          </w:tcPr>
          <w:p w14:paraId="0679D5C2" w14:textId="77777777" w:rsidR="00AF5C7A" w:rsidRDefault="00FB1870">
            <w:pPr>
              <w:pStyle w:val="Compact"/>
              <w:spacing w:before="20" w:after="40" w:line="245" w:lineRule="auto"/>
            </w:pPr>
            <w:r>
              <w:rPr>
                <w:sz w:val="18"/>
              </w:rPr>
              <w:t>AE, HDBSCAN, distillation</w:t>
            </w:r>
          </w:p>
        </w:tc>
        <w:tc>
          <w:tcPr>
            <w:tcW w:w="2140" w:type="dxa"/>
            <w:shd w:val="clear" w:color="auto" w:fill="FFFFFF"/>
            <w:tcMar>
              <w:top w:w="65" w:type="dxa"/>
              <w:left w:w="65" w:type="dxa"/>
              <w:bottom w:w="65" w:type="dxa"/>
              <w:right w:w="65" w:type="dxa"/>
            </w:tcMar>
            <w:vAlign w:val="center"/>
          </w:tcPr>
          <w:p w14:paraId="0B0A30EC" w14:textId="77777777" w:rsidR="00AF5C7A" w:rsidRDefault="00FB1870">
            <w:pPr>
              <w:pStyle w:val="Compact"/>
              <w:spacing w:before="20" w:after="40" w:line="245" w:lineRule="auto"/>
            </w:pPr>
            <w:r>
              <w:rPr>
                <w:sz w:val="18"/>
              </w:rPr>
              <w:t>Historical knowledge transfer</w:t>
            </w:r>
          </w:p>
        </w:tc>
        <w:tc>
          <w:tcPr>
            <w:tcW w:w="2140" w:type="dxa"/>
            <w:shd w:val="clear" w:color="auto" w:fill="FFFFFF"/>
            <w:tcMar>
              <w:top w:w="65" w:type="dxa"/>
              <w:left w:w="65" w:type="dxa"/>
              <w:bottom w:w="65" w:type="dxa"/>
              <w:right w:w="65" w:type="dxa"/>
            </w:tcMar>
            <w:vAlign w:val="center"/>
          </w:tcPr>
          <w:p w14:paraId="21037F1D" w14:textId="77777777" w:rsidR="00AF5C7A" w:rsidRDefault="00FB1870">
            <w:pPr>
              <w:pStyle w:val="Compact"/>
              <w:spacing w:before="20" w:after="40" w:line="245" w:lineRule="auto"/>
            </w:pPr>
            <w:r>
              <w:rPr>
                <w:sz w:val="18"/>
              </w:rPr>
              <w:t>NSL-KDD flows</w:t>
            </w:r>
          </w:p>
        </w:tc>
        <w:tc>
          <w:tcPr>
            <w:tcW w:w="2140" w:type="dxa"/>
            <w:shd w:val="clear" w:color="auto" w:fill="FFFFFF"/>
            <w:tcMar>
              <w:top w:w="65" w:type="dxa"/>
              <w:left w:w="65" w:type="dxa"/>
              <w:bottom w:w="65" w:type="dxa"/>
              <w:right w:w="65" w:type="dxa"/>
            </w:tcMar>
            <w:vAlign w:val="center"/>
          </w:tcPr>
          <w:p w14:paraId="1E3049EA" w14:textId="77777777" w:rsidR="00AF5C7A" w:rsidRDefault="00FB1870">
            <w:pPr>
              <w:pStyle w:val="Compact"/>
              <w:spacing w:before="20" w:after="40" w:line="245" w:lineRule="auto"/>
            </w:pPr>
            <w:r>
              <w:rPr>
                <w:sz w:val="18"/>
              </w:rPr>
              <w:t>Discovery security motivates extension</w:t>
            </w:r>
          </w:p>
        </w:tc>
      </w:tr>
      <w:tr w:rsidR="00AF5C7A" w14:paraId="432BCFF7" w14:textId="77777777" w:rsidTr="00AF5C7A">
        <w:trPr>
          <w:cantSplit/>
        </w:trPr>
        <w:tc>
          <w:tcPr>
            <w:tcW w:w="1919" w:type="dxa"/>
            <w:shd w:val="clear" w:color="auto" w:fill="F5F7F9"/>
            <w:tcMar>
              <w:top w:w="65" w:type="dxa"/>
              <w:left w:w="65" w:type="dxa"/>
              <w:bottom w:w="65" w:type="dxa"/>
              <w:right w:w="65" w:type="dxa"/>
            </w:tcMar>
            <w:vAlign w:val="center"/>
          </w:tcPr>
          <w:p w14:paraId="635A2BFA" w14:textId="77777777" w:rsidR="00AF5C7A" w:rsidRDefault="00FB1870">
            <w:pPr>
              <w:pStyle w:val="Compact"/>
              <w:spacing w:before="20" w:after="40" w:line="245" w:lineRule="auto"/>
            </w:pPr>
            <w:r>
              <w:rPr>
                <w:sz w:val="18"/>
              </w:rPr>
              <w:t>Wu 2026 [3]</w:t>
            </w:r>
          </w:p>
        </w:tc>
        <w:tc>
          <w:tcPr>
            <w:tcW w:w="2140" w:type="dxa"/>
            <w:shd w:val="clear" w:color="auto" w:fill="F5F7F9"/>
            <w:tcMar>
              <w:top w:w="65" w:type="dxa"/>
              <w:left w:w="65" w:type="dxa"/>
              <w:bottom w:w="65" w:type="dxa"/>
              <w:right w:w="65" w:type="dxa"/>
            </w:tcMar>
            <w:vAlign w:val="center"/>
          </w:tcPr>
          <w:p w14:paraId="1555F774" w14:textId="77777777" w:rsidR="00AF5C7A" w:rsidRDefault="00FB1870">
            <w:pPr>
              <w:pStyle w:val="Compact"/>
              <w:spacing w:before="20" w:after="40" w:line="245" w:lineRule="auto"/>
            </w:pPr>
            <w:r>
              <w:rPr>
                <w:sz w:val="18"/>
              </w:rPr>
              <w:t>Federated CIL</w:t>
            </w:r>
          </w:p>
        </w:tc>
        <w:tc>
          <w:tcPr>
            <w:tcW w:w="2140" w:type="dxa"/>
            <w:shd w:val="clear" w:color="auto" w:fill="F5F7F9"/>
            <w:tcMar>
              <w:top w:w="65" w:type="dxa"/>
              <w:left w:w="65" w:type="dxa"/>
              <w:bottom w:w="65" w:type="dxa"/>
              <w:right w:w="65" w:type="dxa"/>
            </w:tcMar>
            <w:vAlign w:val="center"/>
          </w:tcPr>
          <w:p w14:paraId="1E02EA9E" w14:textId="77777777" w:rsidR="00AF5C7A" w:rsidRDefault="00FB1870">
            <w:pPr>
              <w:pStyle w:val="Compact"/>
              <w:spacing w:before="20" w:after="40" w:line="245" w:lineRule="auto"/>
            </w:pPr>
            <w:r>
              <w:rPr>
                <w:sz w:val="18"/>
              </w:rPr>
              <w:t>Honest participants</w:t>
            </w:r>
          </w:p>
        </w:tc>
        <w:tc>
          <w:tcPr>
            <w:tcW w:w="2140" w:type="dxa"/>
            <w:shd w:val="clear" w:color="auto" w:fill="F5F7F9"/>
            <w:tcMar>
              <w:top w:w="65" w:type="dxa"/>
              <w:left w:w="65" w:type="dxa"/>
              <w:bottom w:w="65" w:type="dxa"/>
              <w:right w:w="65" w:type="dxa"/>
            </w:tcMar>
            <w:vAlign w:val="center"/>
          </w:tcPr>
          <w:p w14:paraId="70EF8231" w14:textId="77777777" w:rsidR="00AF5C7A" w:rsidRDefault="00FB1870">
            <w:pPr>
              <w:pStyle w:val="Compact"/>
              <w:spacing w:before="20" w:after="40" w:line="245" w:lineRule="auto"/>
            </w:pPr>
            <w:r>
              <w:rPr>
                <w:sz w:val="18"/>
              </w:rPr>
              <w:t>Head-protected compression</w:t>
            </w:r>
          </w:p>
        </w:tc>
        <w:tc>
          <w:tcPr>
            <w:tcW w:w="2140" w:type="dxa"/>
            <w:shd w:val="clear" w:color="auto" w:fill="F5F7F9"/>
            <w:tcMar>
              <w:top w:w="65" w:type="dxa"/>
              <w:left w:w="65" w:type="dxa"/>
              <w:bottom w:w="65" w:type="dxa"/>
              <w:right w:w="65" w:type="dxa"/>
            </w:tcMar>
            <w:vAlign w:val="center"/>
          </w:tcPr>
          <w:p w14:paraId="2F6286FD" w14:textId="77777777" w:rsidR="00AF5C7A" w:rsidRDefault="00FB1870">
            <w:pPr>
              <w:pStyle w:val="Compact"/>
              <w:spacing w:before="20" w:after="40" w:line="245" w:lineRule="auto"/>
            </w:pPr>
            <w:r>
              <w:rPr>
                <w:sz w:val="18"/>
              </w:rPr>
              <w:t>Exemplars/distillation</w:t>
            </w:r>
          </w:p>
        </w:tc>
        <w:tc>
          <w:tcPr>
            <w:tcW w:w="2140" w:type="dxa"/>
            <w:shd w:val="clear" w:color="auto" w:fill="F5F7F9"/>
            <w:tcMar>
              <w:top w:w="65" w:type="dxa"/>
              <w:left w:w="65" w:type="dxa"/>
              <w:bottom w:w="65" w:type="dxa"/>
              <w:right w:w="65" w:type="dxa"/>
            </w:tcMar>
            <w:vAlign w:val="center"/>
          </w:tcPr>
          <w:p w14:paraId="71E1750B" w14:textId="77777777" w:rsidR="00AF5C7A" w:rsidRDefault="00FB1870">
            <w:pPr>
              <w:pStyle w:val="Compact"/>
              <w:spacing w:before="20" w:after="40" w:line="245" w:lineRule="auto"/>
            </w:pPr>
            <w:r>
              <w:rPr>
                <w:sz w:val="18"/>
              </w:rPr>
              <w:t>IoT/IIoT flow vectors</w:t>
            </w:r>
          </w:p>
        </w:tc>
        <w:tc>
          <w:tcPr>
            <w:tcW w:w="2140" w:type="dxa"/>
            <w:shd w:val="clear" w:color="auto" w:fill="F5F7F9"/>
            <w:tcMar>
              <w:top w:w="65" w:type="dxa"/>
              <w:left w:w="65" w:type="dxa"/>
              <w:bottom w:w="65" w:type="dxa"/>
              <w:right w:w="65" w:type="dxa"/>
            </w:tcMar>
            <w:vAlign w:val="center"/>
          </w:tcPr>
          <w:p w14:paraId="71541EBB" w14:textId="77777777" w:rsidR="00AF5C7A" w:rsidRDefault="00FB1870">
            <w:pPr>
              <w:pStyle w:val="Compact"/>
              <w:spacing w:before="20" w:after="40" w:line="245" w:lineRule="auto"/>
            </w:pPr>
            <w:r>
              <w:rPr>
                <w:sz w:val="18"/>
              </w:rPr>
              <w:t>Malicious participants excluded</w:t>
            </w:r>
          </w:p>
        </w:tc>
      </w:tr>
      <w:tr w:rsidR="00AF5C7A" w14:paraId="06933DA9" w14:textId="77777777" w:rsidTr="00AF5C7A">
        <w:trPr>
          <w:cantSplit/>
        </w:trPr>
        <w:tc>
          <w:tcPr>
            <w:tcW w:w="1919" w:type="dxa"/>
            <w:shd w:val="clear" w:color="auto" w:fill="FFFFFF"/>
            <w:tcMar>
              <w:top w:w="65" w:type="dxa"/>
              <w:left w:w="65" w:type="dxa"/>
              <w:bottom w:w="65" w:type="dxa"/>
              <w:right w:w="65" w:type="dxa"/>
            </w:tcMar>
            <w:vAlign w:val="center"/>
          </w:tcPr>
          <w:p w14:paraId="02D5FD18" w14:textId="77777777" w:rsidR="00AF5C7A" w:rsidRDefault="00FB1870">
            <w:pPr>
              <w:pStyle w:val="Compact"/>
              <w:spacing w:before="20" w:after="40" w:line="245" w:lineRule="auto"/>
            </w:pPr>
            <w:r>
              <w:rPr>
                <w:sz w:val="18"/>
              </w:rPr>
              <w:t>Luo 2026 [4]</w:t>
            </w:r>
          </w:p>
        </w:tc>
        <w:tc>
          <w:tcPr>
            <w:tcW w:w="2140" w:type="dxa"/>
            <w:shd w:val="clear" w:color="auto" w:fill="FFFFFF"/>
            <w:tcMar>
              <w:top w:w="65" w:type="dxa"/>
              <w:left w:w="65" w:type="dxa"/>
              <w:bottom w:w="65" w:type="dxa"/>
              <w:right w:w="65" w:type="dxa"/>
            </w:tcMar>
            <w:vAlign w:val="center"/>
          </w:tcPr>
          <w:p w14:paraId="665B2455" w14:textId="77777777" w:rsidR="00AF5C7A" w:rsidRDefault="00FB1870">
            <w:pPr>
              <w:pStyle w:val="Compact"/>
              <w:spacing w:before="20" w:after="40" w:line="245" w:lineRule="auto"/>
            </w:pPr>
            <w:r>
              <w:rPr>
                <w:sz w:val="18"/>
              </w:rPr>
              <w:t>Fixed-device drift adaptation</w:t>
            </w:r>
          </w:p>
        </w:tc>
        <w:tc>
          <w:tcPr>
            <w:tcW w:w="2140" w:type="dxa"/>
            <w:shd w:val="clear" w:color="auto" w:fill="FFFFFF"/>
            <w:tcMar>
              <w:top w:w="65" w:type="dxa"/>
              <w:left w:w="65" w:type="dxa"/>
              <w:bottom w:w="65" w:type="dxa"/>
              <w:right w:w="65" w:type="dxa"/>
            </w:tcMar>
            <w:vAlign w:val="center"/>
          </w:tcPr>
          <w:p w14:paraId="518DCDF0" w14:textId="77777777" w:rsidR="00AF5C7A" w:rsidRDefault="00FB1870">
            <w:pPr>
              <w:pStyle w:val="Compact"/>
              <w:spacing w:before="20" w:after="40" w:line="245" w:lineRule="auto"/>
            </w:pPr>
            <w:r>
              <w:rPr>
                <w:sz w:val="18"/>
              </w:rPr>
              <w:t>Synthetic RF drift</w:t>
            </w:r>
          </w:p>
        </w:tc>
        <w:tc>
          <w:tcPr>
            <w:tcW w:w="2140" w:type="dxa"/>
            <w:shd w:val="clear" w:color="auto" w:fill="FFFFFF"/>
            <w:tcMar>
              <w:top w:w="65" w:type="dxa"/>
              <w:left w:w="65" w:type="dxa"/>
              <w:bottom w:w="65" w:type="dxa"/>
              <w:right w:w="65" w:type="dxa"/>
            </w:tcMar>
            <w:vAlign w:val="center"/>
          </w:tcPr>
          <w:p w14:paraId="482240BC" w14:textId="77777777" w:rsidR="00AF5C7A" w:rsidRDefault="00FB1870">
            <w:pPr>
              <w:pStyle w:val="Compact"/>
              <w:spacing w:before="20" w:after="40" w:line="245" w:lineRule="auto"/>
            </w:pPr>
            <w:r>
              <w:rPr>
                <w:sz w:val="18"/>
              </w:rPr>
              <w:t>Feature distillation</w:t>
            </w:r>
          </w:p>
        </w:tc>
        <w:tc>
          <w:tcPr>
            <w:tcW w:w="2140" w:type="dxa"/>
            <w:shd w:val="clear" w:color="auto" w:fill="FFFFFF"/>
            <w:tcMar>
              <w:top w:w="65" w:type="dxa"/>
              <w:left w:w="65" w:type="dxa"/>
              <w:bottom w:w="65" w:type="dxa"/>
              <w:right w:w="65" w:type="dxa"/>
            </w:tcMar>
            <w:vAlign w:val="center"/>
          </w:tcPr>
          <w:p w14:paraId="651A5040" w14:textId="77777777" w:rsidR="00AF5C7A" w:rsidRDefault="00FB1870">
            <w:pPr>
              <w:pStyle w:val="Compact"/>
              <w:spacing w:before="20" w:after="40" w:line="245" w:lineRule="auto"/>
            </w:pPr>
            <w:r>
              <w:rPr>
                <w:sz w:val="18"/>
              </w:rPr>
              <w:t>Small replay buffer</w:t>
            </w:r>
          </w:p>
        </w:tc>
        <w:tc>
          <w:tcPr>
            <w:tcW w:w="2140" w:type="dxa"/>
            <w:shd w:val="clear" w:color="auto" w:fill="FFFFFF"/>
            <w:tcMar>
              <w:top w:w="65" w:type="dxa"/>
              <w:left w:w="65" w:type="dxa"/>
              <w:bottom w:w="65" w:type="dxa"/>
              <w:right w:w="65" w:type="dxa"/>
            </w:tcMar>
            <w:vAlign w:val="center"/>
          </w:tcPr>
          <w:p w14:paraId="3D858CEE" w14:textId="77777777" w:rsidR="00AF5C7A" w:rsidRDefault="00FB1870">
            <w:pPr>
              <w:pStyle w:val="Compact"/>
              <w:spacing w:before="20" w:after="40" w:line="245" w:lineRule="auto"/>
            </w:pPr>
            <w:r>
              <w:rPr>
                <w:sz w:val="18"/>
              </w:rPr>
              <w:t>Simulated RF features</w:t>
            </w:r>
          </w:p>
        </w:tc>
        <w:tc>
          <w:tcPr>
            <w:tcW w:w="2140" w:type="dxa"/>
            <w:shd w:val="clear" w:color="auto" w:fill="FFFFFF"/>
            <w:tcMar>
              <w:top w:w="65" w:type="dxa"/>
              <w:left w:w="65" w:type="dxa"/>
              <w:bottom w:w="65" w:type="dxa"/>
              <w:right w:w="65" w:type="dxa"/>
            </w:tcMar>
            <w:vAlign w:val="center"/>
          </w:tcPr>
          <w:p w14:paraId="477C4C98" w14:textId="77777777" w:rsidR="00AF5C7A" w:rsidRDefault="00FB1870">
            <w:pPr>
              <w:pStyle w:val="Compact"/>
              <w:spacing w:before="20" w:after="40" w:line="245" w:lineRule="auto"/>
            </w:pPr>
            <w:r>
              <w:rPr>
                <w:sz w:val="18"/>
              </w:rPr>
              <w:t>Spoofing excluded</w:t>
            </w:r>
          </w:p>
        </w:tc>
      </w:tr>
      <w:tr w:rsidR="00AF5C7A" w14:paraId="1DB9799D" w14:textId="77777777" w:rsidTr="00AF5C7A">
        <w:trPr>
          <w:cantSplit/>
        </w:trPr>
        <w:tc>
          <w:tcPr>
            <w:tcW w:w="1919" w:type="dxa"/>
            <w:shd w:val="clear" w:color="auto" w:fill="F5F7F9"/>
            <w:tcMar>
              <w:top w:w="65" w:type="dxa"/>
              <w:left w:w="65" w:type="dxa"/>
              <w:bottom w:w="65" w:type="dxa"/>
              <w:right w:w="65" w:type="dxa"/>
            </w:tcMar>
            <w:vAlign w:val="center"/>
          </w:tcPr>
          <w:p w14:paraId="59B13916" w14:textId="77777777" w:rsidR="00AF5C7A" w:rsidRDefault="00FB1870">
            <w:pPr>
              <w:pStyle w:val="Compact"/>
              <w:spacing w:before="20" w:after="40" w:line="245" w:lineRule="auto"/>
            </w:pPr>
            <w:r>
              <w:rPr>
                <w:sz w:val="18"/>
              </w:rPr>
              <w:t>Carillo 2026 [6]</w:t>
            </w:r>
          </w:p>
        </w:tc>
        <w:tc>
          <w:tcPr>
            <w:tcW w:w="2140" w:type="dxa"/>
            <w:shd w:val="clear" w:color="auto" w:fill="F5F7F9"/>
            <w:tcMar>
              <w:top w:w="65" w:type="dxa"/>
              <w:left w:w="65" w:type="dxa"/>
              <w:bottom w:w="65" w:type="dxa"/>
              <w:right w:w="65" w:type="dxa"/>
            </w:tcMar>
            <w:vAlign w:val="center"/>
          </w:tcPr>
          <w:p w14:paraId="7EE7DFC6" w14:textId="77777777" w:rsidR="00AF5C7A" w:rsidRDefault="00FB1870">
            <w:pPr>
              <w:pStyle w:val="Compact"/>
              <w:spacing w:before="20" w:after="40" w:line="245" w:lineRule="auto"/>
            </w:pPr>
            <w:r>
              <w:rPr>
                <w:sz w:val="18"/>
              </w:rPr>
              <w:t>Federated CIL</w:t>
            </w:r>
          </w:p>
        </w:tc>
        <w:tc>
          <w:tcPr>
            <w:tcW w:w="2140" w:type="dxa"/>
            <w:shd w:val="clear" w:color="auto" w:fill="F5F7F9"/>
            <w:tcMar>
              <w:top w:w="65" w:type="dxa"/>
              <w:left w:w="65" w:type="dxa"/>
              <w:bottom w:w="65" w:type="dxa"/>
              <w:right w:w="65" w:type="dxa"/>
            </w:tcMar>
            <w:vAlign w:val="center"/>
          </w:tcPr>
          <w:p w14:paraId="2080A684" w14:textId="77777777" w:rsidR="00AF5C7A" w:rsidRDefault="00FB1870">
            <w:pPr>
              <w:pStyle w:val="Compact"/>
              <w:spacing w:before="20" w:after="40" w:line="245" w:lineRule="auto"/>
            </w:pPr>
            <w:r>
              <w:rPr>
                <w:sz w:val="18"/>
              </w:rPr>
              <w:t>Clean non-IID emergence</w:t>
            </w:r>
          </w:p>
        </w:tc>
        <w:tc>
          <w:tcPr>
            <w:tcW w:w="2140" w:type="dxa"/>
            <w:shd w:val="clear" w:color="auto" w:fill="F5F7F9"/>
            <w:tcMar>
              <w:top w:w="65" w:type="dxa"/>
              <w:left w:w="65" w:type="dxa"/>
              <w:bottom w:w="65" w:type="dxa"/>
              <w:right w:w="65" w:type="dxa"/>
            </w:tcMar>
            <w:vAlign w:val="center"/>
          </w:tcPr>
          <w:p w14:paraId="0280EBE6" w14:textId="77777777" w:rsidR="00AF5C7A" w:rsidRDefault="00FB1870">
            <w:pPr>
              <w:pStyle w:val="Compact"/>
              <w:spacing w:before="20" w:after="40" w:line="245" w:lineRule="auto"/>
            </w:pPr>
            <w:r>
              <w:rPr>
                <w:sz w:val="18"/>
              </w:rPr>
              <w:t>Bias correction</w:t>
            </w:r>
          </w:p>
        </w:tc>
        <w:tc>
          <w:tcPr>
            <w:tcW w:w="2140" w:type="dxa"/>
            <w:shd w:val="clear" w:color="auto" w:fill="F5F7F9"/>
            <w:tcMar>
              <w:top w:w="65" w:type="dxa"/>
              <w:left w:w="65" w:type="dxa"/>
              <w:bottom w:w="65" w:type="dxa"/>
              <w:right w:w="65" w:type="dxa"/>
            </w:tcMar>
            <w:vAlign w:val="center"/>
          </w:tcPr>
          <w:p w14:paraId="26E69725" w14:textId="77777777" w:rsidR="00AF5C7A" w:rsidRDefault="00FB1870">
            <w:pPr>
              <w:pStyle w:val="Compact"/>
              <w:spacing w:before="20" w:after="40" w:line="245" w:lineRule="auto"/>
            </w:pPr>
            <w:r>
              <w:rPr>
                <w:sz w:val="18"/>
              </w:rPr>
              <w:t>Replay/distillation</w:t>
            </w:r>
          </w:p>
        </w:tc>
        <w:tc>
          <w:tcPr>
            <w:tcW w:w="2140" w:type="dxa"/>
            <w:shd w:val="clear" w:color="auto" w:fill="F5F7F9"/>
            <w:tcMar>
              <w:top w:w="65" w:type="dxa"/>
              <w:left w:w="65" w:type="dxa"/>
              <w:bottom w:w="65" w:type="dxa"/>
              <w:right w:w="65" w:type="dxa"/>
            </w:tcMar>
            <w:vAlign w:val="center"/>
          </w:tcPr>
          <w:p w14:paraId="77412FF2" w14:textId="77777777" w:rsidR="00AF5C7A" w:rsidRDefault="00FB1870">
            <w:pPr>
              <w:pStyle w:val="Compact"/>
              <w:spacing w:before="20" w:after="40" w:line="245" w:lineRule="auto"/>
            </w:pPr>
            <w:r>
              <w:rPr>
                <w:sz w:val="18"/>
              </w:rPr>
              <w:t>Packet-field matrices</w:t>
            </w:r>
          </w:p>
        </w:tc>
        <w:tc>
          <w:tcPr>
            <w:tcW w:w="2140" w:type="dxa"/>
            <w:shd w:val="clear" w:color="auto" w:fill="F5F7F9"/>
            <w:tcMar>
              <w:top w:w="65" w:type="dxa"/>
              <w:left w:w="65" w:type="dxa"/>
              <w:bottom w:w="65" w:type="dxa"/>
              <w:right w:w="65" w:type="dxa"/>
            </w:tcMar>
            <w:vAlign w:val="center"/>
          </w:tcPr>
          <w:p w14:paraId="1AD94F07" w14:textId="77777777" w:rsidR="00AF5C7A" w:rsidRDefault="00FB1870">
            <w:pPr>
              <w:pStyle w:val="Compact"/>
              <w:spacing w:before="20" w:after="40" w:line="245" w:lineRule="auto"/>
            </w:pPr>
            <w:r>
              <w:rPr>
                <w:sz w:val="18"/>
              </w:rPr>
              <w:t>Clean acquisition reference</w:t>
            </w:r>
          </w:p>
        </w:tc>
      </w:tr>
      <w:tr w:rsidR="00AF5C7A" w14:paraId="58CA93AF" w14:textId="77777777" w:rsidTr="00AF5C7A">
        <w:trPr>
          <w:cantSplit/>
        </w:trPr>
        <w:tc>
          <w:tcPr>
            <w:tcW w:w="1919" w:type="dxa"/>
            <w:shd w:val="clear" w:color="auto" w:fill="FFFFFF"/>
            <w:tcMar>
              <w:top w:w="65" w:type="dxa"/>
              <w:left w:w="65" w:type="dxa"/>
              <w:bottom w:w="65" w:type="dxa"/>
              <w:right w:w="65" w:type="dxa"/>
            </w:tcMar>
            <w:vAlign w:val="center"/>
          </w:tcPr>
          <w:p w14:paraId="6F7B4D1B" w14:textId="77777777" w:rsidR="00AF5C7A" w:rsidRDefault="00FB1870">
            <w:pPr>
              <w:pStyle w:val="Compact"/>
              <w:spacing w:before="20" w:after="40" w:line="245" w:lineRule="auto"/>
            </w:pPr>
            <w:r>
              <w:rPr>
                <w:sz w:val="18"/>
              </w:rPr>
              <w:t>Lavaur 2025 [7]</w:t>
            </w:r>
          </w:p>
        </w:tc>
        <w:tc>
          <w:tcPr>
            <w:tcW w:w="2140" w:type="dxa"/>
            <w:shd w:val="clear" w:color="auto" w:fill="FFFFFF"/>
            <w:tcMar>
              <w:top w:w="65" w:type="dxa"/>
              <w:left w:w="65" w:type="dxa"/>
              <w:bottom w:w="65" w:type="dxa"/>
              <w:right w:w="65" w:type="dxa"/>
            </w:tcMar>
            <w:vAlign w:val="center"/>
          </w:tcPr>
          <w:p w14:paraId="6849F32D" w14:textId="77777777" w:rsidR="00AF5C7A" w:rsidRDefault="00FB1870">
            <w:pPr>
              <w:pStyle w:val="Compact"/>
              <w:spacing w:before="20" w:after="40" w:line="245" w:lineRule="auto"/>
            </w:pPr>
            <w:r>
              <w:rPr>
                <w:sz w:val="18"/>
              </w:rPr>
              <w:t>Fixed binary FL</w:t>
            </w:r>
          </w:p>
        </w:tc>
        <w:tc>
          <w:tcPr>
            <w:tcW w:w="2140" w:type="dxa"/>
            <w:shd w:val="clear" w:color="auto" w:fill="FFFFFF"/>
            <w:tcMar>
              <w:top w:w="65" w:type="dxa"/>
              <w:left w:w="65" w:type="dxa"/>
              <w:bottom w:w="65" w:type="dxa"/>
              <w:right w:w="65" w:type="dxa"/>
            </w:tcMar>
            <w:vAlign w:val="center"/>
          </w:tcPr>
          <w:p w14:paraId="7802F49D" w14:textId="77777777" w:rsidR="00AF5C7A" w:rsidRDefault="00FB1870">
            <w:pPr>
              <w:pStyle w:val="Compact"/>
              <w:spacing w:before="20" w:after="40" w:line="245" w:lineRule="auto"/>
            </w:pPr>
            <w:r>
              <w:rPr>
                <w:sz w:val="18"/>
              </w:rPr>
              <w:t>Targeted/untargeted flips</w:t>
            </w:r>
          </w:p>
        </w:tc>
        <w:tc>
          <w:tcPr>
            <w:tcW w:w="2140" w:type="dxa"/>
            <w:shd w:val="clear" w:color="auto" w:fill="FFFFFF"/>
            <w:tcMar>
              <w:top w:w="65" w:type="dxa"/>
              <w:left w:w="65" w:type="dxa"/>
              <w:bottom w:w="65" w:type="dxa"/>
              <w:right w:w="65" w:type="dxa"/>
            </w:tcMar>
            <w:vAlign w:val="center"/>
          </w:tcPr>
          <w:p w14:paraId="246F2120" w14:textId="77777777" w:rsidR="00AF5C7A" w:rsidRDefault="00FB1870">
            <w:pPr>
              <w:pStyle w:val="Compact"/>
              <w:spacing w:before="20" w:after="40" w:line="245" w:lineRule="auto"/>
            </w:pPr>
            <w:r>
              <w:rPr>
                <w:sz w:val="18"/>
              </w:rPr>
              <w:t>Similarity-based mitigation analysis</w:t>
            </w:r>
          </w:p>
        </w:tc>
        <w:tc>
          <w:tcPr>
            <w:tcW w:w="2140" w:type="dxa"/>
            <w:shd w:val="clear" w:color="auto" w:fill="FFFFFF"/>
            <w:tcMar>
              <w:top w:w="65" w:type="dxa"/>
              <w:left w:w="65" w:type="dxa"/>
              <w:bottom w:w="65" w:type="dxa"/>
              <w:right w:w="65" w:type="dxa"/>
            </w:tcMar>
            <w:vAlign w:val="center"/>
          </w:tcPr>
          <w:p w14:paraId="5656864A" w14:textId="77777777" w:rsidR="00AF5C7A" w:rsidRDefault="00FB1870">
            <w:pPr>
              <w:pStyle w:val="Compact"/>
              <w:spacing w:before="20" w:after="40" w:line="245" w:lineRule="auto"/>
            </w:pPr>
            <w:r>
              <w:rPr>
                <w:sz w:val="18"/>
              </w:rPr>
              <w:t>No continual replay experiment</w:t>
            </w:r>
          </w:p>
        </w:tc>
        <w:tc>
          <w:tcPr>
            <w:tcW w:w="2140" w:type="dxa"/>
            <w:shd w:val="clear" w:color="auto" w:fill="FFFFFF"/>
            <w:tcMar>
              <w:top w:w="65" w:type="dxa"/>
              <w:left w:w="65" w:type="dxa"/>
              <w:bottom w:w="65" w:type="dxa"/>
              <w:right w:w="65" w:type="dxa"/>
            </w:tcMar>
            <w:vAlign w:val="center"/>
          </w:tcPr>
          <w:p w14:paraId="506AB187" w14:textId="77777777" w:rsidR="00AF5C7A" w:rsidRDefault="00FB1870">
            <w:pPr>
              <w:pStyle w:val="Compact"/>
              <w:spacing w:before="20" w:after="40" w:line="245" w:lineRule="auto"/>
            </w:pPr>
            <w:r>
              <w:rPr>
                <w:sz w:val="18"/>
              </w:rPr>
              <w:t>NF-V2 NetFlow</w:t>
            </w:r>
          </w:p>
        </w:tc>
        <w:tc>
          <w:tcPr>
            <w:tcW w:w="2140" w:type="dxa"/>
            <w:shd w:val="clear" w:color="auto" w:fill="FFFFFF"/>
            <w:tcMar>
              <w:top w:w="65" w:type="dxa"/>
              <w:left w:w="65" w:type="dxa"/>
              <w:bottom w:w="65" w:type="dxa"/>
              <w:right w:w="65" w:type="dxa"/>
            </w:tcMar>
            <w:vAlign w:val="center"/>
          </w:tcPr>
          <w:p w14:paraId="2829706B" w14:textId="77777777" w:rsidR="00AF5C7A" w:rsidRDefault="00FB1870">
            <w:pPr>
              <w:pStyle w:val="Compact"/>
              <w:spacing w:before="20" w:after="40" w:line="245" w:lineRule="auto"/>
            </w:pPr>
            <w:r>
              <w:rPr>
                <w:sz w:val="18"/>
              </w:rPr>
              <w:t>Timing/withdrawal in fixed-label FL</w:t>
            </w:r>
          </w:p>
        </w:tc>
      </w:tr>
      <w:tr w:rsidR="00AF5C7A" w14:paraId="109D6A8E" w14:textId="77777777" w:rsidTr="00AF5C7A">
        <w:trPr>
          <w:cantSplit/>
        </w:trPr>
        <w:tc>
          <w:tcPr>
            <w:tcW w:w="1919" w:type="dxa"/>
            <w:shd w:val="clear" w:color="auto" w:fill="F5F7F9"/>
            <w:tcMar>
              <w:top w:w="65" w:type="dxa"/>
              <w:left w:w="65" w:type="dxa"/>
              <w:bottom w:w="65" w:type="dxa"/>
              <w:right w:w="65" w:type="dxa"/>
            </w:tcMar>
            <w:vAlign w:val="center"/>
          </w:tcPr>
          <w:p w14:paraId="6E90801B" w14:textId="77777777" w:rsidR="00AF5C7A" w:rsidRDefault="00FB1870">
            <w:pPr>
              <w:pStyle w:val="Compact"/>
              <w:spacing w:before="20" w:after="40" w:line="245" w:lineRule="auto"/>
            </w:pPr>
            <w:r>
              <w:rPr>
                <w:sz w:val="18"/>
              </w:rPr>
              <w:t>Fuhrman 2025 [8]</w:t>
            </w:r>
          </w:p>
        </w:tc>
        <w:tc>
          <w:tcPr>
            <w:tcW w:w="2140" w:type="dxa"/>
            <w:shd w:val="clear" w:color="auto" w:fill="F5F7F9"/>
            <w:tcMar>
              <w:top w:w="65" w:type="dxa"/>
              <w:left w:w="65" w:type="dxa"/>
              <w:bottom w:w="65" w:type="dxa"/>
              <w:right w:w="65" w:type="dxa"/>
            </w:tcMar>
            <w:vAlign w:val="center"/>
          </w:tcPr>
          <w:p w14:paraId="388F7C5A" w14:textId="77777777" w:rsidR="00AF5C7A" w:rsidRDefault="00FB1870">
            <w:pPr>
              <w:pStyle w:val="Compact"/>
              <w:spacing w:before="20" w:after="40" w:line="245" w:lineRule="auto"/>
            </w:pPr>
            <w:r>
              <w:rPr>
                <w:sz w:val="18"/>
              </w:rPr>
              <w:t>Continual novelty detection</w:t>
            </w:r>
          </w:p>
        </w:tc>
        <w:tc>
          <w:tcPr>
            <w:tcW w:w="2140" w:type="dxa"/>
            <w:shd w:val="clear" w:color="auto" w:fill="F5F7F9"/>
            <w:tcMar>
              <w:top w:w="65" w:type="dxa"/>
              <w:left w:w="65" w:type="dxa"/>
              <w:bottom w:w="65" w:type="dxa"/>
              <w:right w:w="65" w:type="dxa"/>
            </w:tcMar>
            <w:vAlign w:val="center"/>
          </w:tcPr>
          <w:p w14:paraId="73A25BF0" w14:textId="77777777" w:rsidR="00AF5C7A" w:rsidRDefault="00FB1870">
            <w:pPr>
              <w:pStyle w:val="Compact"/>
              <w:spacing w:before="20" w:after="40" w:line="245" w:lineRule="auto"/>
            </w:pPr>
            <w:r>
              <w:rPr>
                <w:sz w:val="18"/>
              </w:rPr>
              <w:t>Emerging unknown attacks</w:t>
            </w:r>
          </w:p>
        </w:tc>
        <w:tc>
          <w:tcPr>
            <w:tcW w:w="2140" w:type="dxa"/>
            <w:shd w:val="clear" w:color="auto" w:fill="F5F7F9"/>
            <w:tcMar>
              <w:top w:w="65" w:type="dxa"/>
              <w:left w:w="65" w:type="dxa"/>
              <w:bottom w:w="65" w:type="dxa"/>
              <w:right w:w="65" w:type="dxa"/>
            </w:tcMar>
            <w:vAlign w:val="center"/>
          </w:tcPr>
          <w:p w14:paraId="36ADFED3" w14:textId="77777777" w:rsidR="00AF5C7A" w:rsidRDefault="00FB1870">
            <w:pPr>
              <w:pStyle w:val="Compact"/>
              <w:spacing w:before="20" w:after="40" w:line="245" w:lineRule="auto"/>
            </w:pPr>
            <w:r>
              <w:rPr>
                <w:sz w:val="18"/>
              </w:rPr>
              <w:t>Representation/PCA score</w:t>
            </w:r>
          </w:p>
        </w:tc>
        <w:tc>
          <w:tcPr>
            <w:tcW w:w="2140" w:type="dxa"/>
            <w:shd w:val="clear" w:color="auto" w:fill="F5F7F9"/>
            <w:tcMar>
              <w:top w:w="65" w:type="dxa"/>
              <w:left w:w="65" w:type="dxa"/>
              <w:bottom w:w="65" w:type="dxa"/>
              <w:right w:w="65" w:type="dxa"/>
            </w:tcMar>
            <w:vAlign w:val="center"/>
          </w:tcPr>
          <w:p w14:paraId="4C15A936" w14:textId="77777777" w:rsidR="00AF5C7A" w:rsidRDefault="00FB1870">
            <w:pPr>
              <w:pStyle w:val="Compact"/>
              <w:spacing w:before="20" w:after="40" w:line="245" w:lineRule="auto"/>
            </w:pPr>
            <w:r>
              <w:rPr>
                <w:sz w:val="18"/>
              </w:rPr>
              <w:t>Past-encoder distillation</w:t>
            </w:r>
          </w:p>
        </w:tc>
        <w:tc>
          <w:tcPr>
            <w:tcW w:w="2140" w:type="dxa"/>
            <w:shd w:val="clear" w:color="auto" w:fill="F5F7F9"/>
            <w:tcMar>
              <w:top w:w="65" w:type="dxa"/>
              <w:left w:w="65" w:type="dxa"/>
              <w:bottom w:w="65" w:type="dxa"/>
              <w:right w:w="65" w:type="dxa"/>
            </w:tcMar>
            <w:vAlign w:val="center"/>
          </w:tcPr>
          <w:p w14:paraId="76095E2C" w14:textId="77777777" w:rsidR="00AF5C7A" w:rsidRDefault="00FB1870">
            <w:pPr>
              <w:pStyle w:val="Compact"/>
              <w:spacing w:before="20" w:after="40" w:line="245" w:lineRule="auto"/>
            </w:pPr>
            <w:r>
              <w:rPr>
                <w:sz w:val="18"/>
              </w:rPr>
              <w:t>Numeric IDS features</w:t>
            </w:r>
          </w:p>
        </w:tc>
        <w:tc>
          <w:tcPr>
            <w:tcW w:w="2140" w:type="dxa"/>
            <w:shd w:val="clear" w:color="auto" w:fill="F5F7F9"/>
            <w:tcMar>
              <w:top w:w="65" w:type="dxa"/>
              <w:left w:w="65" w:type="dxa"/>
              <w:bottom w:w="65" w:type="dxa"/>
              <w:right w:w="65" w:type="dxa"/>
            </w:tcMar>
            <w:vAlign w:val="center"/>
          </w:tcPr>
          <w:p w14:paraId="606EAADB" w14:textId="77777777" w:rsidR="00AF5C7A" w:rsidRDefault="00FB1870">
            <w:pPr>
              <w:pStyle w:val="Compact"/>
              <w:spacing w:before="20" w:after="40" w:line="245" w:lineRule="auto"/>
            </w:pPr>
            <w:r>
              <w:rPr>
                <w:sz w:val="18"/>
              </w:rPr>
              <w:t>No training poison test</w:t>
            </w:r>
          </w:p>
        </w:tc>
      </w:tr>
      <w:tr w:rsidR="00AF5C7A" w14:paraId="5B2F356D" w14:textId="77777777" w:rsidTr="00AF5C7A">
        <w:trPr>
          <w:cantSplit/>
        </w:trPr>
        <w:tc>
          <w:tcPr>
            <w:tcW w:w="1919" w:type="dxa"/>
            <w:shd w:val="clear" w:color="auto" w:fill="FFFFFF"/>
            <w:tcMar>
              <w:top w:w="65" w:type="dxa"/>
              <w:left w:w="65" w:type="dxa"/>
              <w:bottom w:w="65" w:type="dxa"/>
              <w:right w:w="65" w:type="dxa"/>
            </w:tcMar>
            <w:vAlign w:val="center"/>
          </w:tcPr>
          <w:p w14:paraId="020D78A5" w14:textId="77777777" w:rsidR="00AF5C7A" w:rsidRDefault="00FB1870">
            <w:pPr>
              <w:pStyle w:val="Compact"/>
              <w:spacing w:before="20" w:after="40" w:line="245" w:lineRule="auto"/>
            </w:pPr>
            <w:r>
              <w:rPr>
                <w:sz w:val="18"/>
              </w:rPr>
              <w:t>Sameera 2025 [9]</w:t>
            </w:r>
          </w:p>
        </w:tc>
        <w:tc>
          <w:tcPr>
            <w:tcW w:w="2140" w:type="dxa"/>
            <w:shd w:val="clear" w:color="auto" w:fill="FFFFFF"/>
            <w:tcMar>
              <w:top w:w="65" w:type="dxa"/>
              <w:left w:w="65" w:type="dxa"/>
              <w:bottom w:w="65" w:type="dxa"/>
              <w:right w:w="65" w:type="dxa"/>
            </w:tcMar>
            <w:vAlign w:val="center"/>
          </w:tcPr>
          <w:p w14:paraId="59DA081D" w14:textId="77777777" w:rsidR="00AF5C7A" w:rsidRDefault="00FB1870">
            <w:pPr>
              <w:pStyle w:val="Compact"/>
              <w:spacing w:before="20" w:after="40" w:line="245" w:lineRule="auto"/>
            </w:pPr>
            <w:r>
              <w:rPr>
                <w:sz w:val="18"/>
              </w:rPr>
              <w:t>Fixed-label FL</w:t>
            </w:r>
          </w:p>
        </w:tc>
        <w:tc>
          <w:tcPr>
            <w:tcW w:w="2140" w:type="dxa"/>
            <w:shd w:val="clear" w:color="auto" w:fill="FFFFFF"/>
            <w:tcMar>
              <w:top w:w="65" w:type="dxa"/>
              <w:left w:w="65" w:type="dxa"/>
              <w:bottom w:w="65" w:type="dxa"/>
              <w:right w:w="65" w:type="dxa"/>
            </w:tcMar>
            <w:vAlign w:val="center"/>
          </w:tcPr>
          <w:p w14:paraId="1C7626E4" w14:textId="77777777" w:rsidR="00AF5C7A" w:rsidRDefault="00FB1870">
            <w:pPr>
              <w:pStyle w:val="Compact"/>
              <w:spacing w:before="20" w:after="40" w:line="245" w:lineRule="auto"/>
            </w:pPr>
            <w:r>
              <w:rPr>
                <w:sz w:val="18"/>
              </w:rPr>
              <w:t>Poisoned clients</w:t>
            </w:r>
          </w:p>
        </w:tc>
        <w:tc>
          <w:tcPr>
            <w:tcW w:w="2140" w:type="dxa"/>
            <w:shd w:val="clear" w:color="auto" w:fill="FFFFFF"/>
            <w:tcMar>
              <w:top w:w="65" w:type="dxa"/>
              <w:left w:w="65" w:type="dxa"/>
              <w:bottom w:w="65" w:type="dxa"/>
              <w:right w:w="65" w:type="dxa"/>
            </w:tcMar>
            <w:vAlign w:val="center"/>
          </w:tcPr>
          <w:p w14:paraId="7BBEC7F3" w14:textId="77777777" w:rsidR="00AF5C7A" w:rsidRDefault="00FB1870">
            <w:pPr>
              <w:pStyle w:val="Compact"/>
              <w:spacing w:before="20" w:after="40" w:line="245" w:lineRule="auto"/>
            </w:pPr>
            <w:r>
              <w:rPr>
                <w:sz w:val="18"/>
              </w:rPr>
              <w:t>Weibull validation gate</w:t>
            </w:r>
          </w:p>
        </w:tc>
        <w:tc>
          <w:tcPr>
            <w:tcW w:w="2140" w:type="dxa"/>
            <w:shd w:val="clear" w:color="auto" w:fill="FFFFFF"/>
            <w:tcMar>
              <w:top w:w="65" w:type="dxa"/>
              <w:left w:w="65" w:type="dxa"/>
              <w:bottom w:w="65" w:type="dxa"/>
              <w:right w:w="65" w:type="dxa"/>
            </w:tcMar>
            <w:vAlign w:val="center"/>
          </w:tcPr>
          <w:p w14:paraId="6109AE49" w14:textId="77777777" w:rsidR="00AF5C7A" w:rsidRDefault="00FB1870">
            <w:pPr>
              <w:pStyle w:val="Compact"/>
              <w:spacing w:before="20" w:after="40" w:line="245" w:lineRule="auto"/>
            </w:pPr>
            <w:r>
              <w:rPr>
                <w:sz w:val="18"/>
              </w:rPr>
              <w:t>No expanding-memory study</w:t>
            </w:r>
          </w:p>
        </w:tc>
        <w:tc>
          <w:tcPr>
            <w:tcW w:w="2140" w:type="dxa"/>
            <w:shd w:val="clear" w:color="auto" w:fill="FFFFFF"/>
            <w:tcMar>
              <w:top w:w="65" w:type="dxa"/>
              <w:left w:w="65" w:type="dxa"/>
              <w:bottom w:w="65" w:type="dxa"/>
              <w:right w:w="65" w:type="dxa"/>
            </w:tcMar>
            <w:vAlign w:val="center"/>
          </w:tcPr>
          <w:p w14:paraId="4B700DD8" w14:textId="77777777" w:rsidR="00AF5C7A" w:rsidRDefault="00FB1870">
            <w:pPr>
              <w:pStyle w:val="Compact"/>
              <w:spacing w:before="20" w:after="40" w:line="245" w:lineRule="auto"/>
            </w:pPr>
            <w:r>
              <w:rPr>
                <w:sz w:val="18"/>
              </w:rPr>
              <w:t>Encoded flow features</w:t>
            </w:r>
          </w:p>
        </w:tc>
        <w:tc>
          <w:tcPr>
            <w:tcW w:w="2140" w:type="dxa"/>
            <w:shd w:val="clear" w:color="auto" w:fill="FFFFFF"/>
            <w:tcMar>
              <w:top w:w="65" w:type="dxa"/>
              <w:left w:w="65" w:type="dxa"/>
              <w:bottom w:w="65" w:type="dxa"/>
              <w:right w:w="65" w:type="dxa"/>
            </w:tcMar>
            <w:vAlign w:val="center"/>
          </w:tcPr>
          <w:p w14:paraId="24D003D1" w14:textId="77777777" w:rsidR="00AF5C7A" w:rsidRDefault="00FB1870">
            <w:pPr>
              <w:pStyle w:val="Compact"/>
              <w:spacing w:before="20" w:after="40" w:line="245" w:lineRule="auto"/>
            </w:pPr>
            <w:r>
              <w:rPr>
                <w:sz w:val="18"/>
              </w:rPr>
              <w:t>Poisoning; expanding classes untested</w:t>
            </w:r>
          </w:p>
        </w:tc>
      </w:tr>
      <w:tr w:rsidR="00AF5C7A" w14:paraId="2BF1A9E1" w14:textId="77777777" w:rsidTr="00AF5C7A">
        <w:trPr>
          <w:cantSplit/>
        </w:trPr>
        <w:tc>
          <w:tcPr>
            <w:tcW w:w="1919" w:type="dxa"/>
            <w:shd w:val="clear" w:color="auto" w:fill="F5F7F9"/>
            <w:tcMar>
              <w:top w:w="65" w:type="dxa"/>
              <w:left w:w="65" w:type="dxa"/>
              <w:bottom w:w="65" w:type="dxa"/>
              <w:right w:w="65" w:type="dxa"/>
            </w:tcMar>
            <w:vAlign w:val="center"/>
          </w:tcPr>
          <w:p w14:paraId="3D2181E5" w14:textId="77777777" w:rsidR="00AF5C7A" w:rsidRDefault="00FB1870">
            <w:pPr>
              <w:pStyle w:val="Compact"/>
              <w:spacing w:before="20" w:after="40" w:line="245" w:lineRule="auto"/>
            </w:pPr>
            <w:r>
              <w:rPr>
                <w:sz w:val="18"/>
              </w:rPr>
              <w:t>Cerasuolo 2025 [10]</w:t>
            </w:r>
          </w:p>
        </w:tc>
        <w:tc>
          <w:tcPr>
            <w:tcW w:w="2140" w:type="dxa"/>
            <w:shd w:val="clear" w:color="auto" w:fill="F5F7F9"/>
            <w:tcMar>
              <w:top w:w="65" w:type="dxa"/>
              <w:left w:w="65" w:type="dxa"/>
              <w:bottom w:w="65" w:type="dxa"/>
              <w:right w:w="65" w:type="dxa"/>
            </w:tcMar>
            <w:vAlign w:val="center"/>
          </w:tcPr>
          <w:p w14:paraId="49810C3A" w14:textId="77777777" w:rsidR="00AF5C7A" w:rsidRDefault="00FB1870">
            <w:pPr>
              <w:pStyle w:val="Compact"/>
              <w:spacing w:before="20" w:after="40" w:line="245" w:lineRule="auto"/>
            </w:pPr>
            <w:r>
              <w:rPr>
                <w:sz w:val="18"/>
              </w:rPr>
              <w:t>Central CIL/few-shot CIL</w:t>
            </w:r>
          </w:p>
        </w:tc>
        <w:tc>
          <w:tcPr>
            <w:tcW w:w="2140" w:type="dxa"/>
            <w:shd w:val="clear" w:color="auto" w:fill="F5F7F9"/>
            <w:tcMar>
              <w:top w:w="65" w:type="dxa"/>
              <w:left w:w="65" w:type="dxa"/>
              <w:bottom w:w="65" w:type="dxa"/>
              <w:right w:w="65" w:type="dxa"/>
            </w:tcMar>
            <w:vAlign w:val="center"/>
          </w:tcPr>
          <w:p w14:paraId="76BEE555" w14:textId="77777777" w:rsidR="00AF5C7A" w:rsidRDefault="00FB1870">
            <w:pPr>
              <w:pStyle w:val="Compact"/>
              <w:spacing w:before="20" w:after="40" w:line="245" w:lineRule="auto"/>
            </w:pPr>
            <w:r>
              <w:rPr>
                <w:sz w:val="18"/>
              </w:rPr>
              <w:t>Packet perturbations</w:t>
            </w:r>
          </w:p>
        </w:tc>
        <w:tc>
          <w:tcPr>
            <w:tcW w:w="2140" w:type="dxa"/>
            <w:shd w:val="clear" w:color="auto" w:fill="F5F7F9"/>
            <w:tcMar>
              <w:top w:w="65" w:type="dxa"/>
              <w:left w:w="65" w:type="dxa"/>
              <w:bottom w:w="65" w:type="dxa"/>
              <w:right w:w="65" w:type="dxa"/>
            </w:tcMar>
            <w:vAlign w:val="center"/>
          </w:tcPr>
          <w:p w14:paraId="1470ED09" w14:textId="77777777" w:rsidR="00AF5C7A" w:rsidRDefault="00FB1870">
            <w:pPr>
              <w:pStyle w:val="Compact"/>
              <w:spacing w:before="20" w:after="40" w:line="245" w:lineRule="auto"/>
            </w:pPr>
            <w:r>
              <w:rPr>
                <w:sz w:val="18"/>
              </w:rPr>
              <w:t>Rebalancing/distillation</w:t>
            </w:r>
          </w:p>
        </w:tc>
        <w:tc>
          <w:tcPr>
            <w:tcW w:w="2140" w:type="dxa"/>
            <w:shd w:val="clear" w:color="auto" w:fill="F5F7F9"/>
            <w:tcMar>
              <w:top w:w="65" w:type="dxa"/>
              <w:left w:w="65" w:type="dxa"/>
              <w:bottom w:w="65" w:type="dxa"/>
              <w:right w:w="65" w:type="dxa"/>
            </w:tcMar>
            <w:vAlign w:val="center"/>
          </w:tcPr>
          <w:p w14:paraId="4B422F30" w14:textId="77777777" w:rsidR="00AF5C7A" w:rsidRDefault="00FB1870">
            <w:pPr>
              <w:pStyle w:val="Compact"/>
              <w:spacing w:before="20" w:after="40" w:line="245" w:lineRule="auto"/>
            </w:pPr>
            <w:r>
              <w:rPr>
                <w:sz w:val="18"/>
              </w:rPr>
              <w:t>Exemplars; capacity sweeps</w:t>
            </w:r>
          </w:p>
        </w:tc>
        <w:tc>
          <w:tcPr>
            <w:tcW w:w="2140" w:type="dxa"/>
            <w:shd w:val="clear" w:color="auto" w:fill="F5F7F9"/>
            <w:tcMar>
              <w:top w:w="65" w:type="dxa"/>
              <w:left w:w="65" w:type="dxa"/>
              <w:bottom w:w="65" w:type="dxa"/>
              <w:right w:w="65" w:type="dxa"/>
            </w:tcMar>
            <w:vAlign w:val="center"/>
          </w:tcPr>
          <w:p w14:paraId="451911C3" w14:textId="77777777" w:rsidR="00AF5C7A" w:rsidRDefault="00FB1870">
            <w:pPr>
              <w:pStyle w:val="Compact"/>
              <w:spacing w:before="20" w:after="40" w:line="245" w:lineRule="auto"/>
            </w:pPr>
            <w:r>
              <w:rPr>
                <w:sz w:val="18"/>
              </w:rPr>
              <w:t>Packet-field matrices</w:t>
            </w:r>
          </w:p>
        </w:tc>
        <w:tc>
          <w:tcPr>
            <w:tcW w:w="2140" w:type="dxa"/>
            <w:shd w:val="clear" w:color="auto" w:fill="F5F7F9"/>
            <w:tcMar>
              <w:top w:w="65" w:type="dxa"/>
              <w:left w:w="65" w:type="dxa"/>
              <w:bottom w:w="65" w:type="dxa"/>
              <w:right w:w="65" w:type="dxa"/>
            </w:tcMar>
            <w:vAlign w:val="center"/>
          </w:tcPr>
          <w:p w14:paraId="6DCB510F" w14:textId="77777777" w:rsidR="00AF5C7A" w:rsidRDefault="00FB1870">
            <w:pPr>
              <w:pStyle w:val="Compact"/>
              <w:spacing w:before="20" w:after="40" w:line="245" w:lineRule="auto"/>
            </w:pPr>
            <w:r>
              <w:rPr>
                <w:sz w:val="18"/>
              </w:rPr>
              <w:t>Input perturbation; separate from label poison</w:t>
            </w:r>
          </w:p>
        </w:tc>
      </w:tr>
      <w:tr w:rsidR="00AF5C7A" w14:paraId="5B42EA97" w14:textId="77777777" w:rsidTr="00AF5C7A">
        <w:trPr>
          <w:cantSplit/>
        </w:trPr>
        <w:tc>
          <w:tcPr>
            <w:tcW w:w="1919" w:type="dxa"/>
            <w:shd w:val="clear" w:color="auto" w:fill="FFFFFF"/>
            <w:tcMar>
              <w:top w:w="65" w:type="dxa"/>
              <w:left w:w="65" w:type="dxa"/>
              <w:bottom w:w="65" w:type="dxa"/>
              <w:right w:w="65" w:type="dxa"/>
            </w:tcMar>
            <w:vAlign w:val="center"/>
          </w:tcPr>
          <w:p w14:paraId="710EF946" w14:textId="77777777" w:rsidR="00AF5C7A" w:rsidRDefault="00FB1870">
            <w:pPr>
              <w:pStyle w:val="Compact"/>
              <w:spacing w:before="20" w:after="40" w:line="245" w:lineRule="auto"/>
            </w:pPr>
            <w:r>
              <w:rPr>
                <w:sz w:val="18"/>
              </w:rPr>
              <w:t>Guo 2025 [11]</w:t>
            </w:r>
          </w:p>
        </w:tc>
        <w:tc>
          <w:tcPr>
            <w:tcW w:w="2140" w:type="dxa"/>
            <w:shd w:val="clear" w:color="auto" w:fill="FFFFFF"/>
            <w:tcMar>
              <w:top w:w="65" w:type="dxa"/>
              <w:left w:w="65" w:type="dxa"/>
              <w:bottom w:w="65" w:type="dxa"/>
              <w:right w:w="65" w:type="dxa"/>
            </w:tcMar>
            <w:vAlign w:val="center"/>
          </w:tcPr>
          <w:p w14:paraId="667DD8C8" w14:textId="77777777" w:rsidR="00AF5C7A" w:rsidRDefault="00FB1870">
            <w:pPr>
              <w:pStyle w:val="Compact"/>
              <w:spacing w:before="20" w:after="40" w:line="245" w:lineRule="auto"/>
            </w:pPr>
            <w:r>
              <w:rPr>
                <w:sz w:val="18"/>
              </w:rPr>
              <w:t>Semi-supervised continual IDS</w:t>
            </w:r>
          </w:p>
        </w:tc>
        <w:tc>
          <w:tcPr>
            <w:tcW w:w="2140" w:type="dxa"/>
            <w:shd w:val="clear" w:color="auto" w:fill="FFFFFF"/>
            <w:tcMar>
              <w:top w:w="65" w:type="dxa"/>
              <w:left w:w="65" w:type="dxa"/>
              <w:bottom w:w="65" w:type="dxa"/>
              <w:right w:w="65" w:type="dxa"/>
            </w:tcMar>
            <w:vAlign w:val="center"/>
          </w:tcPr>
          <w:p w14:paraId="04F24F4B" w14:textId="77777777" w:rsidR="00AF5C7A" w:rsidRDefault="00FB1870">
            <w:pPr>
              <w:pStyle w:val="Compact"/>
              <w:spacing w:before="20" w:after="40" w:line="245" w:lineRule="auto"/>
            </w:pPr>
            <w:r>
              <w:rPr>
                <w:sz w:val="18"/>
              </w:rPr>
              <w:t>Clean imbalance/label scarcity</w:t>
            </w:r>
          </w:p>
        </w:tc>
        <w:tc>
          <w:tcPr>
            <w:tcW w:w="2140" w:type="dxa"/>
            <w:shd w:val="clear" w:color="auto" w:fill="FFFFFF"/>
            <w:tcMar>
              <w:top w:w="65" w:type="dxa"/>
              <w:left w:w="65" w:type="dxa"/>
              <w:bottom w:w="65" w:type="dxa"/>
              <w:right w:w="65" w:type="dxa"/>
            </w:tcMar>
            <w:vAlign w:val="center"/>
          </w:tcPr>
          <w:p w14:paraId="5ED8B388" w14:textId="77777777" w:rsidR="00AF5C7A" w:rsidRDefault="00FB1870">
            <w:pPr>
              <w:pStyle w:val="Compact"/>
              <w:spacing w:before="20" w:after="40" w:line="245" w:lineRule="auto"/>
            </w:pPr>
            <w:r>
              <w:rPr>
                <w:sz w:val="18"/>
              </w:rPr>
              <w:t>Meta-weighting/distillation</w:t>
            </w:r>
          </w:p>
        </w:tc>
        <w:tc>
          <w:tcPr>
            <w:tcW w:w="2140" w:type="dxa"/>
            <w:shd w:val="clear" w:color="auto" w:fill="FFFFFF"/>
            <w:tcMar>
              <w:top w:w="65" w:type="dxa"/>
              <w:left w:w="65" w:type="dxa"/>
              <w:bottom w:w="65" w:type="dxa"/>
              <w:right w:w="65" w:type="dxa"/>
            </w:tcMar>
            <w:vAlign w:val="center"/>
          </w:tcPr>
          <w:p w14:paraId="3A6C4697" w14:textId="77777777" w:rsidR="00AF5C7A" w:rsidRDefault="00FB1870">
            <w:pPr>
              <w:pStyle w:val="Compact"/>
              <w:spacing w:before="20" w:after="40" w:line="245" w:lineRule="auto"/>
            </w:pPr>
            <w:r>
              <w:rPr>
                <w:sz w:val="18"/>
              </w:rPr>
              <w:t>DP-Means/entropy selection</w:t>
            </w:r>
          </w:p>
        </w:tc>
        <w:tc>
          <w:tcPr>
            <w:tcW w:w="2140" w:type="dxa"/>
            <w:shd w:val="clear" w:color="auto" w:fill="FFFFFF"/>
            <w:tcMar>
              <w:top w:w="65" w:type="dxa"/>
              <w:left w:w="65" w:type="dxa"/>
              <w:bottom w:w="65" w:type="dxa"/>
              <w:right w:w="65" w:type="dxa"/>
            </w:tcMar>
            <w:vAlign w:val="center"/>
          </w:tcPr>
          <w:p w14:paraId="66DCF50E" w14:textId="77777777" w:rsidR="00AF5C7A" w:rsidRDefault="00FB1870">
            <w:pPr>
              <w:pStyle w:val="Compact"/>
              <w:spacing w:before="20" w:after="40" w:line="245" w:lineRule="auto"/>
            </w:pPr>
            <w:r>
              <w:rPr>
                <w:sz w:val="18"/>
              </w:rPr>
              <w:t>Numeric/encoded flows</w:t>
            </w:r>
          </w:p>
        </w:tc>
        <w:tc>
          <w:tcPr>
            <w:tcW w:w="2140" w:type="dxa"/>
            <w:shd w:val="clear" w:color="auto" w:fill="FFFFFF"/>
            <w:tcMar>
              <w:top w:w="65" w:type="dxa"/>
              <w:left w:w="65" w:type="dxa"/>
              <w:bottom w:w="65" w:type="dxa"/>
              <w:right w:w="65" w:type="dxa"/>
            </w:tcMar>
            <w:vAlign w:val="center"/>
          </w:tcPr>
          <w:p w14:paraId="45B210FF" w14:textId="77777777" w:rsidR="00AF5C7A" w:rsidRDefault="00FB1870">
            <w:pPr>
              <w:pStyle w:val="Compact"/>
              <w:spacing w:before="20" w:after="40" w:line="245" w:lineRule="auto"/>
            </w:pPr>
            <w:r>
              <w:rPr>
                <w:sz w:val="18"/>
              </w:rPr>
              <w:t>Adversarial memory admission untested</w:t>
            </w:r>
          </w:p>
        </w:tc>
      </w:tr>
      <w:tr w:rsidR="00AF5C7A" w14:paraId="69E80FDB" w14:textId="77777777" w:rsidTr="00AF5C7A">
        <w:trPr>
          <w:cantSplit/>
        </w:trPr>
        <w:tc>
          <w:tcPr>
            <w:tcW w:w="1919" w:type="dxa"/>
            <w:shd w:val="clear" w:color="auto" w:fill="F5F7F9"/>
            <w:tcMar>
              <w:top w:w="65" w:type="dxa"/>
              <w:left w:w="65" w:type="dxa"/>
              <w:bottom w:w="65" w:type="dxa"/>
              <w:right w:w="65" w:type="dxa"/>
            </w:tcMar>
            <w:vAlign w:val="center"/>
          </w:tcPr>
          <w:p w14:paraId="312E8889" w14:textId="77777777" w:rsidR="00AF5C7A" w:rsidRDefault="00FB1870">
            <w:pPr>
              <w:pStyle w:val="Compact"/>
              <w:spacing w:before="20" w:after="40" w:line="245" w:lineRule="auto"/>
            </w:pPr>
            <w:r>
              <w:rPr>
                <w:sz w:val="18"/>
              </w:rPr>
              <w:t>Prasad 2026 [12]</w:t>
            </w:r>
          </w:p>
        </w:tc>
        <w:tc>
          <w:tcPr>
            <w:tcW w:w="2140" w:type="dxa"/>
            <w:shd w:val="clear" w:color="auto" w:fill="F5F7F9"/>
            <w:tcMar>
              <w:top w:w="65" w:type="dxa"/>
              <w:left w:w="65" w:type="dxa"/>
              <w:bottom w:w="65" w:type="dxa"/>
              <w:right w:w="65" w:type="dxa"/>
            </w:tcMar>
            <w:vAlign w:val="center"/>
          </w:tcPr>
          <w:p w14:paraId="6138B5E7" w14:textId="77777777" w:rsidR="00AF5C7A" w:rsidRDefault="00FB1870">
            <w:pPr>
              <w:pStyle w:val="Compact"/>
              <w:spacing w:before="20" w:after="40" w:line="245" w:lineRule="auto"/>
            </w:pPr>
            <w:r>
              <w:rPr>
                <w:sz w:val="18"/>
              </w:rPr>
              <w:t>Binary streaming FL</w:t>
            </w:r>
          </w:p>
        </w:tc>
        <w:tc>
          <w:tcPr>
            <w:tcW w:w="2140" w:type="dxa"/>
            <w:shd w:val="clear" w:color="auto" w:fill="F5F7F9"/>
            <w:tcMar>
              <w:top w:w="65" w:type="dxa"/>
              <w:left w:w="65" w:type="dxa"/>
              <w:bottom w:w="65" w:type="dxa"/>
              <w:right w:w="65" w:type="dxa"/>
            </w:tcMar>
            <w:vAlign w:val="center"/>
          </w:tcPr>
          <w:p w14:paraId="57A7395B" w14:textId="77777777" w:rsidR="00AF5C7A" w:rsidRDefault="00FB1870">
            <w:pPr>
              <w:pStyle w:val="Compact"/>
              <w:spacing w:before="20" w:after="40" w:line="245" w:lineRule="auto"/>
            </w:pPr>
            <w:r>
              <w:rPr>
                <w:sz w:val="18"/>
              </w:rPr>
              <w:t>Label inversion/FGSM</w:t>
            </w:r>
          </w:p>
        </w:tc>
        <w:tc>
          <w:tcPr>
            <w:tcW w:w="2140" w:type="dxa"/>
            <w:shd w:val="clear" w:color="auto" w:fill="F5F7F9"/>
            <w:tcMar>
              <w:top w:w="65" w:type="dxa"/>
              <w:left w:w="65" w:type="dxa"/>
              <w:bottom w:w="65" w:type="dxa"/>
              <w:right w:w="65" w:type="dxa"/>
            </w:tcMar>
            <w:vAlign w:val="center"/>
          </w:tcPr>
          <w:p w14:paraId="45503B1D" w14:textId="77777777" w:rsidR="00AF5C7A" w:rsidRDefault="00FB1870">
            <w:pPr>
              <w:pStyle w:val="Compact"/>
              <w:spacing w:before="20" w:after="40" w:line="245" w:lineRule="auto"/>
            </w:pPr>
            <w:r>
              <w:rPr>
                <w:sz w:val="18"/>
              </w:rPr>
              <w:t>Client/server accuracy gates</w:t>
            </w:r>
          </w:p>
        </w:tc>
        <w:tc>
          <w:tcPr>
            <w:tcW w:w="2140" w:type="dxa"/>
            <w:shd w:val="clear" w:color="auto" w:fill="F5F7F9"/>
            <w:tcMar>
              <w:top w:w="65" w:type="dxa"/>
              <w:left w:w="65" w:type="dxa"/>
              <w:bottom w:w="65" w:type="dxa"/>
              <w:right w:w="65" w:type="dxa"/>
            </w:tcMar>
            <w:vAlign w:val="center"/>
          </w:tcPr>
          <w:p w14:paraId="31F8A652" w14:textId="77777777" w:rsidR="00AF5C7A" w:rsidRDefault="00FB1870">
            <w:pPr>
              <w:pStyle w:val="Compact"/>
              <w:spacing w:before="20" w:after="40" w:line="245" w:lineRule="auto"/>
            </w:pPr>
            <w:r>
              <w:rPr>
                <w:sz w:val="18"/>
              </w:rPr>
              <w:t>Incremental ensemble state</w:t>
            </w:r>
          </w:p>
        </w:tc>
        <w:tc>
          <w:tcPr>
            <w:tcW w:w="2140" w:type="dxa"/>
            <w:shd w:val="clear" w:color="auto" w:fill="F5F7F9"/>
            <w:tcMar>
              <w:top w:w="65" w:type="dxa"/>
              <w:left w:w="65" w:type="dxa"/>
              <w:bottom w:w="65" w:type="dxa"/>
              <w:right w:w="65" w:type="dxa"/>
            </w:tcMar>
            <w:vAlign w:val="center"/>
          </w:tcPr>
          <w:p w14:paraId="2B116903" w14:textId="77777777" w:rsidR="00AF5C7A" w:rsidRDefault="00FB1870">
            <w:pPr>
              <w:pStyle w:val="Compact"/>
              <w:spacing w:before="20" w:after="40" w:line="245" w:lineRule="auto"/>
            </w:pPr>
            <w:r>
              <w:rPr>
                <w:sz w:val="18"/>
              </w:rPr>
              <w:t>CICIoT2023 flows</w:t>
            </w:r>
          </w:p>
        </w:tc>
        <w:tc>
          <w:tcPr>
            <w:tcW w:w="2140" w:type="dxa"/>
            <w:shd w:val="clear" w:color="auto" w:fill="F5F7F9"/>
            <w:tcMar>
              <w:top w:w="65" w:type="dxa"/>
              <w:left w:w="65" w:type="dxa"/>
              <w:bottom w:w="65" w:type="dxa"/>
              <w:right w:w="65" w:type="dxa"/>
            </w:tcMar>
            <w:vAlign w:val="center"/>
          </w:tcPr>
          <w:p w14:paraId="55F66E08" w14:textId="77777777" w:rsidR="00AF5C7A" w:rsidRDefault="00FB1870">
            <w:pPr>
              <w:pStyle w:val="Compact"/>
              <w:spacing w:before="20" w:after="40" w:line="245" w:lineRule="auto"/>
            </w:pPr>
            <w:r>
              <w:rPr>
                <w:sz w:val="18"/>
              </w:rPr>
              <w:t>Streaming poison evidence; family expansion untested</w:t>
            </w:r>
          </w:p>
        </w:tc>
      </w:tr>
    </w:tbl>
    <w:p w14:paraId="06B5346E" w14:textId="77777777" w:rsidR="00AF5C7A" w:rsidRDefault="00AF5C7A">
      <w:pPr>
        <w:sectPr w:rsidR="00AF5C7A">
          <w:pgSz w:w="16838" w:h="11906" w:orient="landscape"/>
          <w:pgMar w:top="936" w:right="1037" w:bottom="936" w:left="1037" w:header="432" w:footer="432" w:gutter="0"/>
          <w:cols w:space="720"/>
        </w:sectPr>
      </w:pPr>
    </w:p>
    <w:p w14:paraId="70A91AB4" w14:textId="77777777" w:rsidR="00AF5C7A" w:rsidRDefault="00FB1870">
      <w:pPr>
        <w:pStyle w:val="BodyText"/>
      </w:pPr>
      <w:r>
        <w:lastRenderedPageBreak/>
        <w:t>Retention studies allocate resources differently. Carillo combines federation with rehearsal/bias correction, Cerasuolo varies exemplars and packet count, and Guo selects diverse uncertain samples. We fix the backbone and separate admission from eviction; representation and supervision differences prevent score ranking.</w:t>
      </w:r>
    </w:p>
    <w:p w14:paraId="227254D1" w14:textId="77777777" w:rsidR="00AF5C7A" w:rsidRDefault="00FB1870">
      <w:pPr>
        <w:pStyle w:val="BodyText"/>
      </w:pPr>
      <w:r>
        <w:t>Poisoning effects depend on participation. Lavaur’s Section 5.4/Figure 10 shows relative success below 0.1 with one attacker among ten, even at complete local corruption; 50% participation raises damage. High IID corruption drives targeted success toward 1.0 in NF-V2 CSE-CIC-IDS2018, with weaker UNSW effects [7]. Prasad’s gates reject complete inversion; selected initialization achieves accuracy/FMI .979596/.979392 (Table 6) [12]. Different threats and trusted information motivate an attack-viability pilot.</w:t>
      </w:r>
    </w:p>
    <w:p w14:paraId="172C9F49" w14:textId="77777777" w:rsidR="00AF5C7A" w:rsidRDefault="00FB1870">
      <w:pPr>
        <w:pStyle w:val="BodyText"/>
      </w:pPr>
      <w:r>
        <w:t>Admission creates a tension: uncertainty/diversity preserves informative examples, while small loss favors familiar labels. Either can admit poison. Sameera’s validation signal depends on trusted class coverage [9]. We separate honest admissions from poison and evaluate held-out acquisition.</w:t>
      </w:r>
    </w:p>
    <w:p w14:paraId="25E76054" w14:textId="77777777" w:rsidR="00AF5C7A" w:rsidRDefault="00FB1870">
      <w:pPr>
        <w:pStyle w:val="BodyText"/>
      </w:pPr>
      <w:r>
        <w:t>Calibration changes interpretation. Fuhrman’s Best-F uses labeled test batches [8]; we use development thresholds. Cerasuolo’s packet-based results (Appendix A) inform memory/acquisition controls [10], with support and budgets stated separately from flow-model performance.</w:t>
      </w:r>
    </w:p>
    <w:p w14:paraId="386741D2" w14:textId="77777777" w:rsidR="00AF5C7A" w:rsidRDefault="00FB1870">
      <w:pPr>
        <w:pStyle w:val="Heading21"/>
      </w:pPr>
      <w:bookmarkStart w:id="4" w:name="three-representative-papers"/>
      <w:bookmarkEnd w:id="3"/>
      <w:r>
        <w:t>Three Representative Papers</w:t>
      </w:r>
    </w:p>
    <w:p w14:paraId="6C54DDD1" w14:textId="77777777" w:rsidR="00AF5C7A" w:rsidRDefault="00FB1870">
      <w:pPr>
        <w:pStyle w:val="FirstParagraph"/>
      </w:pPr>
      <w:r>
        <w:t>Carillo, Lavaur and Guo cover federation, poisoning and memory selection (Table 3). Rows use author-year identifiers; reported outcomes remain author findings.</w:t>
      </w:r>
    </w:p>
    <w:p w14:paraId="0ECE948A" w14:textId="77777777" w:rsidR="00AF5C7A" w:rsidRDefault="00AF5C7A">
      <w:pPr>
        <w:sectPr w:rsidR="00AF5C7A">
          <w:pgSz w:w="11906" w:h="16838"/>
          <w:pgMar w:top="936" w:right="1037" w:bottom="936" w:left="1037" w:header="432" w:footer="432" w:gutter="0"/>
          <w:cols w:space="720"/>
        </w:sectPr>
      </w:pPr>
    </w:p>
    <w:p w14:paraId="26251E1E" w14:textId="77777777" w:rsidR="00AF5C7A" w:rsidRDefault="00FB1870">
      <w:pPr>
        <w:pStyle w:val="BodyText"/>
        <w:keepNext/>
        <w:spacing w:before="140" w:after="80"/>
      </w:pPr>
      <w:r>
        <w:rPr>
          <w:b/>
          <w:bCs/>
        </w:rPr>
        <w:lastRenderedPageBreak/>
        <w:t>Table 3. Cross-paper comparison grounded in the complete manuscripts. Published outcomes are author reports.</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97"/>
        <w:gridCol w:w="2413"/>
        <w:gridCol w:w="639"/>
        <w:gridCol w:w="1987"/>
        <w:gridCol w:w="1987"/>
        <w:gridCol w:w="1987"/>
        <w:gridCol w:w="1490"/>
        <w:gridCol w:w="1987"/>
        <w:gridCol w:w="1774"/>
      </w:tblGrid>
      <w:tr w:rsidR="00AF5C7A" w14:paraId="1833B435"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497" w:type="dxa"/>
            <w:shd w:val="clear" w:color="auto" w:fill="DDE6EC"/>
            <w:tcMar>
              <w:top w:w="65" w:type="dxa"/>
              <w:left w:w="65" w:type="dxa"/>
              <w:bottom w:w="65" w:type="dxa"/>
              <w:right w:w="65" w:type="dxa"/>
            </w:tcMar>
            <w:vAlign w:val="center"/>
          </w:tcPr>
          <w:p w14:paraId="79013046" w14:textId="77777777" w:rsidR="00AF5C7A" w:rsidRDefault="00FB1870">
            <w:pPr>
              <w:pStyle w:val="Compact"/>
              <w:keepNext/>
              <w:spacing w:before="20" w:after="40" w:line="245" w:lineRule="auto"/>
            </w:pPr>
            <w:r>
              <w:rPr>
                <w:b/>
                <w:sz w:val="18"/>
              </w:rPr>
              <w:t>#</w:t>
            </w:r>
          </w:p>
        </w:tc>
        <w:tc>
          <w:tcPr>
            <w:tcW w:w="2413" w:type="dxa"/>
            <w:shd w:val="clear" w:color="auto" w:fill="DDE6EC"/>
            <w:tcMar>
              <w:top w:w="65" w:type="dxa"/>
              <w:left w:w="65" w:type="dxa"/>
              <w:bottom w:w="65" w:type="dxa"/>
              <w:right w:w="65" w:type="dxa"/>
            </w:tcMar>
            <w:vAlign w:val="center"/>
          </w:tcPr>
          <w:p w14:paraId="3DA5E34B" w14:textId="77777777" w:rsidR="00AF5C7A" w:rsidRDefault="00FB1870">
            <w:pPr>
              <w:pStyle w:val="Compact"/>
              <w:keepNext/>
              <w:spacing w:before="20" w:after="40" w:line="245" w:lineRule="auto"/>
            </w:pPr>
            <w:r>
              <w:rPr>
                <w:b/>
                <w:sz w:val="18"/>
              </w:rPr>
              <w:t>Title</w:t>
            </w:r>
          </w:p>
        </w:tc>
        <w:tc>
          <w:tcPr>
            <w:tcW w:w="639" w:type="dxa"/>
            <w:shd w:val="clear" w:color="auto" w:fill="DDE6EC"/>
            <w:tcMar>
              <w:top w:w="65" w:type="dxa"/>
              <w:left w:w="65" w:type="dxa"/>
              <w:bottom w:w="65" w:type="dxa"/>
              <w:right w:w="65" w:type="dxa"/>
            </w:tcMar>
            <w:vAlign w:val="center"/>
          </w:tcPr>
          <w:p w14:paraId="200D8373" w14:textId="77777777" w:rsidR="00AF5C7A" w:rsidRDefault="00FB1870">
            <w:pPr>
              <w:pStyle w:val="Compact"/>
              <w:keepNext/>
              <w:spacing w:before="20" w:after="40" w:line="245" w:lineRule="auto"/>
            </w:pPr>
            <w:r>
              <w:rPr>
                <w:b/>
                <w:sz w:val="18"/>
              </w:rPr>
              <w:t>Year</w:t>
            </w:r>
          </w:p>
        </w:tc>
        <w:tc>
          <w:tcPr>
            <w:tcW w:w="1987" w:type="dxa"/>
            <w:shd w:val="clear" w:color="auto" w:fill="DDE6EC"/>
            <w:tcMar>
              <w:top w:w="65" w:type="dxa"/>
              <w:left w:w="65" w:type="dxa"/>
              <w:bottom w:w="65" w:type="dxa"/>
              <w:right w:w="65" w:type="dxa"/>
            </w:tcMar>
            <w:vAlign w:val="center"/>
          </w:tcPr>
          <w:p w14:paraId="41788607" w14:textId="77777777" w:rsidR="00AF5C7A" w:rsidRDefault="00FB1870">
            <w:pPr>
              <w:pStyle w:val="Compact"/>
              <w:keepNext/>
              <w:spacing w:before="20" w:after="40" w:line="245" w:lineRule="auto"/>
            </w:pPr>
            <w:r>
              <w:rPr>
                <w:b/>
                <w:sz w:val="18"/>
              </w:rPr>
              <w:t>Dataset</w:t>
            </w:r>
          </w:p>
        </w:tc>
        <w:tc>
          <w:tcPr>
            <w:tcW w:w="1987" w:type="dxa"/>
            <w:shd w:val="clear" w:color="auto" w:fill="DDE6EC"/>
            <w:tcMar>
              <w:top w:w="65" w:type="dxa"/>
              <w:left w:w="65" w:type="dxa"/>
              <w:bottom w:w="65" w:type="dxa"/>
              <w:right w:w="65" w:type="dxa"/>
            </w:tcMar>
            <w:vAlign w:val="center"/>
          </w:tcPr>
          <w:p w14:paraId="47BA9DAC" w14:textId="77777777" w:rsidR="00AF5C7A" w:rsidRDefault="00FB1870">
            <w:pPr>
              <w:pStyle w:val="Compact"/>
              <w:keepNext/>
              <w:spacing w:before="20" w:after="40" w:line="245" w:lineRule="auto"/>
            </w:pPr>
            <w:r>
              <w:rPr>
                <w:b/>
                <w:sz w:val="18"/>
              </w:rPr>
              <w:t>Preprocessing</w:t>
            </w:r>
          </w:p>
        </w:tc>
        <w:tc>
          <w:tcPr>
            <w:tcW w:w="1987" w:type="dxa"/>
            <w:shd w:val="clear" w:color="auto" w:fill="DDE6EC"/>
            <w:tcMar>
              <w:top w:w="65" w:type="dxa"/>
              <w:left w:w="65" w:type="dxa"/>
              <w:bottom w:w="65" w:type="dxa"/>
              <w:right w:w="65" w:type="dxa"/>
            </w:tcMar>
            <w:vAlign w:val="center"/>
          </w:tcPr>
          <w:p w14:paraId="5D3FB53C" w14:textId="77777777" w:rsidR="00AF5C7A" w:rsidRDefault="00FB1870">
            <w:pPr>
              <w:pStyle w:val="Compact"/>
              <w:keepNext/>
              <w:spacing w:before="20" w:after="40" w:line="245" w:lineRule="auto"/>
            </w:pPr>
            <w:r>
              <w:rPr>
                <w:b/>
                <w:sz w:val="18"/>
              </w:rPr>
              <w:t>Models/Techniques</w:t>
            </w:r>
          </w:p>
        </w:tc>
        <w:tc>
          <w:tcPr>
            <w:tcW w:w="1490" w:type="dxa"/>
            <w:shd w:val="clear" w:color="auto" w:fill="DDE6EC"/>
            <w:tcMar>
              <w:top w:w="65" w:type="dxa"/>
              <w:left w:w="65" w:type="dxa"/>
              <w:bottom w:w="65" w:type="dxa"/>
              <w:right w:w="65" w:type="dxa"/>
            </w:tcMar>
            <w:vAlign w:val="center"/>
          </w:tcPr>
          <w:p w14:paraId="7018B242" w14:textId="77777777" w:rsidR="00AF5C7A" w:rsidRDefault="00FB1870">
            <w:pPr>
              <w:pStyle w:val="Compact"/>
              <w:keepNext/>
              <w:spacing w:before="20" w:after="40" w:line="245" w:lineRule="auto"/>
            </w:pPr>
            <w:r>
              <w:rPr>
                <w:b/>
                <w:sz w:val="18"/>
              </w:rPr>
              <w:t>Metrics</w:t>
            </w:r>
          </w:p>
        </w:tc>
        <w:tc>
          <w:tcPr>
            <w:tcW w:w="1987" w:type="dxa"/>
            <w:shd w:val="clear" w:color="auto" w:fill="DDE6EC"/>
            <w:tcMar>
              <w:top w:w="65" w:type="dxa"/>
              <w:left w:w="65" w:type="dxa"/>
              <w:bottom w:w="65" w:type="dxa"/>
              <w:right w:w="65" w:type="dxa"/>
            </w:tcMar>
            <w:vAlign w:val="center"/>
          </w:tcPr>
          <w:p w14:paraId="7E7B8AA7" w14:textId="77777777" w:rsidR="00AF5C7A" w:rsidRDefault="00FB1870">
            <w:pPr>
              <w:pStyle w:val="Compact"/>
              <w:keepNext/>
              <w:spacing w:before="20" w:after="40" w:line="245" w:lineRule="auto"/>
            </w:pPr>
            <w:r>
              <w:rPr>
                <w:b/>
                <w:sz w:val="18"/>
              </w:rPr>
              <w:t>Results</w:t>
            </w:r>
          </w:p>
        </w:tc>
        <w:tc>
          <w:tcPr>
            <w:tcW w:w="1774" w:type="dxa"/>
            <w:shd w:val="clear" w:color="auto" w:fill="DDE6EC"/>
            <w:tcMar>
              <w:top w:w="65" w:type="dxa"/>
              <w:left w:w="65" w:type="dxa"/>
              <w:bottom w:w="65" w:type="dxa"/>
              <w:right w:w="65" w:type="dxa"/>
            </w:tcMar>
            <w:vAlign w:val="center"/>
          </w:tcPr>
          <w:p w14:paraId="64833276" w14:textId="77777777" w:rsidR="00AF5C7A" w:rsidRDefault="00FB1870">
            <w:pPr>
              <w:pStyle w:val="Compact"/>
              <w:keepNext/>
              <w:spacing w:before="20" w:after="40" w:line="245" w:lineRule="auto"/>
            </w:pPr>
            <w:r>
              <w:rPr>
                <w:b/>
                <w:sz w:val="18"/>
              </w:rPr>
              <w:t>Limitations/Gap</w:t>
            </w:r>
          </w:p>
        </w:tc>
      </w:tr>
      <w:tr w:rsidR="00AF5C7A" w14:paraId="6AF73A11" w14:textId="77777777" w:rsidTr="00AF5C7A">
        <w:trPr>
          <w:cantSplit/>
        </w:trPr>
        <w:tc>
          <w:tcPr>
            <w:tcW w:w="497" w:type="dxa"/>
            <w:shd w:val="clear" w:color="auto" w:fill="FFFFFF"/>
            <w:tcMar>
              <w:top w:w="65" w:type="dxa"/>
              <w:left w:w="65" w:type="dxa"/>
              <w:bottom w:w="65" w:type="dxa"/>
              <w:right w:w="65" w:type="dxa"/>
            </w:tcMar>
            <w:vAlign w:val="center"/>
          </w:tcPr>
          <w:p w14:paraId="129518D8" w14:textId="77777777" w:rsidR="00AF5C7A" w:rsidRDefault="00FB1870">
            <w:pPr>
              <w:pStyle w:val="Compact"/>
              <w:keepNext/>
              <w:spacing w:before="20" w:after="40" w:line="245" w:lineRule="auto"/>
            </w:pPr>
            <w:r>
              <w:rPr>
                <w:sz w:val="18"/>
              </w:rPr>
              <w:t>1</w:t>
            </w:r>
          </w:p>
        </w:tc>
        <w:tc>
          <w:tcPr>
            <w:tcW w:w="2413" w:type="dxa"/>
            <w:shd w:val="clear" w:color="auto" w:fill="FFFFFF"/>
            <w:tcMar>
              <w:top w:w="65" w:type="dxa"/>
              <w:left w:w="65" w:type="dxa"/>
              <w:bottom w:w="65" w:type="dxa"/>
              <w:right w:w="65" w:type="dxa"/>
            </w:tcMar>
            <w:vAlign w:val="center"/>
          </w:tcPr>
          <w:p w14:paraId="7CE6C3CC" w14:textId="77777777" w:rsidR="00AF5C7A" w:rsidRDefault="00FB1870">
            <w:pPr>
              <w:pStyle w:val="Compact"/>
              <w:keepNext/>
              <w:spacing w:before="20" w:after="40" w:line="245" w:lineRule="auto"/>
            </w:pPr>
            <w:r>
              <w:rPr>
                <w:sz w:val="18"/>
              </w:rPr>
              <w:t>A Federated and Incremental Network Intrusion Detection System for IoT Emerging Threats [6]</w:t>
            </w:r>
          </w:p>
        </w:tc>
        <w:tc>
          <w:tcPr>
            <w:tcW w:w="639" w:type="dxa"/>
            <w:shd w:val="clear" w:color="auto" w:fill="FFFFFF"/>
            <w:tcMar>
              <w:top w:w="65" w:type="dxa"/>
              <w:left w:w="65" w:type="dxa"/>
              <w:bottom w:w="65" w:type="dxa"/>
              <w:right w:w="65" w:type="dxa"/>
            </w:tcMar>
            <w:vAlign w:val="center"/>
          </w:tcPr>
          <w:p w14:paraId="3BF26531" w14:textId="77777777" w:rsidR="00AF5C7A" w:rsidRDefault="00FB1870">
            <w:pPr>
              <w:pStyle w:val="Compact"/>
              <w:keepNext/>
              <w:spacing w:before="20" w:after="40" w:line="245" w:lineRule="auto"/>
            </w:pPr>
            <w:r>
              <w:rPr>
                <w:sz w:val="18"/>
              </w:rPr>
              <w:t>2026</w:t>
            </w:r>
          </w:p>
        </w:tc>
        <w:tc>
          <w:tcPr>
            <w:tcW w:w="1987" w:type="dxa"/>
            <w:shd w:val="clear" w:color="auto" w:fill="FFFFFF"/>
            <w:tcMar>
              <w:top w:w="65" w:type="dxa"/>
              <w:left w:w="65" w:type="dxa"/>
              <w:bottom w:w="65" w:type="dxa"/>
              <w:right w:w="65" w:type="dxa"/>
            </w:tcMar>
            <w:vAlign w:val="center"/>
          </w:tcPr>
          <w:p w14:paraId="5D20DAD9" w14:textId="77777777" w:rsidR="00AF5C7A" w:rsidRDefault="00FB1870">
            <w:pPr>
              <w:pStyle w:val="Compact"/>
              <w:keepNext/>
              <w:spacing w:before="20" w:after="40" w:line="245" w:lineRule="auto"/>
            </w:pPr>
            <w:r>
              <w:rPr>
                <w:sz w:val="18"/>
              </w:rPr>
              <w:t>TON_IoT; IoT-NID; Edge-IIoTset</w:t>
            </w:r>
          </w:p>
        </w:tc>
        <w:tc>
          <w:tcPr>
            <w:tcW w:w="1987" w:type="dxa"/>
            <w:shd w:val="clear" w:color="auto" w:fill="FFFFFF"/>
            <w:tcMar>
              <w:top w:w="65" w:type="dxa"/>
              <w:left w:w="65" w:type="dxa"/>
              <w:bottom w:w="65" w:type="dxa"/>
              <w:right w:w="65" w:type="dxa"/>
            </w:tcMar>
            <w:vAlign w:val="center"/>
          </w:tcPr>
          <w:p w14:paraId="50788CB3" w14:textId="77777777" w:rsidR="00AF5C7A" w:rsidRDefault="00FB1870">
            <w:pPr>
              <w:pStyle w:val="Compact"/>
              <w:keepNext/>
              <w:spacing w:before="20" w:after="40" w:line="245" w:lineRule="auto"/>
            </w:pPr>
            <w:r>
              <w:rPr>
                <w:sz w:val="18"/>
              </w:rPr>
              <w:t>Attack hierarchy, undersampling, ten-packet matrices, padding; IP/ports removed.</w:t>
            </w:r>
          </w:p>
        </w:tc>
        <w:tc>
          <w:tcPr>
            <w:tcW w:w="1987" w:type="dxa"/>
            <w:shd w:val="clear" w:color="auto" w:fill="FFFFFF"/>
            <w:tcMar>
              <w:top w:w="65" w:type="dxa"/>
              <w:left w:w="65" w:type="dxa"/>
              <w:bottom w:w="65" w:type="dxa"/>
              <w:right w:w="65" w:type="dxa"/>
            </w:tcMar>
            <w:vAlign w:val="center"/>
          </w:tcPr>
          <w:p w14:paraId="3BBA8F03" w14:textId="77777777" w:rsidR="00AF5C7A" w:rsidRDefault="00FB1870">
            <w:pPr>
              <w:pStyle w:val="Compact"/>
              <w:keepNext/>
              <w:spacing w:before="20" w:after="40" w:line="245" w:lineRule="auto"/>
            </w:pPr>
            <w:r>
              <w:rPr>
                <w:sz w:val="18"/>
              </w:rPr>
              <w:t>CNN; FedAvg/FedProx/FedDyn; BiC+/MEMENTO+; rehearsal and bias correction.</w:t>
            </w:r>
          </w:p>
        </w:tc>
        <w:tc>
          <w:tcPr>
            <w:tcW w:w="1490" w:type="dxa"/>
            <w:shd w:val="clear" w:color="auto" w:fill="FFFFFF"/>
            <w:tcMar>
              <w:top w:w="65" w:type="dxa"/>
              <w:left w:w="65" w:type="dxa"/>
              <w:bottom w:w="65" w:type="dxa"/>
              <w:right w:w="65" w:type="dxa"/>
            </w:tcMar>
            <w:vAlign w:val="center"/>
          </w:tcPr>
          <w:p w14:paraId="7F0D33B6" w14:textId="77777777" w:rsidR="00AF5C7A" w:rsidRDefault="00FB1870">
            <w:pPr>
              <w:pStyle w:val="Compact"/>
              <w:keepNext/>
              <w:spacing w:before="20" w:after="40" w:line="245" w:lineRule="auto"/>
            </w:pPr>
            <w:r>
              <w:rPr>
                <w:sz w:val="18"/>
              </w:rPr>
              <w:t>Old/new/all F1; resource comparisons.</w:t>
            </w:r>
          </w:p>
        </w:tc>
        <w:tc>
          <w:tcPr>
            <w:tcW w:w="1987" w:type="dxa"/>
            <w:shd w:val="clear" w:color="auto" w:fill="FFFFFF"/>
            <w:tcMar>
              <w:top w:w="65" w:type="dxa"/>
              <w:left w:w="65" w:type="dxa"/>
              <w:bottom w:w="65" w:type="dxa"/>
              <w:right w:w="65" w:type="dxa"/>
            </w:tcMar>
            <w:vAlign w:val="center"/>
          </w:tcPr>
          <w:p w14:paraId="3885D437" w14:textId="77777777" w:rsidR="00AF5C7A" w:rsidRDefault="00FB1870">
            <w:pPr>
              <w:pStyle w:val="Compact"/>
              <w:keepNext/>
              <w:spacing w:before="20" w:after="40" w:line="245" w:lineRule="auto"/>
            </w:pPr>
            <w:r>
              <w:rPr>
                <w:sz w:val="18"/>
              </w:rPr>
              <w:t>Table IV, TON_IoT S2: FedProx–MEMENTO+, 100 rounds, old/new/all F1 79.05/68.10/74.49%.</w:t>
            </w:r>
          </w:p>
        </w:tc>
        <w:tc>
          <w:tcPr>
            <w:tcW w:w="1774" w:type="dxa"/>
            <w:shd w:val="clear" w:color="auto" w:fill="FFFFFF"/>
            <w:tcMar>
              <w:top w:w="65" w:type="dxa"/>
              <w:left w:w="65" w:type="dxa"/>
              <w:bottom w:w="65" w:type="dxa"/>
              <w:right w:w="65" w:type="dxa"/>
            </w:tcMar>
            <w:vAlign w:val="center"/>
          </w:tcPr>
          <w:p w14:paraId="012B08A4" w14:textId="77777777" w:rsidR="00AF5C7A" w:rsidRDefault="00FB1870">
            <w:pPr>
              <w:pStyle w:val="Compact"/>
              <w:keepNext/>
              <w:spacing w:before="20" w:after="40" w:line="245" w:lineRule="auto"/>
            </w:pPr>
            <w:r>
              <w:rPr>
                <w:sz w:val="18"/>
              </w:rPr>
              <w:t>Clean FCIL, without poisoned replay withdrawal; packet extraction differs from flow vectors.</w:t>
            </w:r>
          </w:p>
        </w:tc>
      </w:tr>
      <w:tr w:rsidR="00AF5C7A" w14:paraId="12BB2026" w14:textId="77777777" w:rsidTr="00AF5C7A">
        <w:trPr>
          <w:cantSplit/>
        </w:trPr>
        <w:tc>
          <w:tcPr>
            <w:tcW w:w="497" w:type="dxa"/>
            <w:shd w:val="clear" w:color="auto" w:fill="F5F7F9"/>
            <w:tcMar>
              <w:top w:w="65" w:type="dxa"/>
              <w:left w:w="65" w:type="dxa"/>
              <w:bottom w:w="65" w:type="dxa"/>
              <w:right w:w="65" w:type="dxa"/>
            </w:tcMar>
            <w:vAlign w:val="center"/>
          </w:tcPr>
          <w:p w14:paraId="297B8AC0" w14:textId="77777777" w:rsidR="00AF5C7A" w:rsidRDefault="00FB1870">
            <w:pPr>
              <w:pStyle w:val="Compact"/>
              <w:keepNext/>
              <w:spacing w:before="20" w:after="40" w:line="245" w:lineRule="auto"/>
            </w:pPr>
            <w:r>
              <w:rPr>
                <w:sz w:val="18"/>
              </w:rPr>
              <w:t>2</w:t>
            </w:r>
          </w:p>
        </w:tc>
        <w:tc>
          <w:tcPr>
            <w:tcW w:w="2413" w:type="dxa"/>
            <w:shd w:val="clear" w:color="auto" w:fill="F5F7F9"/>
            <w:tcMar>
              <w:top w:w="65" w:type="dxa"/>
              <w:left w:w="65" w:type="dxa"/>
              <w:bottom w:w="65" w:type="dxa"/>
              <w:right w:w="65" w:type="dxa"/>
            </w:tcMar>
            <w:vAlign w:val="center"/>
          </w:tcPr>
          <w:p w14:paraId="0386AE69" w14:textId="77777777" w:rsidR="00AF5C7A" w:rsidRDefault="00FB1870">
            <w:pPr>
              <w:pStyle w:val="Compact"/>
              <w:keepNext/>
              <w:spacing w:before="20" w:after="40" w:line="245" w:lineRule="auto"/>
            </w:pPr>
            <w:r>
              <w:rPr>
                <w:sz w:val="18"/>
              </w:rPr>
              <w:t>Investigating the Impact of Label-flipping Attacks against Federated Learning for Collaborative Intrusion Detection [7]</w:t>
            </w:r>
          </w:p>
        </w:tc>
        <w:tc>
          <w:tcPr>
            <w:tcW w:w="639" w:type="dxa"/>
            <w:shd w:val="clear" w:color="auto" w:fill="F5F7F9"/>
            <w:tcMar>
              <w:top w:w="65" w:type="dxa"/>
              <w:left w:w="65" w:type="dxa"/>
              <w:bottom w:w="65" w:type="dxa"/>
              <w:right w:w="65" w:type="dxa"/>
            </w:tcMar>
            <w:vAlign w:val="center"/>
          </w:tcPr>
          <w:p w14:paraId="60DDB0A2" w14:textId="77777777" w:rsidR="00AF5C7A" w:rsidRDefault="00FB1870">
            <w:pPr>
              <w:pStyle w:val="Compact"/>
              <w:keepNext/>
              <w:spacing w:before="20" w:after="40" w:line="245" w:lineRule="auto"/>
            </w:pPr>
            <w:r>
              <w:rPr>
                <w:sz w:val="18"/>
              </w:rPr>
              <w:t>2025</w:t>
            </w:r>
          </w:p>
        </w:tc>
        <w:tc>
          <w:tcPr>
            <w:tcW w:w="1987" w:type="dxa"/>
            <w:shd w:val="clear" w:color="auto" w:fill="F5F7F9"/>
            <w:tcMar>
              <w:top w:w="65" w:type="dxa"/>
              <w:left w:w="65" w:type="dxa"/>
              <w:bottom w:w="65" w:type="dxa"/>
              <w:right w:w="65" w:type="dxa"/>
            </w:tcMar>
            <w:vAlign w:val="center"/>
          </w:tcPr>
          <w:p w14:paraId="33CE236C" w14:textId="77777777" w:rsidR="00AF5C7A" w:rsidRDefault="00FB1870">
            <w:pPr>
              <w:pStyle w:val="Compact"/>
              <w:keepNext/>
              <w:spacing w:before="20" w:after="40" w:line="245" w:lineRule="auto"/>
            </w:pPr>
            <w:r>
              <w:rPr>
                <w:sz w:val="18"/>
              </w:rPr>
              <w:t>NF-V2 CSE-CIC-IDS2018; UNSW-NB15</w:t>
            </w:r>
          </w:p>
        </w:tc>
        <w:tc>
          <w:tcPr>
            <w:tcW w:w="1987" w:type="dxa"/>
            <w:shd w:val="clear" w:color="auto" w:fill="F5F7F9"/>
            <w:tcMar>
              <w:top w:w="65" w:type="dxa"/>
              <w:left w:w="65" w:type="dxa"/>
              <w:bottom w:w="65" w:type="dxa"/>
              <w:right w:w="65" w:type="dxa"/>
            </w:tcMar>
            <w:vAlign w:val="center"/>
          </w:tcPr>
          <w:p w14:paraId="0631C7A5" w14:textId="77777777" w:rsidR="00AF5C7A" w:rsidRDefault="00FB1870">
            <w:pPr>
              <w:pStyle w:val="Compact"/>
              <w:keepNext/>
              <w:spacing w:before="20" w:after="40" w:line="245" w:lineRule="auto"/>
            </w:pPr>
            <w:r>
              <w:rPr>
                <w:sz w:val="18"/>
              </w:rPr>
              <w:t>nProbe schema; sampled populations; IID/cluster heterogeneity; ten clients.</w:t>
            </w:r>
          </w:p>
        </w:tc>
        <w:tc>
          <w:tcPr>
            <w:tcW w:w="1987" w:type="dxa"/>
            <w:shd w:val="clear" w:color="auto" w:fill="F5F7F9"/>
            <w:tcMar>
              <w:top w:w="65" w:type="dxa"/>
              <w:left w:w="65" w:type="dxa"/>
              <w:bottom w:w="65" w:type="dxa"/>
              <w:right w:w="65" w:type="dxa"/>
            </w:tcMar>
            <w:vAlign w:val="center"/>
          </w:tcPr>
          <w:p w14:paraId="3EC4BD83" w14:textId="77777777" w:rsidR="00AF5C7A" w:rsidRDefault="00FB1870">
            <w:pPr>
              <w:pStyle w:val="Compact"/>
              <w:keepNext/>
              <w:spacing w:before="20" w:after="40" w:line="245" w:lineRule="auto"/>
            </w:pPr>
            <w:r>
              <w:rPr>
                <w:sz w:val="18"/>
              </w:rPr>
              <w:t>Binary MLP/FedAvg; targeted and random flips; timing and collusion sweeps.</w:t>
            </w:r>
          </w:p>
        </w:tc>
        <w:tc>
          <w:tcPr>
            <w:tcW w:w="1490" w:type="dxa"/>
            <w:shd w:val="clear" w:color="auto" w:fill="F5F7F9"/>
            <w:tcMar>
              <w:top w:w="65" w:type="dxa"/>
              <w:left w:w="65" w:type="dxa"/>
              <w:bottom w:w="65" w:type="dxa"/>
              <w:right w:w="65" w:type="dxa"/>
            </w:tcMar>
            <w:vAlign w:val="center"/>
          </w:tcPr>
          <w:p w14:paraId="1CA729C0" w14:textId="77777777" w:rsidR="00AF5C7A" w:rsidRDefault="00FB1870">
            <w:pPr>
              <w:pStyle w:val="Compact"/>
              <w:keepNext/>
              <w:spacing w:before="20" w:after="40" w:line="245" w:lineRule="auto"/>
            </w:pPr>
            <w:r>
              <w:rPr>
                <w:sz w:val="18"/>
              </w:rPr>
              <w:t>F1, recall, accuracy; absolute/relative attack success.</w:t>
            </w:r>
          </w:p>
        </w:tc>
        <w:tc>
          <w:tcPr>
            <w:tcW w:w="1987" w:type="dxa"/>
            <w:shd w:val="clear" w:color="auto" w:fill="F5F7F9"/>
            <w:tcMar>
              <w:top w:w="65" w:type="dxa"/>
              <w:left w:w="65" w:type="dxa"/>
              <w:bottom w:w="65" w:type="dxa"/>
              <w:right w:w="65" w:type="dxa"/>
            </w:tcMar>
            <w:vAlign w:val="center"/>
          </w:tcPr>
          <w:p w14:paraId="53F97873" w14:textId="77777777" w:rsidR="00AF5C7A" w:rsidRDefault="00FB1870">
            <w:pPr>
              <w:pStyle w:val="Compact"/>
              <w:keepNext/>
              <w:spacing w:before="20" w:after="40" w:line="245" w:lineRule="auto"/>
            </w:pPr>
            <w:r>
              <w:rPr>
                <w:sz w:val="18"/>
              </w:rPr>
              <w:t>10,670 runs. Section 5.4/Fig. 10: one-attacker relative success below 0.1 even at complete local flips; strong effects depend on participation and dataset.</w:t>
            </w:r>
          </w:p>
        </w:tc>
        <w:tc>
          <w:tcPr>
            <w:tcW w:w="1774" w:type="dxa"/>
            <w:shd w:val="clear" w:color="auto" w:fill="F5F7F9"/>
            <w:tcMar>
              <w:top w:w="65" w:type="dxa"/>
              <w:left w:w="65" w:type="dxa"/>
              <w:bottom w:w="65" w:type="dxa"/>
              <w:right w:w="65" w:type="dxa"/>
            </w:tcMar>
            <w:vAlign w:val="center"/>
          </w:tcPr>
          <w:p w14:paraId="248EBB7B" w14:textId="77777777" w:rsidR="00AF5C7A" w:rsidRDefault="00FB1870">
            <w:pPr>
              <w:pStyle w:val="Compact"/>
              <w:keepNext/>
              <w:spacing w:before="20" w:after="40" w:line="245" w:lineRule="auto"/>
            </w:pPr>
            <w:r>
              <w:rPr>
                <w:sz w:val="18"/>
              </w:rPr>
              <w:t>Fixed binary head and no continual-memory comparison. Their normalized relative success differs from our additive clean-matched error.</w:t>
            </w:r>
          </w:p>
        </w:tc>
      </w:tr>
      <w:tr w:rsidR="00AF5C7A" w14:paraId="0B23E329" w14:textId="77777777" w:rsidTr="00AF5C7A">
        <w:trPr>
          <w:cantSplit/>
        </w:trPr>
        <w:tc>
          <w:tcPr>
            <w:tcW w:w="497" w:type="dxa"/>
            <w:shd w:val="clear" w:color="auto" w:fill="FFFFFF"/>
            <w:tcMar>
              <w:top w:w="65" w:type="dxa"/>
              <w:left w:w="65" w:type="dxa"/>
              <w:bottom w:w="65" w:type="dxa"/>
              <w:right w:w="65" w:type="dxa"/>
            </w:tcMar>
            <w:vAlign w:val="center"/>
          </w:tcPr>
          <w:p w14:paraId="2FCD09B4" w14:textId="77777777" w:rsidR="00AF5C7A" w:rsidRDefault="00FB1870">
            <w:pPr>
              <w:pStyle w:val="Compact"/>
              <w:spacing w:before="20" w:after="40" w:line="245" w:lineRule="auto"/>
            </w:pPr>
            <w:r>
              <w:rPr>
                <w:sz w:val="18"/>
              </w:rPr>
              <w:t>3</w:t>
            </w:r>
          </w:p>
        </w:tc>
        <w:tc>
          <w:tcPr>
            <w:tcW w:w="2413" w:type="dxa"/>
            <w:shd w:val="clear" w:color="auto" w:fill="FFFFFF"/>
            <w:tcMar>
              <w:top w:w="65" w:type="dxa"/>
              <w:left w:w="65" w:type="dxa"/>
              <w:bottom w:w="65" w:type="dxa"/>
              <w:right w:w="65" w:type="dxa"/>
            </w:tcMar>
            <w:vAlign w:val="center"/>
          </w:tcPr>
          <w:p w14:paraId="67FA0532" w14:textId="77777777" w:rsidR="00AF5C7A" w:rsidRDefault="00FB1870">
            <w:pPr>
              <w:pStyle w:val="Compact"/>
              <w:spacing w:before="20" w:after="40" w:line="245" w:lineRule="auto"/>
            </w:pPr>
            <w:r>
              <w:rPr>
                <w:sz w:val="18"/>
              </w:rPr>
              <w:t>Continual Learning for Intrusion Detection Under Evolving Network Threats [11]</w:t>
            </w:r>
          </w:p>
        </w:tc>
        <w:tc>
          <w:tcPr>
            <w:tcW w:w="639" w:type="dxa"/>
            <w:shd w:val="clear" w:color="auto" w:fill="FFFFFF"/>
            <w:tcMar>
              <w:top w:w="65" w:type="dxa"/>
              <w:left w:w="65" w:type="dxa"/>
              <w:bottom w:w="65" w:type="dxa"/>
              <w:right w:w="65" w:type="dxa"/>
            </w:tcMar>
            <w:vAlign w:val="center"/>
          </w:tcPr>
          <w:p w14:paraId="7DA641F3" w14:textId="77777777" w:rsidR="00AF5C7A" w:rsidRDefault="00FB1870">
            <w:pPr>
              <w:pStyle w:val="Compact"/>
              <w:spacing w:before="20" w:after="40" w:line="245" w:lineRule="auto"/>
            </w:pPr>
            <w:r>
              <w:rPr>
                <w:sz w:val="18"/>
              </w:rPr>
              <w:t>2025</w:t>
            </w:r>
          </w:p>
        </w:tc>
        <w:tc>
          <w:tcPr>
            <w:tcW w:w="1987" w:type="dxa"/>
            <w:shd w:val="clear" w:color="auto" w:fill="FFFFFF"/>
            <w:tcMar>
              <w:top w:w="65" w:type="dxa"/>
              <w:left w:w="65" w:type="dxa"/>
              <w:bottom w:w="65" w:type="dxa"/>
              <w:right w:w="65" w:type="dxa"/>
            </w:tcMar>
            <w:vAlign w:val="center"/>
          </w:tcPr>
          <w:p w14:paraId="6E3D11F8" w14:textId="77777777" w:rsidR="00AF5C7A" w:rsidRDefault="00FB1870">
            <w:pPr>
              <w:pStyle w:val="Compact"/>
              <w:spacing w:before="20" w:after="40" w:line="245" w:lineRule="auto"/>
            </w:pPr>
            <w:r>
              <w:rPr>
                <w:sz w:val="18"/>
              </w:rPr>
              <w:t>UNSW-NB15; CICIDS2017; TON_IoT</w:t>
            </w:r>
          </w:p>
        </w:tc>
        <w:tc>
          <w:tcPr>
            <w:tcW w:w="1987" w:type="dxa"/>
            <w:shd w:val="clear" w:color="auto" w:fill="FFFFFF"/>
            <w:tcMar>
              <w:top w:w="65" w:type="dxa"/>
              <w:left w:w="65" w:type="dxa"/>
              <w:bottom w:w="65" w:type="dxa"/>
              <w:right w:w="65" w:type="dxa"/>
            </w:tcMar>
            <w:vAlign w:val="center"/>
          </w:tcPr>
          <w:p w14:paraId="37E73953" w14:textId="77777777" w:rsidR="00AF5C7A" w:rsidRDefault="00FB1870">
            <w:pPr>
              <w:pStyle w:val="Compact"/>
              <w:spacing w:before="20" w:after="40" w:line="245" w:lineRule="auto"/>
            </w:pPr>
            <w:r>
              <w:rPr>
                <w:sz w:val="18"/>
              </w:rPr>
              <w:t>Numerical/categorical encoding; incremental low-label settings; 5,000-sample nominal memory.</w:t>
            </w:r>
          </w:p>
        </w:tc>
        <w:tc>
          <w:tcPr>
            <w:tcW w:w="1987" w:type="dxa"/>
            <w:shd w:val="clear" w:color="auto" w:fill="FFFFFF"/>
            <w:tcMar>
              <w:top w:w="65" w:type="dxa"/>
              <w:left w:w="65" w:type="dxa"/>
              <w:bottom w:w="65" w:type="dxa"/>
              <w:right w:w="65" w:type="dxa"/>
            </w:tcMar>
            <w:vAlign w:val="center"/>
          </w:tcPr>
          <w:p w14:paraId="3C8F0416" w14:textId="77777777" w:rsidR="00AF5C7A" w:rsidRDefault="00FB1870">
            <w:pPr>
              <w:pStyle w:val="Compact"/>
              <w:spacing w:before="20" w:after="40" w:line="245" w:lineRule="auto"/>
            </w:pPr>
            <w:r>
              <w:rPr>
                <w:sz w:val="18"/>
              </w:rPr>
              <w:t>DP-Means/entropy memory; multilevel distillation; meta-weighted semi-supervision.</w:t>
            </w:r>
          </w:p>
        </w:tc>
        <w:tc>
          <w:tcPr>
            <w:tcW w:w="1490" w:type="dxa"/>
            <w:shd w:val="clear" w:color="auto" w:fill="FFFFFF"/>
            <w:tcMar>
              <w:top w:w="65" w:type="dxa"/>
              <w:left w:w="65" w:type="dxa"/>
              <w:bottom w:w="65" w:type="dxa"/>
              <w:right w:w="65" w:type="dxa"/>
            </w:tcMar>
            <w:vAlign w:val="center"/>
          </w:tcPr>
          <w:p w14:paraId="559C9F26" w14:textId="77777777" w:rsidR="00AF5C7A" w:rsidRDefault="00FB1870">
            <w:pPr>
              <w:pStyle w:val="Compact"/>
              <w:spacing w:before="20" w:after="40" w:line="245" w:lineRule="auto"/>
            </w:pPr>
            <w:r>
              <w:rPr>
                <w:sz w:val="18"/>
              </w:rPr>
              <w:t>Average accuracy, F1, forgetting, BWT; ablations.</w:t>
            </w:r>
          </w:p>
        </w:tc>
        <w:tc>
          <w:tcPr>
            <w:tcW w:w="1987" w:type="dxa"/>
            <w:shd w:val="clear" w:color="auto" w:fill="FFFFFF"/>
            <w:tcMar>
              <w:top w:w="65" w:type="dxa"/>
              <w:left w:w="65" w:type="dxa"/>
              <w:bottom w:w="65" w:type="dxa"/>
              <w:right w:w="65" w:type="dxa"/>
            </w:tcMar>
            <w:vAlign w:val="center"/>
          </w:tcPr>
          <w:p w14:paraId="749268DE" w14:textId="77777777" w:rsidR="00AF5C7A" w:rsidRDefault="00FB1870">
            <w:pPr>
              <w:pStyle w:val="Compact"/>
              <w:spacing w:before="20" w:after="40" w:line="245" w:lineRule="auto"/>
            </w:pPr>
            <w:r>
              <w:rPr>
                <w:sz w:val="18"/>
              </w:rPr>
              <w:t>Table 6: CICIDS2017 average accuracy/F1 83.4/82.1%; Table 12: F1 76.4% without DP-Means.</w:t>
            </w:r>
          </w:p>
        </w:tc>
        <w:tc>
          <w:tcPr>
            <w:tcW w:w="1774" w:type="dxa"/>
            <w:shd w:val="clear" w:color="auto" w:fill="FFFFFF"/>
            <w:tcMar>
              <w:top w:w="65" w:type="dxa"/>
              <w:left w:w="65" w:type="dxa"/>
              <w:bottom w:w="65" w:type="dxa"/>
              <w:right w:w="65" w:type="dxa"/>
            </w:tcMar>
            <w:vAlign w:val="center"/>
          </w:tcPr>
          <w:p w14:paraId="2FCDF45A" w14:textId="77777777" w:rsidR="00AF5C7A" w:rsidRDefault="00FB1870">
            <w:pPr>
              <w:pStyle w:val="Compact"/>
              <w:spacing w:before="20" w:after="40" w:line="245" w:lineRule="auto"/>
            </w:pPr>
            <w:r>
              <w:rPr>
                <w:sz w:val="18"/>
              </w:rPr>
              <w:t>Clean selection; malicious informative samples untested. Capacity and labeling budgets exceed/differ from our primary setting.</w:t>
            </w:r>
          </w:p>
        </w:tc>
      </w:tr>
    </w:tbl>
    <w:p w14:paraId="7ACE53CA" w14:textId="77777777" w:rsidR="00AF5C7A" w:rsidRDefault="00AF5C7A">
      <w:pPr>
        <w:sectPr w:rsidR="00AF5C7A">
          <w:pgSz w:w="16838" w:h="11906" w:orient="landscape"/>
          <w:pgMar w:top="936" w:right="1037" w:bottom="936" w:left="1037" w:header="432" w:footer="432" w:gutter="0"/>
          <w:cols w:space="720"/>
        </w:sectPr>
      </w:pPr>
    </w:p>
    <w:p w14:paraId="5871598D" w14:textId="77777777" w:rsidR="00AF5C7A" w:rsidRDefault="00FB1870">
      <w:pPr>
        <w:pStyle w:val="Heading21"/>
      </w:pPr>
      <w:bookmarkStart w:id="5" w:name="Xbe50f378ecd54464372626a4fea07d964ee2091"/>
      <w:bookmarkEnd w:id="4"/>
      <w:r>
        <w:lastRenderedPageBreak/>
        <w:t>Positioning and Methodological Foundations</w:t>
      </w:r>
    </w:p>
    <w:p w14:paraId="0F856917" w14:textId="77777777" w:rsidR="00AF5C7A" w:rsidRDefault="00FB1870">
      <w:pPr>
        <w:pStyle w:val="FirstParagraph"/>
      </w:pPr>
      <w:r>
        <w:t>Fuhrman informs calibration, Sameera validation, Cerasuolo memory controls, and Prasad streaming counterevidence. The Phase 1 studies connect discovery, honest-client FCIL and RF drift [2, 3, 4].</w:t>
      </w:r>
    </w:p>
    <w:p w14:paraId="0C1D5C4B" w14:textId="77777777" w:rsidR="00AF5C7A" w:rsidRDefault="00FB1870">
      <w:pPr>
        <w:pStyle w:val="BodyText"/>
      </w:pPr>
      <w:r>
        <w:t>Co-teaching exchanges low-loss minibatches between two networks; MentorNet learns a weighting curriculum [13, 14]. Our frozen-checkpoint quotas use one network. The proposed contribution is a controlled security–adaptation comparison and a class-aware heuristic with explicitly defined selection timing.</w:t>
      </w:r>
    </w:p>
    <w:p w14:paraId="5D6A60EB" w14:textId="77777777" w:rsidR="00AF5C7A" w:rsidRDefault="00FB1870">
      <w:pPr>
        <w:pStyle w:val="BodyText"/>
      </w:pPr>
      <w:r>
        <w:t>FedAvg defines averaging [15], EWC importance penalties [16], LwF teacher preservation [17], and episodic replay/DER++ memory objectives [18, 19]. Adam [20], reservoir sampling [21] and non-identical partitioning [22] supply protocol mechanics. Targeted poisoning predates this study [23]; Byzantine aggregation requires a separate threat model [24, 25].</w:t>
      </w:r>
    </w:p>
    <w:p w14:paraId="5514EFA3" w14:textId="77777777" w:rsidR="00AF5C7A" w:rsidRDefault="00FB1870">
      <w:pPr>
        <w:pStyle w:val="Heading11"/>
      </w:pPr>
      <w:bookmarkStart w:id="6" w:name="deliverable-2-research-gap-synthesis"/>
      <w:bookmarkEnd w:id="1"/>
      <w:bookmarkEnd w:id="5"/>
      <w:r>
        <w:t>Deliverable 2: Research Gap Synthesis</w:t>
      </w:r>
    </w:p>
    <w:p w14:paraId="1F3A1902" w14:textId="77777777" w:rsidR="00AF5C7A" w:rsidRDefault="00FB1870">
      <w:pPr>
        <w:pStyle w:val="Heading21"/>
      </w:pPr>
      <w:bookmarkStart w:id="7" w:name="gap-matrix"/>
      <w:r>
        <w:t>Gap Matrix</w:t>
      </w:r>
    </w:p>
    <w:p w14:paraId="12DE1E92" w14:textId="77777777" w:rsidR="00AF5C7A" w:rsidRDefault="00FB1870">
      <w:pPr>
        <w:pStyle w:val="FirstParagraph"/>
      </w:pPr>
      <w:r>
        <w:t>Table 4 links G1–G3 to the frozen Phase 1 concerns.</w:t>
      </w:r>
    </w:p>
    <w:p w14:paraId="6E478D65" w14:textId="77777777" w:rsidR="00AF5C7A" w:rsidRDefault="00AF5C7A">
      <w:pPr>
        <w:sectPr w:rsidR="00AF5C7A">
          <w:pgSz w:w="11906" w:h="16838"/>
          <w:pgMar w:top="936" w:right="1037" w:bottom="936" w:left="1037" w:header="432" w:footer="432" w:gutter="0"/>
          <w:cols w:space="720"/>
        </w:sectPr>
      </w:pPr>
    </w:p>
    <w:p w14:paraId="4A084B09" w14:textId="77777777" w:rsidR="00AF5C7A" w:rsidRDefault="00FB1870">
      <w:pPr>
        <w:pStyle w:val="BodyText"/>
        <w:keepNext/>
        <w:spacing w:before="140" w:after="80"/>
      </w:pPr>
      <w:r>
        <w:rPr>
          <w:b/>
          <w:bCs/>
        </w:rPr>
        <w:lastRenderedPageBreak/>
        <w:t>Table 4. Gap synthesis. Evidence describes the selected studies’ experimental scope.</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66"/>
        <w:gridCol w:w="2509"/>
        <w:gridCol w:w="2509"/>
        <w:gridCol w:w="2509"/>
        <w:gridCol w:w="2509"/>
        <w:gridCol w:w="2657"/>
      </w:tblGrid>
      <w:tr w:rsidR="00AF5C7A" w14:paraId="1DDDE6CE"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2066" w:type="dxa"/>
            <w:shd w:val="clear" w:color="auto" w:fill="DDE6EC"/>
            <w:tcMar>
              <w:top w:w="65" w:type="dxa"/>
              <w:left w:w="65" w:type="dxa"/>
              <w:bottom w:w="65" w:type="dxa"/>
              <w:right w:w="65" w:type="dxa"/>
            </w:tcMar>
            <w:vAlign w:val="center"/>
          </w:tcPr>
          <w:p w14:paraId="3B336F1D" w14:textId="77777777" w:rsidR="00AF5C7A" w:rsidRDefault="00FB1870">
            <w:pPr>
              <w:pStyle w:val="Compact"/>
              <w:keepNext/>
              <w:spacing w:before="20" w:after="40" w:line="245" w:lineRule="auto"/>
            </w:pPr>
            <w:r>
              <w:rPr>
                <w:b/>
                <w:sz w:val="18"/>
              </w:rPr>
              <w:t>Gap</w:t>
            </w:r>
          </w:p>
        </w:tc>
        <w:tc>
          <w:tcPr>
            <w:tcW w:w="2509" w:type="dxa"/>
            <w:shd w:val="clear" w:color="auto" w:fill="DDE6EC"/>
            <w:tcMar>
              <w:top w:w="65" w:type="dxa"/>
              <w:left w:w="65" w:type="dxa"/>
              <w:bottom w:w="65" w:type="dxa"/>
              <w:right w:w="65" w:type="dxa"/>
            </w:tcMar>
            <w:vAlign w:val="center"/>
          </w:tcPr>
          <w:p w14:paraId="3F3A7304" w14:textId="77777777" w:rsidR="00AF5C7A" w:rsidRDefault="00FB1870">
            <w:pPr>
              <w:pStyle w:val="Compact"/>
              <w:keepNext/>
              <w:spacing w:before="20" w:after="40" w:line="245" w:lineRule="auto"/>
            </w:pPr>
            <w:r>
              <w:rPr>
                <w:b/>
                <w:sz w:val="18"/>
              </w:rPr>
              <w:t>Carillo 2026</w:t>
            </w:r>
          </w:p>
        </w:tc>
        <w:tc>
          <w:tcPr>
            <w:tcW w:w="2509" w:type="dxa"/>
            <w:shd w:val="clear" w:color="auto" w:fill="DDE6EC"/>
            <w:tcMar>
              <w:top w:w="65" w:type="dxa"/>
              <w:left w:w="65" w:type="dxa"/>
              <w:bottom w:w="65" w:type="dxa"/>
              <w:right w:w="65" w:type="dxa"/>
            </w:tcMar>
            <w:vAlign w:val="center"/>
          </w:tcPr>
          <w:p w14:paraId="405B453B" w14:textId="77777777" w:rsidR="00AF5C7A" w:rsidRDefault="00FB1870">
            <w:pPr>
              <w:pStyle w:val="Compact"/>
              <w:keepNext/>
              <w:spacing w:before="20" w:after="40" w:line="245" w:lineRule="auto"/>
            </w:pPr>
            <w:r>
              <w:rPr>
                <w:b/>
                <w:sz w:val="18"/>
              </w:rPr>
              <w:t>Lavaur 2025</w:t>
            </w:r>
          </w:p>
        </w:tc>
        <w:tc>
          <w:tcPr>
            <w:tcW w:w="2509" w:type="dxa"/>
            <w:shd w:val="clear" w:color="auto" w:fill="DDE6EC"/>
            <w:tcMar>
              <w:top w:w="65" w:type="dxa"/>
              <w:left w:w="65" w:type="dxa"/>
              <w:bottom w:w="65" w:type="dxa"/>
              <w:right w:w="65" w:type="dxa"/>
            </w:tcMar>
            <w:vAlign w:val="center"/>
          </w:tcPr>
          <w:p w14:paraId="087BCE0A" w14:textId="77777777" w:rsidR="00AF5C7A" w:rsidRDefault="00FB1870">
            <w:pPr>
              <w:pStyle w:val="Compact"/>
              <w:keepNext/>
              <w:spacing w:before="20" w:after="40" w:line="245" w:lineRule="auto"/>
            </w:pPr>
            <w:r>
              <w:rPr>
                <w:b/>
                <w:sz w:val="18"/>
              </w:rPr>
              <w:t>Guo 2025</w:t>
            </w:r>
          </w:p>
        </w:tc>
        <w:tc>
          <w:tcPr>
            <w:tcW w:w="2509" w:type="dxa"/>
            <w:shd w:val="clear" w:color="auto" w:fill="DDE6EC"/>
            <w:tcMar>
              <w:top w:w="65" w:type="dxa"/>
              <w:left w:w="65" w:type="dxa"/>
              <w:bottom w:w="65" w:type="dxa"/>
              <w:right w:w="65" w:type="dxa"/>
            </w:tcMar>
            <w:vAlign w:val="center"/>
          </w:tcPr>
          <w:p w14:paraId="109C14CD" w14:textId="77777777" w:rsidR="00AF5C7A" w:rsidRDefault="00FB1870">
            <w:pPr>
              <w:pStyle w:val="Compact"/>
              <w:keepNext/>
              <w:spacing w:before="20" w:after="40" w:line="245" w:lineRule="auto"/>
            </w:pPr>
            <w:r>
              <w:rPr>
                <w:b/>
                <w:sz w:val="18"/>
              </w:rPr>
              <w:t>Proposed opportunity</w:t>
            </w:r>
          </w:p>
        </w:tc>
        <w:tc>
          <w:tcPr>
            <w:tcW w:w="2657" w:type="dxa"/>
            <w:shd w:val="clear" w:color="auto" w:fill="DDE6EC"/>
            <w:tcMar>
              <w:top w:w="65" w:type="dxa"/>
              <w:left w:w="65" w:type="dxa"/>
              <w:bottom w:w="65" w:type="dxa"/>
              <w:right w:w="65" w:type="dxa"/>
            </w:tcMar>
            <w:vAlign w:val="center"/>
          </w:tcPr>
          <w:p w14:paraId="4ED6B4AB" w14:textId="77777777" w:rsidR="00AF5C7A" w:rsidRDefault="00FB1870">
            <w:pPr>
              <w:pStyle w:val="Compact"/>
              <w:keepNext/>
              <w:spacing w:before="20" w:after="40" w:line="245" w:lineRule="auto"/>
            </w:pPr>
            <w:r>
              <w:rPr>
                <w:b/>
                <w:sz w:val="18"/>
              </w:rPr>
              <w:t>Phase 1 link</w:t>
            </w:r>
          </w:p>
        </w:tc>
      </w:tr>
      <w:tr w:rsidR="00AF5C7A" w14:paraId="3EDC0183" w14:textId="77777777" w:rsidTr="00AF5C7A">
        <w:trPr>
          <w:cantSplit/>
        </w:trPr>
        <w:tc>
          <w:tcPr>
            <w:tcW w:w="2066" w:type="dxa"/>
            <w:shd w:val="clear" w:color="auto" w:fill="FFFFFF"/>
            <w:tcMar>
              <w:top w:w="65" w:type="dxa"/>
              <w:left w:w="65" w:type="dxa"/>
              <w:bottom w:w="65" w:type="dxa"/>
              <w:right w:w="65" w:type="dxa"/>
            </w:tcMar>
            <w:vAlign w:val="center"/>
          </w:tcPr>
          <w:p w14:paraId="64EC28C7" w14:textId="77777777" w:rsidR="00AF5C7A" w:rsidRDefault="00FB1870">
            <w:pPr>
              <w:pStyle w:val="Compact"/>
              <w:keepNext/>
              <w:spacing w:before="20" w:after="40" w:line="245" w:lineRule="auto"/>
            </w:pPr>
            <w:r>
              <w:rPr>
                <w:sz w:val="18"/>
              </w:rPr>
              <w:t>G1: Source acquisition and poison persistence</w:t>
            </w:r>
          </w:p>
        </w:tc>
        <w:tc>
          <w:tcPr>
            <w:tcW w:w="2509" w:type="dxa"/>
            <w:shd w:val="clear" w:color="auto" w:fill="FFFFFF"/>
            <w:tcMar>
              <w:top w:w="65" w:type="dxa"/>
              <w:left w:w="65" w:type="dxa"/>
              <w:bottom w:w="65" w:type="dxa"/>
              <w:right w:w="65" w:type="dxa"/>
            </w:tcMar>
            <w:vAlign w:val="center"/>
          </w:tcPr>
          <w:p w14:paraId="52E5401F" w14:textId="77777777" w:rsidR="00AF5C7A" w:rsidRDefault="00FB1870">
            <w:pPr>
              <w:pStyle w:val="Compact"/>
              <w:keepNext/>
              <w:spacing w:before="20" w:after="40" w:line="245" w:lineRule="auto"/>
            </w:pPr>
            <w:r>
              <w:rPr>
                <w:sz w:val="18"/>
              </w:rPr>
              <w:t>Clean old/new FCIL scores, without label poison [6].</w:t>
            </w:r>
          </w:p>
        </w:tc>
        <w:tc>
          <w:tcPr>
            <w:tcW w:w="2509" w:type="dxa"/>
            <w:shd w:val="clear" w:color="auto" w:fill="FFFFFF"/>
            <w:tcMar>
              <w:top w:w="65" w:type="dxa"/>
              <w:left w:w="65" w:type="dxa"/>
              <w:bottom w:w="65" w:type="dxa"/>
              <w:right w:w="65" w:type="dxa"/>
            </w:tcMar>
            <w:vAlign w:val="center"/>
          </w:tcPr>
          <w:p w14:paraId="3FD9B955" w14:textId="77777777" w:rsidR="00AF5C7A" w:rsidRDefault="00FB1870">
            <w:pPr>
              <w:pStyle w:val="Compact"/>
              <w:keepNext/>
              <w:spacing w:before="20" w:after="40" w:line="245" w:lineRule="auto"/>
            </w:pPr>
            <w:r>
              <w:rPr>
                <w:sz w:val="18"/>
              </w:rPr>
              <w:t>Fixed-label poison timing, participation and dataset dependence [7].</w:t>
            </w:r>
          </w:p>
        </w:tc>
        <w:tc>
          <w:tcPr>
            <w:tcW w:w="2509" w:type="dxa"/>
            <w:shd w:val="clear" w:color="auto" w:fill="FFFFFF"/>
            <w:tcMar>
              <w:top w:w="65" w:type="dxa"/>
              <w:left w:w="65" w:type="dxa"/>
              <w:bottom w:w="65" w:type="dxa"/>
              <w:right w:w="65" w:type="dxa"/>
            </w:tcMar>
            <w:vAlign w:val="center"/>
          </w:tcPr>
          <w:p w14:paraId="1EA7C414" w14:textId="77777777" w:rsidR="00AF5C7A" w:rsidRDefault="00FB1870">
            <w:pPr>
              <w:pStyle w:val="Compact"/>
              <w:keepNext/>
              <w:spacing w:before="20" w:after="40" w:line="245" w:lineRule="auto"/>
            </w:pPr>
            <w:r>
              <w:rPr>
                <w:sz w:val="18"/>
              </w:rPr>
              <w:t>Clean historical-memory preservation [11].</w:t>
            </w:r>
          </w:p>
        </w:tc>
        <w:tc>
          <w:tcPr>
            <w:tcW w:w="2509" w:type="dxa"/>
            <w:shd w:val="clear" w:color="auto" w:fill="FFFFFF"/>
            <w:tcMar>
              <w:top w:w="65" w:type="dxa"/>
              <w:left w:w="65" w:type="dxa"/>
              <w:bottom w:w="65" w:type="dxa"/>
              <w:right w:w="65" w:type="dxa"/>
            </w:tcMar>
            <w:vAlign w:val="center"/>
          </w:tcPr>
          <w:p w14:paraId="2519F0B5" w14:textId="77777777" w:rsidR="00AF5C7A" w:rsidRDefault="00FB1870">
            <w:pPr>
              <w:pStyle w:val="Compact"/>
              <w:keepNext/>
              <w:spacing w:before="20" w:after="40" w:line="245" w:lineRule="auto"/>
            </w:pPr>
            <w:r>
              <w:rPr>
                <w:sz w:val="18"/>
              </w:rPr>
              <w:t>Measure E2 source recall damage and E3/E4 clean-matched targeted error; keep E1 retention as collateral change.</w:t>
            </w:r>
          </w:p>
        </w:tc>
        <w:tc>
          <w:tcPr>
            <w:tcW w:w="2657" w:type="dxa"/>
            <w:shd w:val="clear" w:color="auto" w:fill="FFFFFF"/>
            <w:tcMar>
              <w:top w:w="65" w:type="dxa"/>
              <w:left w:w="65" w:type="dxa"/>
              <w:bottom w:w="65" w:type="dxa"/>
              <w:right w:w="65" w:type="dxa"/>
            </w:tcMar>
            <w:vAlign w:val="center"/>
          </w:tcPr>
          <w:p w14:paraId="6F34277E" w14:textId="77777777" w:rsidR="00AF5C7A" w:rsidRDefault="00FB1870">
            <w:pPr>
              <w:pStyle w:val="Compact"/>
              <w:keepNext/>
              <w:spacing w:before="20" w:after="40" w:line="245" w:lineRule="auto"/>
            </w:pPr>
            <w:r>
              <w:rPr>
                <w:sz w:val="18"/>
              </w:rPr>
              <w:t>Retains poisoned-client adaptation; narrows arbitrary updates to data poisoning.</w:t>
            </w:r>
          </w:p>
        </w:tc>
      </w:tr>
      <w:tr w:rsidR="00AF5C7A" w14:paraId="0AC98AFE" w14:textId="77777777" w:rsidTr="00AF5C7A">
        <w:trPr>
          <w:cantSplit/>
        </w:trPr>
        <w:tc>
          <w:tcPr>
            <w:tcW w:w="2066" w:type="dxa"/>
            <w:shd w:val="clear" w:color="auto" w:fill="F5F7F9"/>
            <w:tcMar>
              <w:top w:w="65" w:type="dxa"/>
              <w:left w:w="65" w:type="dxa"/>
              <w:bottom w:w="65" w:type="dxa"/>
              <w:right w:w="65" w:type="dxa"/>
            </w:tcMar>
            <w:vAlign w:val="center"/>
          </w:tcPr>
          <w:p w14:paraId="1932D86E" w14:textId="77777777" w:rsidR="00AF5C7A" w:rsidRDefault="00FB1870">
            <w:pPr>
              <w:pStyle w:val="Compact"/>
              <w:keepNext/>
              <w:spacing w:before="20" w:after="40" w:line="245" w:lineRule="auto"/>
            </w:pPr>
            <w:r>
              <w:rPr>
                <w:sz w:val="18"/>
              </w:rPr>
              <w:t>G2: Legitimate adaptation under admission</w:t>
            </w:r>
          </w:p>
        </w:tc>
        <w:tc>
          <w:tcPr>
            <w:tcW w:w="2509" w:type="dxa"/>
            <w:shd w:val="clear" w:color="auto" w:fill="F5F7F9"/>
            <w:tcMar>
              <w:top w:w="65" w:type="dxa"/>
              <w:left w:w="65" w:type="dxa"/>
              <w:bottom w:w="65" w:type="dxa"/>
              <w:right w:w="65" w:type="dxa"/>
            </w:tcMar>
            <w:vAlign w:val="center"/>
          </w:tcPr>
          <w:p w14:paraId="4EA5C5A2" w14:textId="77777777" w:rsidR="00AF5C7A" w:rsidRDefault="00FB1870">
            <w:pPr>
              <w:pStyle w:val="Compact"/>
              <w:keepNext/>
              <w:spacing w:before="20" w:after="40" w:line="245" w:lineRule="auto"/>
            </w:pPr>
            <w:r>
              <w:rPr>
                <w:sz w:val="18"/>
              </w:rPr>
              <w:t>New-family discrimination remains difficult in the cited setting.</w:t>
            </w:r>
          </w:p>
        </w:tc>
        <w:tc>
          <w:tcPr>
            <w:tcW w:w="2509" w:type="dxa"/>
            <w:shd w:val="clear" w:color="auto" w:fill="F5F7F9"/>
            <w:tcMar>
              <w:top w:w="65" w:type="dxa"/>
              <w:left w:w="65" w:type="dxa"/>
              <w:bottom w:w="65" w:type="dxa"/>
              <w:right w:w="65" w:type="dxa"/>
            </w:tcMar>
            <w:vAlign w:val="center"/>
          </w:tcPr>
          <w:p w14:paraId="489BB13E" w14:textId="77777777" w:rsidR="00AF5C7A" w:rsidRDefault="00FB1870">
            <w:pPr>
              <w:pStyle w:val="Compact"/>
              <w:keepNext/>
              <w:spacing w:before="20" w:after="40" w:line="245" w:lineRule="auto"/>
            </w:pPr>
            <w:r>
              <w:rPr>
                <w:sz w:val="18"/>
              </w:rPr>
              <w:t>Heterogeneity changes attack/mitigation behavior.</w:t>
            </w:r>
          </w:p>
        </w:tc>
        <w:tc>
          <w:tcPr>
            <w:tcW w:w="2509" w:type="dxa"/>
            <w:shd w:val="clear" w:color="auto" w:fill="F5F7F9"/>
            <w:tcMar>
              <w:top w:w="65" w:type="dxa"/>
              <w:left w:w="65" w:type="dxa"/>
              <w:bottom w:w="65" w:type="dxa"/>
              <w:right w:w="65" w:type="dxa"/>
            </w:tcMar>
            <w:vAlign w:val="center"/>
          </w:tcPr>
          <w:p w14:paraId="17EB65C0" w14:textId="77777777" w:rsidR="00AF5C7A" w:rsidRDefault="00FB1870">
            <w:pPr>
              <w:pStyle w:val="Compact"/>
              <w:keepNext/>
              <w:spacing w:before="20" w:after="40" w:line="245" w:lineRule="auto"/>
            </w:pPr>
            <w:r>
              <w:rPr>
                <w:sz w:val="18"/>
              </w:rPr>
              <w:t>Uncertainty/diversity preserves scarce examples; adversarial admission untested.</w:t>
            </w:r>
          </w:p>
        </w:tc>
        <w:tc>
          <w:tcPr>
            <w:tcW w:w="2509" w:type="dxa"/>
            <w:shd w:val="clear" w:color="auto" w:fill="F5F7F9"/>
            <w:tcMar>
              <w:top w:w="65" w:type="dxa"/>
              <w:left w:w="65" w:type="dxa"/>
              <w:bottom w:w="65" w:type="dxa"/>
              <w:right w:w="65" w:type="dxa"/>
            </w:tcMar>
            <w:vAlign w:val="center"/>
          </w:tcPr>
          <w:p w14:paraId="3CAB4281" w14:textId="77777777" w:rsidR="00AF5C7A" w:rsidRDefault="00FB1870">
            <w:pPr>
              <w:pStyle w:val="Compact"/>
              <w:keepNext/>
              <w:spacing w:before="20" w:after="40" w:line="245" w:lineRule="auto"/>
            </w:pPr>
            <w:r>
              <w:rPr>
                <w:sz w:val="18"/>
              </w:rPr>
              <w:t>Compare class-aware versus matched-volume global selection; report new-family F1 and source damage with equal client quotas.</w:t>
            </w:r>
          </w:p>
        </w:tc>
        <w:tc>
          <w:tcPr>
            <w:tcW w:w="2657" w:type="dxa"/>
            <w:shd w:val="clear" w:color="auto" w:fill="F5F7F9"/>
            <w:tcMar>
              <w:top w:w="65" w:type="dxa"/>
              <w:left w:w="65" w:type="dxa"/>
              <w:bottom w:w="65" w:type="dxa"/>
              <w:right w:w="65" w:type="dxa"/>
            </w:tcMar>
            <w:vAlign w:val="center"/>
          </w:tcPr>
          <w:p w14:paraId="11231AD8" w14:textId="77777777" w:rsidR="00AF5C7A" w:rsidRDefault="00FB1870">
            <w:pPr>
              <w:pStyle w:val="Compact"/>
              <w:keepNext/>
              <w:spacing w:before="20" w:after="40" w:line="245" w:lineRule="auto"/>
            </w:pPr>
            <w:r>
              <w:rPr>
                <w:sz w:val="18"/>
              </w:rPr>
              <w:t>Retains adaptation security; discovery evasion and RF spoofing deferred.</w:t>
            </w:r>
          </w:p>
        </w:tc>
      </w:tr>
      <w:tr w:rsidR="00AF5C7A" w14:paraId="3D920466" w14:textId="77777777" w:rsidTr="00AF5C7A">
        <w:trPr>
          <w:cantSplit/>
        </w:trPr>
        <w:tc>
          <w:tcPr>
            <w:tcW w:w="2066" w:type="dxa"/>
            <w:shd w:val="clear" w:color="auto" w:fill="FFFFFF"/>
            <w:tcMar>
              <w:top w:w="65" w:type="dxa"/>
              <w:left w:w="65" w:type="dxa"/>
              <w:bottom w:w="65" w:type="dxa"/>
              <w:right w:w="65" w:type="dxa"/>
            </w:tcMar>
            <w:vAlign w:val="center"/>
          </w:tcPr>
          <w:p w14:paraId="70E5E06D" w14:textId="77777777" w:rsidR="00AF5C7A" w:rsidRDefault="00FB1870">
            <w:pPr>
              <w:pStyle w:val="Compact"/>
              <w:spacing w:before="20" w:after="40" w:line="245" w:lineRule="auto"/>
            </w:pPr>
            <w:r>
              <w:rPr>
                <w:sz w:val="18"/>
              </w:rPr>
              <w:t>G3: Identifiable memory/information cost</w:t>
            </w:r>
          </w:p>
        </w:tc>
        <w:tc>
          <w:tcPr>
            <w:tcW w:w="2509" w:type="dxa"/>
            <w:shd w:val="clear" w:color="auto" w:fill="FFFFFF"/>
            <w:tcMar>
              <w:top w:w="65" w:type="dxa"/>
              <w:left w:w="65" w:type="dxa"/>
              <w:bottom w:w="65" w:type="dxa"/>
              <w:right w:w="65" w:type="dxa"/>
            </w:tcMar>
            <w:vAlign w:val="center"/>
          </w:tcPr>
          <w:p w14:paraId="3DDFB19B" w14:textId="77777777" w:rsidR="00AF5C7A" w:rsidRDefault="00FB1870">
            <w:pPr>
              <w:pStyle w:val="Compact"/>
              <w:spacing w:before="20" w:after="40" w:line="245" w:lineRule="auto"/>
            </w:pPr>
            <w:r>
              <w:rPr>
                <w:sz w:val="18"/>
              </w:rPr>
              <w:t>Packet modality and round count condition results.</w:t>
            </w:r>
          </w:p>
        </w:tc>
        <w:tc>
          <w:tcPr>
            <w:tcW w:w="2509" w:type="dxa"/>
            <w:shd w:val="clear" w:color="auto" w:fill="FFFFFF"/>
            <w:tcMar>
              <w:top w:w="65" w:type="dxa"/>
              <w:left w:w="65" w:type="dxa"/>
              <w:bottom w:w="65" w:type="dxa"/>
              <w:right w:w="65" w:type="dxa"/>
            </w:tcMar>
            <w:vAlign w:val="center"/>
          </w:tcPr>
          <w:p w14:paraId="49AD5276" w14:textId="77777777" w:rsidR="00AF5C7A" w:rsidRDefault="00FB1870">
            <w:pPr>
              <w:pStyle w:val="Compact"/>
              <w:spacing w:before="20" w:after="40" w:line="245" w:lineRule="auto"/>
            </w:pPr>
            <w:r>
              <w:rPr>
                <w:sz w:val="18"/>
              </w:rPr>
              <w:t>Extensive fixed-binary sweeps omit replay-policy identification.</w:t>
            </w:r>
          </w:p>
        </w:tc>
        <w:tc>
          <w:tcPr>
            <w:tcW w:w="2509" w:type="dxa"/>
            <w:shd w:val="clear" w:color="auto" w:fill="FFFFFF"/>
            <w:tcMar>
              <w:top w:w="65" w:type="dxa"/>
              <w:left w:w="65" w:type="dxa"/>
              <w:bottom w:w="65" w:type="dxa"/>
              <w:right w:w="65" w:type="dxa"/>
            </w:tcMar>
            <w:vAlign w:val="center"/>
          </w:tcPr>
          <w:p w14:paraId="194159D4" w14:textId="77777777" w:rsidR="00AF5C7A" w:rsidRDefault="00FB1870">
            <w:pPr>
              <w:pStyle w:val="Compact"/>
              <w:spacing w:before="20" w:after="40" w:line="245" w:lineRule="auto"/>
            </w:pPr>
            <w:r>
              <w:rPr>
                <w:sz w:val="18"/>
              </w:rPr>
              <w:t>Large nominal memory and limited-label supervision differ from our budget.</w:t>
            </w:r>
          </w:p>
        </w:tc>
        <w:tc>
          <w:tcPr>
            <w:tcW w:w="2509" w:type="dxa"/>
            <w:shd w:val="clear" w:color="auto" w:fill="FFFFFF"/>
            <w:tcMar>
              <w:top w:w="65" w:type="dxa"/>
              <w:left w:w="65" w:type="dxa"/>
              <w:bottom w:w="65" w:type="dxa"/>
              <w:right w:w="65" w:type="dxa"/>
            </w:tcMar>
            <w:vAlign w:val="center"/>
          </w:tcPr>
          <w:p w14:paraId="7B1FCF23" w14:textId="77777777" w:rsidR="00AF5C7A" w:rsidRDefault="00FB1870">
            <w:pPr>
              <w:pStyle w:val="Compact"/>
              <w:spacing w:before="20" w:after="40" w:line="245" w:lineRule="auto"/>
            </w:pPr>
            <w:r>
              <w:rPr>
                <w:sz w:val="18"/>
              </w:rPr>
              <w:t>Unique-ID memory, common representation and trusted-data accounting; measure state bytes, update bytes and wall time.</w:t>
            </w:r>
          </w:p>
        </w:tc>
        <w:tc>
          <w:tcPr>
            <w:tcW w:w="2657" w:type="dxa"/>
            <w:shd w:val="clear" w:color="auto" w:fill="FFFFFF"/>
            <w:tcMar>
              <w:top w:w="65" w:type="dxa"/>
              <w:left w:w="65" w:type="dxa"/>
              <w:bottom w:w="65" w:type="dxa"/>
              <w:right w:w="65" w:type="dxa"/>
            </w:tcMar>
            <w:vAlign w:val="center"/>
          </w:tcPr>
          <w:p w14:paraId="0E5A699A" w14:textId="77777777" w:rsidR="00AF5C7A" w:rsidRDefault="00FB1870">
            <w:pPr>
              <w:pStyle w:val="Compact"/>
              <w:spacing w:before="20" w:after="40" w:line="245" w:lineRule="auto"/>
            </w:pPr>
            <w:r>
              <w:rPr>
                <w:sz w:val="18"/>
              </w:rPr>
              <w:t>Partly covers deployment cost; physical edge energy remains deferred.</w:t>
            </w:r>
          </w:p>
        </w:tc>
      </w:tr>
    </w:tbl>
    <w:p w14:paraId="25BF9386" w14:textId="77777777" w:rsidR="00AF5C7A" w:rsidRDefault="00AF5C7A">
      <w:pPr>
        <w:sectPr w:rsidR="00AF5C7A">
          <w:pgSz w:w="16838" w:h="11906" w:orient="landscape"/>
          <w:pgMar w:top="936" w:right="1037" w:bottom="936" w:left="1037" w:header="432" w:footer="432" w:gutter="0"/>
          <w:cols w:space="720"/>
        </w:sectPr>
      </w:pPr>
    </w:p>
    <w:p w14:paraId="418B46AF" w14:textId="77777777" w:rsidR="00AF5C7A" w:rsidRDefault="00FB1870">
      <w:pPr>
        <w:pStyle w:val="Heading21"/>
      </w:pPr>
      <w:bookmarkStart w:id="8" w:name="formal-justification-and-traceability"/>
      <w:bookmarkEnd w:id="7"/>
      <w:r>
        <w:lastRenderedPageBreak/>
        <w:t>Formal Justification and Traceability</w:t>
      </w:r>
    </w:p>
    <w:p w14:paraId="17237A99" w14:textId="77777777" w:rsidR="00AF5C7A" w:rsidRDefault="00FB1870">
      <w:pPr>
        <w:pStyle w:val="FirstParagraph"/>
      </w:pPr>
      <w:r>
        <w:t>Retention can preserve poison while rejection suppresses acquisition. Tuesday’s FTP-Patator/SSH-Patator anchors differ from Wednesday’s Hulk source. Shared benign-boundary shifts and mislabeled-source replay can cause collateral anchor damage; source metrics test targeted damage.</w:t>
      </w:r>
    </w:p>
    <w:p w14:paraId="4722FCF3" w14:textId="77777777" w:rsidR="00AF5C7A" w:rsidRDefault="00FB1870">
      <w:pPr>
        <w:pStyle w:val="BodyText"/>
      </w:pPr>
      <w:r>
        <w:t>Honest Hulk receives new-class protection; mislabeled Hulk competes in the benign quota. High benign loss can expose poison, but low loss or a benign group below twenty preserves it. DC’s honest-new admission is one by construction; held-out F1 tests acquisition. Null/adverse security effects remain admissible.</w:t>
      </w:r>
    </w:p>
    <w:p w14:paraId="244EC70D" w14:textId="77777777" w:rsidR="00AF5C7A" w:rsidRDefault="00FB1870">
      <w:pPr>
        <w:pStyle w:val="BodyText"/>
        <w:keepNext/>
        <w:spacing w:before="140" w:after="80"/>
      </w:pPr>
      <w:r>
        <w:rPr>
          <w:b/>
          <w:bCs/>
        </w:rPr>
        <w:t>Table 5. Gap-to-test traceability. C1/C2 denote the two confirmatory families defined in Table 12.</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77"/>
        <w:gridCol w:w="1672"/>
        <w:gridCol w:w="1672"/>
        <w:gridCol w:w="1672"/>
        <w:gridCol w:w="1672"/>
        <w:gridCol w:w="1770"/>
      </w:tblGrid>
      <w:tr w:rsidR="00AF5C7A" w14:paraId="65C499F3"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1377" w:type="dxa"/>
            <w:shd w:val="clear" w:color="auto" w:fill="DDE6EC"/>
            <w:tcMar>
              <w:top w:w="65" w:type="dxa"/>
              <w:left w:w="65" w:type="dxa"/>
              <w:bottom w:w="65" w:type="dxa"/>
              <w:right w:w="65" w:type="dxa"/>
            </w:tcMar>
            <w:vAlign w:val="center"/>
          </w:tcPr>
          <w:p w14:paraId="7D371037" w14:textId="77777777" w:rsidR="00AF5C7A" w:rsidRDefault="00FB1870">
            <w:pPr>
              <w:pStyle w:val="Compact"/>
              <w:keepNext/>
              <w:spacing w:before="20" w:after="40" w:line="245" w:lineRule="auto"/>
            </w:pPr>
            <w:r>
              <w:rPr>
                <w:b/>
                <w:sz w:val="18"/>
              </w:rPr>
              <w:t>Gap</w:t>
            </w:r>
          </w:p>
        </w:tc>
        <w:tc>
          <w:tcPr>
            <w:tcW w:w="1672" w:type="dxa"/>
            <w:shd w:val="clear" w:color="auto" w:fill="DDE6EC"/>
            <w:tcMar>
              <w:top w:w="65" w:type="dxa"/>
              <w:left w:w="65" w:type="dxa"/>
              <w:bottom w:w="65" w:type="dxa"/>
              <w:right w:w="65" w:type="dxa"/>
            </w:tcMar>
            <w:vAlign w:val="center"/>
          </w:tcPr>
          <w:p w14:paraId="44760DA9" w14:textId="77777777" w:rsidR="00AF5C7A" w:rsidRDefault="00FB1870">
            <w:pPr>
              <w:pStyle w:val="Compact"/>
              <w:keepNext/>
              <w:spacing w:before="20" w:after="40" w:line="245" w:lineRule="auto"/>
            </w:pPr>
            <w:r>
              <w:rPr>
                <w:b/>
                <w:sz w:val="18"/>
              </w:rPr>
              <w:t>RQ</w:t>
            </w:r>
          </w:p>
        </w:tc>
        <w:tc>
          <w:tcPr>
            <w:tcW w:w="1672" w:type="dxa"/>
            <w:shd w:val="clear" w:color="auto" w:fill="DDE6EC"/>
            <w:tcMar>
              <w:top w:w="65" w:type="dxa"/>
              <w:left w:w="65" w:type="dxa"/>
              <w:bottom w:w="65" w:type="dxa"/>
              <w:right w:w="65" w:type="dxa"/>
            </w:tcMar>
            <w:vAlign w:val="center"/>
          </w:tcPr>
          <w:p w14:paraId="7FF6D3A6" w14:textId="77777777" w:rsidR="00AF5C7A" w:rsidRDefault="00FB1870">
            <w:pPr>
              <w:pStyle w:val="Compact"/>
              <w:keepNext/>
              <w:spacing w:before="20" w:after="40" w:line="245" w:lineRule="auto"/>
            </w:pPr>
            <w:r>
              <w:rPr>
                <w:b/>
                <w:sz w:val="18"/>
              </w:rPr>
              <w:t>Hypothesis</w:t>
            </w:r>
          </w:p>
        </w:tc>
        <w:tc>
          <w:tcPr>
            <w:tcW w:w="1672" w:type="dxa"/>
            <w:shd w:val="clear" w:color="auto" w:fill="DDE6EC"/>
            <w:tcMar>
              <w:top w:w="65" w:type="dxa"/>
              <w:left w:w="65" w:type="dxa"/>
              <w:bottom w:w="65" w:type="dxa"/>
              <w:right w:w="65" w:type="dxa"/>
            </w:tcMar>
            <w:vAlign w:val="center"/>
          </w:tcPr>
          <w:p w14:paraId="3B227D8B" w14:textId="77777777" w:rsidR="00AF5C7A" w:rsidRDefault="00FB1870">
            <w:pPr>
              <w:pStyle w:val="Compact"/>
              <w:keepNext/>
              <w:spacing w:before="20" w:after="40" w:line="245" w:lineRule="auto"/>
            </w:pPr>
            <w:r>
              <w:rPr>
                <w:b/>
                <w:sz w:val="18"/>
              </w:rPr>
              <w:t>Method component</w:t>
            </w:r>
          </w:p>
        </w:tc>
        <w:tc>
          <w:tcPr>
            <w:tcW w:w="1672" w:type="dxa"/>
            <w:shd w:val="clear" w:color="auto" w:fill="DDE6EC"/>
            <w:tcMar>
              <w:top w:w="65" w:type="dxa"/>
              <w:left w:w="65" w:type="dxa"/>
              <w:bottom w:w="65" w:type="dxa"/>
              <w:right w:w="65" w:type="dxa"/>
            </w:tcMar>
            <w:vAlign w:val="center"/>
          </w:tcPr>
          <w:p w14:paraId="35370940" w14:textId="77777777" w:rsidR="00AF5C7A" w:rsidRDefault="00FB1870">
            <w:pPr>
              <w:pStyle w:val="Compact"/>
              <w:keepNext/>
              <w:spacing w:before="20" w:after="40" w:line="245" w:lineRule="auto"/>
            </w:pPr>
            <w:r>
              <w:rPr>
                <w:b/>
                <w:sz w:val="18"/>
              </w:rPr>
              <w:t>Primary endpoint</w:t>
            </w:r>
          </w:p>
        </w:tc>
        <w:tc>
          <w:tcPr>
            <w:tcW w:w="1770" w:type="dxa"/>
            <w:shd w:val="clear" w:color="auto" w:fill="DDE6EC"/>
            <w:tcMar>
              <w:top w:w="65" w:type="dxa"/>
              <w:left w:w="65" w:type="dxa"/>
              <w:bottom w:w="65" w:type="dxa"/>
              <w:right w:w="65" w:type="dxa"/>
            </w:tcMar>
            <w:vAlign w:val="center"/>
          </w:tcPr>
          <w:p w14:paraId="1B6AA83B" w14:textId="77777777" w:rsidR="00AF5C7A" w:rsidRDefault="00FB1870">
            <w:pPr>
              <w:pStyle w:val="Compact"/>
              <w:keepNext/>
              <w:spacing w:before="20" w:after="40" w:line="245" w:lineRule="auto"/>
            </w:pPr>
            <w:r>
              <w:rPr>
                <w:b/>
                <w:sz w:val="18"/>
              </w:rPr>
              <w:t>Test</w:t>
            </w:r>
          </w:p>
        </w:tc>
      </w:tr>
      <w:tr w:rsidR="00AF5C7A" w14:paraId="31A7A04B" w14:textId="77777777" w:rsidTr="00AF5C7A">
        <w:trPr>
          <w:cantSplit/>
        </w:trPr>
        <w:tc>
          <w:tcPr>
            <w:tcW w:w="1377" w:type="dxa"/>
            <w:shd w:val="clear" w:color="auto" w:fill="FFFFFF"/>
            <w:tcMar>
              <w:top w:w="65" w:type="dxa"/>
              <w:left w:w="65" w:type="dxa"/>
              <w:bottom w:w="65" w:type="dxa"/>
              <w:right w:w="65" w:type="dxa"/>
            </w:tcMar>
            <w:vAlign w:val="center"/>
          </w:tcPr>
          <w:p w14:paraId="4252FA29" w14:textId="77777777" w:rsidR="00AF5C7A" w:rsidRDefault="00FB1870">
            <w:pPr>
              <w:pStyle w:val="Compact"/>
              <w:keepNext/>
              <w:spacing w:before="20" w:after="40" w:line="245" w:lineRule="auto"/>
            </w:pPr>
            <w:r>
              <w:rPr>
                <w:sz w:val="18"/>
              </w:rPr>
              <w:t>G1</w:t>
            </w:r>
          </w:p>
        </w:tc>
        <w:tc>
          <w:tcPr>
            <w:tcW w:w="1672" w:type="dxa"/>
            <w:shd w:val="clear" w:color="auto" w:fill="FFFFFF"/>
            <w:tcMar>
              <w:top w:w="65" w:type="dxa"/>
              <w:left w:w="65" w:type="dxa"/>
              <w:bottom w:w="65" w:type="dxa"/>
              <w:right w:w="65" w:type="dxa"/>
            </w:tcMar>
            <w:vAlign w:val="center"/>
          </w:tcPr>
          <w:p w14:paraId="0453CC8B" w14:textId="77777777" w:rsidR="00AF5C7A" w:rsidRDefault="00FB1870">
            <w:pPr>
              <w:pStyle w:val="Compact"/>
              <w:keepNext/>
              <w:spacing w:before="20" w:after="40" w:line="245" w:lineRule="auto"/>
            </w:pPr>
            <w:r>
              <w:rPr>
                <w:sz w:val="18"/>
              </w:rPr>
              <w:t>RQ1</w:t>
            </w:r>
          </w:p>
        </w:tc>
        <w:tc>
          <w:tcPr>
            <w:tcW w:w="1672" w:type="dxa"/>
            <w:shd w:val="clear" w:color="auto" w:fill="FFFFFF"/>
            <w:tcMar>
              <w:top w:w="65" w:type="dxa"/>
              <w:left w:w="65" w:type="dxa"/>
              <w:bottom w:w="65" w:type="dxa"/>
              <w:right w:w="65" w:type="dxa"/>
            </w:tcMar>
            <w:vAlign w:val="center"/>
          </w:tcPr>
          <w:p w14:paraId="1DDA9537" w14:textId="77777777" w:rsidR="00AF5C7A" w:rsidRDefault="00FB1870">
            <w:pPr>
              <w:pStyle w:val="Compact"/>
              <w:keepNext/>
              <w:spacing w:before="20" w:after="40" w:line="245" w:lineRule="auto"/>
            </w:pPr>
            <w:r>
              <w:rPr>
                <w:sz w:val="18"/>
              </w:rPr>
              <w:t>C1</w:t>
            </w:r>
          </w:p>
        </w:tc>
        <w:tc>
          <w:tcPr>
            <w:tcW w:w="1672" w:type="dxa"/>
            <w:shd w:val="clear" w:color="auto" w:fill="FFFFFF"/>
            <w:tcMar>
              <w:top w:w="65" w:type="dxa"/>
              <w:left w:w="65" w:type="dxa"/>
              <w:bottom w:w="65" w:type="dxa"/>
              <w:right w:w="65" w:type="dxa"/>
            </w:tcMar>
            <w:vAlign w:val="center"/>
          </w:tcPr>
          <w:p w14:paraId="659B129B" w14:textId="77777777" w:rsidR="00AF5C7A" w:rsidRDefault="00FB1870">
            <w:pPr>
              <w:pStyle w:val="Compact"/>
              <w:keepNext/>
              <w:spacing w:before="20" w:after="40" w:line="245" w:lineRule="auto"/>
            </w:pPr>
            <w:r>
              <w:rPr>
                <w:sz w:val="18"/>
              </w:rPr>
              <w:t>Three learners; E2 poison; E3/E4 withdrawal</w:t>
            </w:r>
          </w:p>
        </w:tc>
        <w:tc>
          <w:tcPr>
            <w:tcW w:w="1672" w:type="dxa"/>
            <w:shd w:val="clear" w:color="auto" w:fill="FFFFFF"/>
            <w:tcMar>
              <w:top w:w="65" w:type="dxa"/>
              <w:left w:w="65" w:type="dxa"/>
              <w:bottom w:w="65" w:type="dxa"/>
              <w:right w:w="65" w:type="dxa"/>
            </w:tcMar>
            <w:vAlign w:val="center"/>
          </w:tcPr>
          <w:p w14:paraId="0925A3EC" w14:textId="77777777" w:rsidR="00AF5C7A" w:rsidRDefault="00FB1870">
            <w:pPr>
              <w:pStyle w:val="Compact"/>
              <w:keepNext/>
              <w:spacing w:before="20" w:after="40" w:line="245" w:lineRule="auto"/>
            </w:pPr>
            <w:r>
              <w:rPr>
                <w:sz w:val="18"/>
              </w:rPr>
              <w:t xml:space="preserve">Source recall damage; post-withdrawal </w:t>
            </w:r>
            <m:oMath>
              <m:r>
                <w:rPr>
                  <w:rFonts w:ascii="Cambria Math" w:hAnsi="Cambria Math"/>
                </w:rPr>
                <m:t>Δ</m:t>
              </m:r>
              <m:r>
                <m:rPr>
                  <m:sty m:val="p"/>
                </m:rPr>
                <w:rPr>
                  <w:rFonts w:ascii="Cambria Math" w:hAnsi="Cambria Math"/>
                </w:rPr>
                <m:t>ASR</m:t>
              </m:r>
            </m:oMath>
          </w:p>
        </w:tc>
        <w:tc>
          <w:tcPr>
            <w:tcW w:w="1770" w:type="dxa"/>
            <w:shd w:val="clear" w:color="auto" w:fill="FFFFFF"/>
            <w:tcMar>
              <w:top w:w="65" w:type="dxa"/>
              <w:left w:w="65" w:type="dxa"/>
              <w:bottom w:w="65" w:type="dxa"/>
              <w:right w:w="65" w:type="dxa"/>
            </w:tcMar>
            <w:vAlign w:val="center"/>
          </w:tcPr>
          <w:p w14:paraId="040E3F86" w14:textId="77777777" w:rsidR="00AF5C7A" w:rsidRDefault="00FB1870">
            <w:pPr>
              <w:pStyle w:val="Compact"/>
              <w:keepNext/>
              <w:spacing w:before="20" w:after="40" w:line="245" w:lineRule="auto"/>
            </w:pPr>
            <w:r>
              <w:rPr>
                <w:sz w:val="18"/>
              </w:rPr>
              <w:t>Paired signed ranks; Holm C1</w:t>
            </w:r>
          </w:p>
        </w:tc>
      </w:tr>
      <w:tr w:rsidR="00AF5C7A" w14:paraId="22A19DD7" w14:textId="77777777" w:rsidTr="00AF5C7A">
        <w:trPr>
          <w:cantSplit/>
        </w:trPr>
        <w:tc>
          <w:tcPr>
            <w:tcW w:w="1377" w:type="dxa"/>
            <w:shd w:val="clear" w:color="auto" w:fill="F5F7F9"/>
            <w:tcMar>
              <w:top w:w="65" w:type="dxa"/>
              <w:left w:w="65" w:type="dxa"/>
              <w:bottom w:w="65" w:type="dxa"/>
              <w:right w:w="65" w:type="dxa"/>
            </w:tcMar>
            <w:vAlign w:val="center"/>
          </w:tcPr>
          <w:p w14:paraId="06BD21F6" w14:textId="77777777" w:rsidR="00AF5C7A" w:rsidRDefault="00FB1870">
            <w:pPr>
              <w:pStyle w:val="Compact"/>
              <w:keepNext/>
              <w:spacing w:before="20" w:after="40" w:line="245" w:lineRule="auto"/>
            </w:pPr>
            <w:r>
              <w:rPr>
                <w:sz w:val="18"/>
              </w:rPr>
              <w:t>G2</w:t>
            </w:r>
          </w:p>
        </w:tc>
        <w:tc>
          <w:tcPr>
            <w:tcW w:w="1672" w:type="dxa"/>
            <w:shd w:val="clear" w:color="auto" w:fill="F5F7F9"/>
            <w:tcMar>
              <w:top w:w="65" w:type="dxa"/>
              <w:left w:w="65" w:type="dxa"/>
              <w:bottom w:w="65" w:type="dxa"/>
              <w:right w:w="65" w:type="dxa"/>
            </w:tcMar>
            <w:vAlign w:val="center"/>
          </w:tcPr>
          <w:p w14:paraId="20CC7D23" w14:textId="77777777" w:rsidR="00AF5C7A" w:rsidRDefault="00FB1870">
            <w:pPr>
              <w:pStyle w:val="Compact"/>
              <w:keepNext/>
              <w:spacing w:before="20" w:after="40" w:line="245" w:lineRule="auto"/>
            </w:pPr>
            <w:r>
              <w:rPr>
                <w:sz w:val="18"/>
              </w:rPr>
              <w:t>RQ2</w:t>
            </w:r>
          </w:p>
        </w:tc>
        <w:tc>
          <w:tcPr>
            <w:tcW w:w="1672" w:type="dxa"/>
            <w:shd w:val="clear" w:color="auto" w:fill="F5F7F9"/>
            <w:tcMar>
              <w:top w:w="65" w:type="dxa"/>
              <w:left w:w="65" w:type="dxa"/>
              <w:bottom w:w="65" w:type="dxa"/>
              <w:right w:w="65" w:type="dxa"/>
            </w:tcMar>
            <w:vAlign w:val="center"/>
          </w:tcPr>
          <w:p w14:paraId="5FE965FB" w14:textId="77777777" w:rsidR="00AF5C7A" w:rsidRDefault="00FB1870">
            <w:pPr>
              <w:pStyle w:val="Compact"/>
              <w:keepNext/>
              <w:spacing w:before="20" w:after="40" w:line="245" w:lineRule="auto"/>
            </w:pPr>
            <w:r>
              <w:rPr>
                <w:sz w:val="18"/>
              </w:rPr>
              <w:t>C2</w:t>
            </w:r>
          </w:p>
        </w:tc>
        <w:tc>
          <w:tcPr>
            <w:tcW w:w="1672" w:type="dxa"/>
            <w:shd w:val="clear" w:color="auto" w:fill="F5F7F9"/>
            <w:tcMar>
              <w:top w:w="65" w:type="dxa"/>
              <w:left w:w="65" w:type="dxa"/>
              <w:bottom w:w="65" w:type="dxa"/>
              <w:right w:w="65" w:type="dxa"/>
            </w:tcMar>
            <w:vAlign w:val="center"/>
          </w:tcPr>
          <w:p w14:paraId="17FA25DA" w14:textId="77777777" w:rsidR="00AF5C7A" w:rsidRDefault="00FB1870">
            <w:pPr>
              <w:pStyle w:val="Compact"/>
              <w:keepNext/>
              <w:spacing w:before="20" w:after="40" w:line="245" w:lineRule="auto"/>
            </w:pPr>
            <w:r>
              <w:rPr>
                <w:sz w:val="18"/>
              </w:rPr>
              <w:t>Class quotas versus matched client volumes</w:t>
            </w:r>
          </w:p>
        </w:tc>
        <w:tc>
          <w:tcPr>
            <w:tcW w:w="1672" w:type="dxa"/>
            <w:shd w:val="clear" w:color="auto" w:fill="F5F7F9"/>
            <w:tcMar>
              <w:top w:w="65" w:type="dxa"/>
              <w:left w:w="65" w:type="dxa"/>
              <w:bottom w:w="65" w:type="dxa"/>
              <w:right w:w="65" w:type="dxa"/>
            </w:tcMar>
            <w:vAlign w:val="center"/>
          </w:tcPr>
          <w:p w14:paraId="728AE399" w14:textId="77777777" w:rsidR="00AF5C7A" w:rsidRDefault="00FB1870">
            <w:pPr>
              <w:pStyle w:val="Compact"/>
              <w:keepNext/>
              <w:spacing w:before="20" w:after="40" w:line="245" w:lineRule="auto"/>
            </w:pPr>
            <w:r>
              <w:rPr>
                <w:sz w:val="18"/>
              </w:rPr>
              <w:t>Acquisition F1; source damage; clean benign alarms</w:t>
            </w:r>
          </w:p>
        </w:tc>
        <w:tc>
          <w:tcPr>
            <w:tcW w:w="1770" w:type="dxa"/>
            <w:shd w:val="clear" w:color="auto" w:fill="F5F7F9"/>
            <w:tcMar>
              <w:top w:w="65" w:type="dxa"/>
              <w:left w:w="65" w:type="dxa"/>
              <w:bottom w:w="65" w:type="dxa"/>
              <w:right w:w="65" w:type="dxa"/>
            </w:tcMar>
            <w:vAlign w:val="center"/>
          </w:tcPr>
          <w:p w14:paraId="554A68C1" w14:textId="77777777" w:rsidR="00AF5C7A" w:rsidRDefault="00FB1870">
            <w:pPr>
              <w:pStyle w:val="Compact"/>
              <w:keepNext/>
              <w:spacing w:before="20" w:after="40" w:line="245" w:lineRule="auto"/>
            </w:pPr>
            <w:r>
              <w:rPr>
                <w:sz w:val="18"/>
              </w:rPr>
              <w:t>Paired signed ranks; Holm C2</w:t>
            </w:r>
          </w:p>
        </w:tc>
      </w:tr>
      <w:tr w:rsidR="00AF5C7A" w14:paraId="430011F0" w14:textId="77777777" w:rsidTr="00AF5C7A">
        <w:trPr>
          <w:cantSplit/>
        </w:trPr>
        <w:tc>
          <w:tcPr>
            <w:tcW w:w="1377" w:type="dxa"/>
            <w:shd w:val="clear" w:color="auto" w:fill="FFFFFF"/>
            <w:tcMar>
              <w:top w:w="65" w:type="dxa"/>
              <w:left w:w="65" w:type="dxa"/>
              <w:bottom w:w="65" w:type="dxa"/>
              <w:right w:w="65" w:type="dxa"/>
            </w:tcMar>
            <w:vAlign w:val="center"/>
          </w:tcPr>
          <w:p w14:paraId="2D30FFE6" w14:textId="77777777" w:rsidR="00AF5C7A" w:rsidRDefault="00FB1870">
            <w:pPr>
              <w:pStyle w:val="Compact"/>
              <w:spacing w:before="20" w:after="40" w:line="245" w:lineRule="auto"/>
            </w:pPr>
            <w:r>
              <w:rPr>
                <w:sz w:val="18"/>
              </w:rPr>
              <w:t>G3</w:t>
            </w:r>
          </w:p>
        </w:tc>
        <w:tc>
          <w:tcPr>
            <w:tcW w:w="1672" w:type="dxa"/>
            <w:shd w:val="clear" w:color="auto" w:fill="FFFFFF"/>
            <w:tcMar>
              <w:top w:w="65" w:type="dxa"/>
              <w:left w:w="65" w:type="dxa"/>
              <w:bottom w:w="65" w:type="dxa"/>
              <w:right w:w="65" w:type="dxa"/>
            </w:tcMar>
            <w:vAlign w:val="center"/>
          </w:tcPr>
          <w:p w14:paraId="4BD5D646" w14:textId="77777777" w:rsidR="00AF5C7A" w:rsidRDefault="00FB1870">
            <w:pPr>
              <w:pStyle w:val="Compact"/>
              <w:spacing w:before="20" w:after="40" w:line="245" w:lineRule="auto"/>
            </w:pPr>
            <w:r>
              <w:rPr>
                <w:sz w:val="18"/>
              </w:rPr>
              <w:t>RQ3</w:t>
            </w:r>
          </w:p>
        </w:tc>
        <w:tc>
          <w:tcPr>
            <w:tcW w:w="1672" w:type="dxa"/>
            <w:shd w:val="clear" w:color="auto" w:fill="FFFFFF"/>
            <w:tcMar>
              <w:top w:w="65" w:type="dxa"/>
              <w:left w:w="65" w:type="dxa"/>
              <w:bottom w:w="65" w:type="dxa"/>
              <w:right w:w="65" w:type="dxa"/>
            </w:tcMar>
            <w:vAlign w:val="center"/>
          </w:tcPr>
          <w:p w14:paraId="658A0C5A" w14:textId="77777777" w:rsidR="00AF5C7A" w:rsidRDefault="00FB1870">
            <w:pPr>
              <w:pStyle w:val="Compact"/>
              <w:spacing w:before="20" w:after="40" w:line="245" w:lineRule="auto"/>
            </w:pPr>
            <w:r>
              <w:rPr>
                <w:sz w:val="18"/>
              </w:rPr>
              <w:t>Exploratory</w:t>
            </w:r>
          </w:p>
        </w:tc>
        <w:tc>
          <w:tcPr>
            <w:tcW w:w="1672" w:type="dxa"/>
            <w:shd w:val="clear" w:color="auto" w:fill="FFFFFF"/>
            <w:tcMar>
              <w:top w:w="65" w:type="dxa"/>
              <w:left w:w="65" w:type="dxa"/>
              <w:bottom w:w="65" w:type="dxa"/>
              <w:right w:w="65" w:type="dxa"/>
            </w:tcMar>
            <w:vAlign w:val="center"/>
          </w:tcPr>
          <w:p w14:paraId="7C08B920" w14:textId="77777777" w:rsidR="00AF5C7A" w:rsidRDefault="00FB1870">
            <w:pPr>
              <w:pStyle w:val="Compact"/>
              <w:spacing w:before="20" w:after="40" w:line="245" w:lineRule="auto"/>
            </w:pPr>
            <w:r>
              <w:rPr>
                <w:sz w:val="18"/>
              </w:rPr>
              <w:t>Eviction/loss ablations; state accounting</w:t>
            </w:r>
          </w:p>
        </w:tc>
        <w:tc>
          <w:tcPr>
            <w:tcW w:w="1672" w:type="dxa"/>
            <w:shd w:val="clear" w:color="auto" w:fill="FFFFFF"/>
            <w:tcMar>
              <w:top w:w="65" w:type="dxa"/>
              <w:left w:w="65" w:type="dxa"/>
              <w:bottom w:w="65" w:type="dxa"/>
              <w:right w:w="65" w:type="dxa"/>
            </w:tcMar>
            <w:vAlign w:val="center"/>
          </w:tcPr>
          <w:p w14:paraId="75B2F80F" w14:textId="77777777" w:rsidR="00AF5C7A" w:rsidRDefault="00FB1870">
            <w:pPr>
              <w:pStyle w:val="Compact"/>
              <w:spacing w:before="20" w:after="40" w:line="245" w:lineRule="auto"/>
            </w:pPr>
            <w:r>
              <w:rPr>
                <w:sz w:val="18"/>
              </w:rPr>
              <w:t>Contamination, family scores, time/bytes</w:t>
            </w:r>
          </w:p>
        </w:tc>
        <w:tc>
          <w:tcPr>
            <w:tcW w:w="1770" w:type="dxa"/>
            <w:shd w:val="clear" w:color="auto" w:fill="FFFFFF"/>
            <w:tcMar>
              <w:top w:w="65" w:type="dxa"/>
              <w:left w:w="65" w:type="dxa"/>
              <w:bottom w:w="65" w:type="dxa"/>
              <w:right w:w="65" w:type="dxa"/>
            </w:tcMar>
            <w:vAlign w:val="center"/>
          </w:tcPr>
          <w:p w14:paraId="6DE345F7" w14:textId="77777777" w:rsidR="00AF5C7A" w:rsidRDefault="00FB1870">
            <w:pPr>
              <w:pStyle w:val="Compact"/>
              <w:spacing w:before="20" w:after="40" w:line="245" w:lineRule="auto"/>
            </w:pPr>
            <w:r>
              <w:rPr>
                <w:sz w:val="18"/>
              </w:rPr>
              <w:t>Paired effect estimates; declared exploratory</w:t>
            </w:r>
          </w:p>
        </w:tc>
      </w:tr>
    </w:tbl>
    <w:p w14:paraId="74BCEBBE" w14:textId="77777777" w:rsidR="00AF5C7A" w:rsidRDefault="00FB1870">
      <w:pPr>
        <w:pStyle w:val="Heading11"/>
      </w:pPr>
      <w:bookmarkStart w:id="9" w:name="X0c2e7242a7e1bcce4dad9185ca6c698a958e0a4"/>
      <w:bookmarkEnd w:id="6"/>
      <w:bookmarkEnd w:id="8"/>
      <w:r>
        <w:t>Deliverable 3: Proposed Research Methodology</w:t>
      </w:r>
    </w:p>
    <w:p w14:paraId="0EACC3C6" w14:textId="77777777" w:rsidR="00AF5C7A" w:rsidRDefault="00FB1870">
      <w:pPr>
        <w:pStyle w:val="FirstParagraph"/>
      </w:pPr>
      <w:r>
        <w:t>All study-specific model settings, preprocessing rules, experiments and resource budgets below are proposed. Tables 6–7 define notation/access.</w:t>
      </w:r>
    </w:p>
    <w:p w14:paraId="14DF3E33" w14:textId="77777777" w:rsidR="00AF5C7A" w:rsidRDefault="00FB1870">
      <w:pPr>
        <w:pStyle w:val="BodyText"/>
        <w:keepNext/>
        <w:spacing w:before="140" w:after="80"/>
      </w:pPr>
      <w:r>
        <w:rPr>
          <w:b/>
          <w:bCs/>
        </w:rPr>
        <w:t>Table 6. Notation, shapes and domains. Indexed forms retain the meanings shown.</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344"/>
        <w:gridCol w:w="3737"/>
        <w:gridCol w:w="2754"/>
      </w:tblGrid>
      <w:tr w:rsidR="00AF5C7A" w14:paraId="6BCB0FFA"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3344" w:type="dxa"/>
            <w:shd w:val="clear" w:color="auto" w:fill="DDE6EC"/>
            <w:tcMar>
              <w:top w:w="65" w:type="dxa"/>
              <w:left w:w="65" w:type="dxa"/>
              <w:bottom w:w="65" w:type="dxa"/>
              <w:right w:w="65" w:type="dxa"/>
            </w:tcMar>
            <w:vAlign w:val="center"/>
          </w:tcPr>
          <w:p w14:paraId="5361F801" w14:textId="77777777" w:rsidR="00AF5C7A" w:rsidRDefault="00FB1870">
            <w:pPr>
              <w:pStyle w:val="Compact"/>
              <w:spacing w:before="20" w:after="40" w:line="245" w:lineRule="auto"/>
            </w:pPr>
            <w:r>
              <w:rPr>
                <w:b/>
                <w:sz w:val="19"/>
              </w:rPr>
              <w:t>Symbol</w:t>
            </w:r>
          </w:p>
        </w:tc>
        <w:tc>
          <w:tcPr>
            <w:tcW w:w="3737" w:type="dxa"/>
            <w:shd w:val="clear" w:color="auto" w:fill="DDE6EC"/>
            <w:tcMar>
              <w:top w:w="65" w:type="dxa"/>
              <w:left w:w="65" w:type="dxa"/>
              <w:bottom w:w="65" w:type="dxa"/>
              <w:right w:w="65" w:type="dxa"/>
            </w:tcMar>
            <w:vAlign w:val="center"/>
          </w:tcPr>
          <w:p w14:paraId="70741128" w14:textId="77777777" w:rsidR="00AF5C7A" w:rsidRDefault="00FB1870">
            <w:pPr>
              <w:pStyle w:val="Compact"/>
              <w:spacing w:before="20" w:after="40" w:line="245" w:lineRule="auto"/>
            </w:pPr>
            <w:r>
              <w:rPr>
                <w:b/>
                <w:sz w:val="19"/>
              </w:rPr>
              <w:t>Meaning</w:t>
            </w:r>
          </w:p>
        </w:tc>
        <w:tc>
          <w:tcPr>
            <w:tcW w:w="2754" w:type="dxa"/>
            <w:shd w:val="clear" w:color="auto" w:fill="DDE6EC"/>
            <w:tcMar>
              <w:top w:w="65" w:type="dxa"/>
              <w:left w:w="65" w:type="dxa"/>
              <w:bottom w:w="65" w:type="dxa"/>
              <w:right w:w="65" w:type="dxa"/>
            </w:tcMar>
            <w:vAlign w:val="center"/>
          </w:tcPr>
          <w:p w14:paraId="2FC320B8" w14:textId="77777777" w:rsidR="00AF5C7A" w:rsidRDefault="00FB1870">
            <w:pPr>
              <w:pStyle w:val="Compact"/>
              <w:spacing w:before="20" w:after="40" w:line="245" w:lineRule="auto"/>
            </w:pPr>
            <w:r>
              <w:rPr>
                <w:b/>
                <w:sz w:val="19"/>
              </w:rPr>
              <w:t>Shape/domain</w:t>
            </w:r>
          </w:p>
        </w:tc>
      </w:tr>
      <w:tr w:rsidR="00AF5C7A" w14:paraId="28C5EA96" w14:textId="77777777" w:rsidTr="00AF5C7A">
        <w:trPr>
          <w:cantSplit/>
        </w:trPr>
        <w:tc>
          <w:tcPr>
            <w:tcW w:w="3344" w:type="dxa"/>
            <w:shd w:val="clear" w:color="auto" w:fill="FFFFFF"/>
            <w:tcMar>
              <w:top w:w="65" w:type="dxa"/>
              <w:left w:w="65" w:type="dxa"/>
              <w:bottom w:w="65" w:type="dxa"/>
              <w:right w:w="65" w:type="dxa"/>
            </w:tcMar>
            <w:vAlign w:val="center"/>
          </w:tcPr>
          <w:p w14:paraId="6830E18E" w14:textId="77777777" w:rsidR="00AF5C7A" w:rsidRDefault="00FB1870">
            <w:pPr>
              <w:pStyle w:val="Compact"/>
              <w:spacing w:before="20" w:after="40" w:line="245" w:lineRule="auto"/>
            </w:pPr>
            <m:oMathPara>
              <m:oMath>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cr m:val="script"/>
                    <m:sty m:val="p"/>
                  </m:rPr>
                  <w:rPr>
                    <w:rFonts w:ascii="Cambria Math" w:hAnsi="Cambria Math"/>
                  </w:rPr>
                  <m:t>,l</m:t>
                </m:r>
                <m:r>
                  <w:br/>
                </m:r>
              </m:oMath>
              <m:oMath>
                <m:r>
                  <w:rPr>
                    <w:rFonts w:ascii="Cambria Math" w:hAnsi="Cambria Math"/>
                  </w:rPr>
                  <m:t>s</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ϑ</m:t>
                </m:r>
              </m:oMath>
            </m:oMathPara>
          </w:p>
        </w:tc>
        <w:tc>
          <w:tcPr>
            <w:tcW w:w="3737" w:type="dxa"/>
            <w:shd w:val="clear" w:color="auto" w:fill="FFFFFF"/>
            <w:tcMar>
              <w:top w:w="65" w:type="dxa"/>
              <w:left w:w="65" w:type="dxa"/>
              <w:bottom w:w="65" w:type="dxa"/>
              <w:right w:w="65" w:type="dxa"/>
            </w:tcMar>
            <w:vAlign w:val="center"/>
          </w:tcPr>
          <w:p w14:paraId="3649E89E" w14:textId="77777777" w:rsidR="00AF5C7A" w:rsidRDefault="00FB1870">
            <w:pPr>
              <w:pStyle w:val="Compact"/>
              <w:spacing w:before="20" w:after="40" w:line="245" w:lineRule="auto"/>
            </w:pPr>
            <w:r>
              <w:rPr>
                <w:sz w:val="19"/>
              </w:rPr>
              <w:t>Example, client, experience/bank, optimizer step, parameter, logit coordinate, seed, Holm rank, importance-batch, bootstrap-draw, threshold indices</w:t>
            </w:r>
          </w:p>
        </w:tc>
        <w:tc>
          <w:tcPr>
            <w:tcW w:w="2754" w:type="dxa"/>
            <w:shd w:val="clear" w:color="auto" w:fill="FFFFFF"/>
            <w:tcMar>
              <w:top w:w="65" w:type="dxa"/>
              <w:left w:w="65" w:type="dxa"/>
              <w:bottom w:w="65" w:type="dxa"/>
              <w:right w:w="65" w:type="dxa"/>
            </w:tcMar>
            <w:vAlign w:val="center"/>
          </w:tcPr>
          <w:p w14:paraId="4C6DBBAE" w14:textId="77777777" w:rsidR="00AF5C7A" w:rsidRDefault="00FB1870">
            <w:pPr>
              <w:pStyle w:val="Compact"/>
              <w:spacing w:before="20" w:after="40" w:line="245" w:lineRule="auto"/>
            </w:pPr>
            <w:r>
              <w:rPr>
                <w:sz w:val="19"/>
              </w:rPr>
              <w:t xml:space="preserve">Finite index sets; </w:t>
            </w:r>
            <m:oMath>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4</m:t>
              </m:r>
            </m:oMath>
          </w:p>
        </w:tc>
      </w:tr>
      <w:tr w:rsidR="00AF5C7A" w14:paraId="4B69660C" w14:textId="77777777" w:rsidTr="00AF5C7A">
        <w:trPr>
          <w:cantSplit/>
        </w:trPr>
        <w:tc>
          <w:tcPr>
            <w:tcW w:w="3344" w:type="dxa"/>
            <w:shd w:val="clear" w:color="auto" w:fill="F5F7F9"/>
            <w:tcMar>
              <w:top w:w="65" w:type="dxa"/>
              <w:left w:w="65" w:type="dxa"/>
              <w:bottom w:w="65" w:type="dxa"/>
              <w:right w:w="65" w:type="dxa"/>
            </w:tcMar>
            <w:vAlign w:val="center"/>
          </w:tcPr>
          <w:p w14:paraId="4BC5574E" w14:textId="77777777" w:rsidR="00AF5C7A" w:rsidRDefault="00FB1870">
            <w:pPr>
              <w:pStyle w:val="Compact"/>
              <w:spacing w:before="20" w:after="40" w:line="245" w:lineRule="auto"/>
            </w:pPr>
            <m:oMathPara>
              <m:oMath>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m:oMathPara>
          </w:p>
        </w:tc>
        <w:tc>
          <w:tcPr>
            <w:tcW w:w="3737" w:type="dxa"/>
            <w:shd w:val="clear" w:color="auto" w:fill="F5F7F9"/>
            <w:tcMar>
              <w:top w:w="65" w:type="dxa"/>
              <w:left w:w="65" w:type="dxa"/>
              <w:bottom w:w="65" w:type="dxa"/>
              <w:right w:w="65" w:type="dxa"/>
            </w:tcMar>
            <w:vAlign w:val="center"/>
          </w:tcPr>
          <w:p w14:paraId="6CB32ADE" w14:textId="77777777" w:rsidR="00AF5C7A" w:rsidRDefault="00FB1870">
            <w:pPr>
              <w:pStyle w:val="Compact"/>
              <w:spacing w:before="20" w:after="40" w:line="245" w:lineRule="auto"/>
            </w:pPr>
            <w:r>
              <w:rPr>
                <w:sz w:val="19"/>
              </w:rPr>
              <w:t>Data, input, supplied/reference/predicted labels</w:t>
            </w:r>
          </w:p>
        </w:tc>
        <w:tc>
          <w:tcPr>
            <w:tcW w:w="2754" w:type="dxa"/>
            <w:shd w:val="clear" w:color="auto" w:fill="F5F7F9"/>
            <w:tcMar>
              <w:top w:w="65" w:type="dxa"/>
              <w:left w:w="65" w:type="dxa"/>
              <w:bottom w:w="65" w:type="dxa"/>
              <w:right w:w="65" w:type="dxa"/>
            </w:tcMar>
            <w:vAlign w:val="center"/>
          </w:tcPr>
          <w:p w14:paraId="30807731" w14:textId="77777777" w:rsidR="00AF5C7A" w:rsidRDefault="00FB1870">
            <w:pPr>
              <w:pStyle w:val="Compact"/>
              <w:spacing w:before="20" w:after="40" w:line="245" w:lineRule="auto"/>
            </w:pPr>
            <w:r>
              <w:rPr>
                <w:sz w:val="19"/>
              </w:rPr>
              <w:t xml:space="preserve">Set;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sz w:val="19"/>
              </w:rPr>
              <w:t>; class identities</w:t>
            </w:r>
          </w:p>
        </w:tc>
      </w:tr>
      <w:tr w:rsidR="00AF5C7A" w14:paraId="1B51F41F" w14:textId="77777777" w:rsidTr="00AF5C7A">
        <w:trPr>
          <w:cantSplit/>
        </w:trPr>
        <w:tc>
          <w:tcPr>
            <w:tcW w:w="3344" w:type="dxa"/>
            <w:shd w:val="clear" w:color="auto" w:fill="FFFFFF"/>
            <w:tcMar>
              <w:top w:w="65" w:type="dxa"/>
              <w:left w:w="65" w:type="dxa"/>
              <w:bottom w:w="65" w:type="dxa"/>
              <w:right w:w="65" w:type="dxa"/>
            </w:tcMar>
            <w:vAlign w:val="center"/>
          </w:tcPr>
          <w:p w14:paraId="257CACA2" w14:textId="77777777" w:rsidR="00AF5C7A" w:rsidRDefault="00FB1870">
            <w:pPr>
              <w:pStyle w:val="Compact"/>
              <w:spacing w:before="20" w:after="40" w:line="245" w:lineRule="auto"/>
            </w:pPr>
            <m:oMathPara>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i</m:t>
                    </m:r>
                  </m:sub>
                </m:sSub>
              </m:oMath>
            </m:oMathPara>
          </w:p>
        </w:tc>
        <w:tc>
          <w:tcPr>
            <w:tcW w:w="3737" w:type="dxa"/>
            <w:shd w:val="clear" w:color="auto" w:fill="FFFFFF"/>
            <w:tcMar>
              <w:top w:w="65" w:type="dxa"/>
              <w:left w:w="65" w:type="dxa"/>
              <w:bottom w:w="65" w:type="dxa"/>
              <w:right w:w="65" w:type="dxa"/>
            </w:tcMar>
            <w:vAlign w:val="center"/>
          </w:tcPr>
          <w:p w14:paraId="3AF78743" w14:textId="77777777" w:rsidR="00AF5C7A" w:rsidRDefault="00FB1870">
            <w:pPr>
              <w:pStyle w:val="Compact"/>
              <w:spacing w:before="20" w:after="40" w:line="245" w:lineRule="auto"/>
            </w:pPr>
            <w:r>
              <w:rPr>
                <w:sz w:val="19"/>
              </w:rPr>
              <w:t>Immutable ID, session ID, timestamp, evaluator poison indicator</w:t>
            </w:r>
          </w:p>
        </w:tc>
        <w:tc>
          <w:tcPr>
            <w:tcW w:w="2754" w:type="dxa"/>
            <w:shd w:val="clear" w:color="auto" w:fill="FFFFFF"/>
            <w:tcMar>
              <w:top w:w="65" w:type="dxa"/>
              <w:left w:w="65" w:type="dxa"/>
              <w:bottom w:w="65" w:type="dxa"/>
              <w:right w:w="65" w:type="dxa"/>
            </w:tcMar>
            <w:vAlign w:val="center"/>
          </w:tcPr>
          <w:p w14:paraId="450CE8F6" w14:textId="77777777" w:rsidR="00AF5C7A" w:rsidRDefault="00FB1870">
            <w:pPr>
              <w:pStyle w:val="Compact"/>
              <w:spacing w:before="20" w:after="40" w:line="245" w:lineRule="auto"/>
            </w:pPr>
            <w:r>
              <w:rPr>
                <w:sz w:val="19"/>
              </w:rPr>
              <w:t xml:space="preserve">int64; identifier; time;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p>
        </w:tc>
      </w:tr>
      <w:tr w:rsidR="00AF5C7A" w14:paraId="1017795C" w14:textId="77777777" w:rsidTr="00AF5C7A">
        <w:trPr>
          <w:cantSplit/>
        </w:trPr>
        <w:tc>
          <w:tcPr>
            <w:tcW w:w="3344" w:type="dxa"/>
            <w:shd w:val="clear" w:color="auto" w:fill="F5F7F9"/>
            <w:tcMar>
              <w:top w:w="65" w:type="dxa"/>
              <w:left w:w="65" w:type="dxa"/>
              <w:bottom w:w="65" w:type="dxa"/>
              <w:right w:w="65" w:type="dxa"/>
            </w:tcMar>
            <w:vAlign w:val="center"/>
          </w:tcPr>
          <w:p w14:paraId="320EF911" w14:textId="77777777" w:rsidR="00AF5C7A" w:rsidRDefault="00FB1870">
            <w:pPr>
              <w:pStyle w:val="Compact"/>
              <w:spacing w:before="20" w:after="40" w:line="245" w:lineRule="auto"/>
            </w:pPr>
            <m:oMathPara>
              <m:oMath>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t</m:t>
                    </m:r>
                  </m:sub>
                  <m:sup>
                    <m:r>
                      <m:rPr>
                        <m:sty m:val="p"/>
                      </m:rPr>
                      <w:rPr>
                        <w:rFonts w:ascii="Cambria Math" w:hAnsi="Cambria Math"/>
                      </w:rPr>
                      <m:t>new</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oMath>
            </m:oMathPara>
          </w:p>
        </w:tc>
        <w:tc>
          <w:tcPr>
            <w:tcW w:w="3737" w:type="dxa"/>
            <w:shd w:val="clear" w:color="auto" w:fill="F5F7F9"/>
            <w:tcMar>
              <w:top w:w="65" w:type="dxa"/>
              <w:left w:w="65" w:type="dxa"/>
              <w:bottom w:w="65" w:type="dxa"/>
              <w:right w:w="65" w:type="dxa"/>
            </w:tcMar>
            <w:vAlign w:val="center"/>
          </w:tcPr>
          <w:p w14:paraId="0375D6AC" w14:textId="77777777" w:rsidR="00AF5C7A" w:rsidRDefault="00FB1870">
            <w:pPr>
              <w:pStyle w:val="Compact"/>
              <w:spacing w:before="20" w:after="40" w:line="245" w:lineRule="auto"/>
            </w:pPr>
            <w:r>
              <w:rPr>
                <w:sz w:val="19"/>
              </w:rPr>
              <w:t>Observed/new sets, size, class, Hulk source, benign target</w:t>
            </w:r>
          </w:p>
        </w:tc>
        <w:tc>
          <w:tcPr>
            <w:tcW w:w="2754" w:type="dxa"/>
            <w:shd w:val="clear" w:color="auto" w:fill="F5F7F9"/>
            <w:tcMar>
              <w:top w:w="65" w:type="dxa"/>
              <w:left w:w="65" w:type="dxa"/>
              <w:bottom w:w="65" w:type="dxa"/>
              <w:right w:w="65" w:type="dxa"/>
            </w:tcMar>
            <w:vAlign w:val="center"/>
          </w:tcPr>
          <w:p w14:paraId="5AB941A0" w14:textId="77777777" w:rsidR="00AF5C7A" w:rsidRDefault="00FB1870">
            <w:pPr>
              <w:pStyle w:val="Compact"/>
              <w:spacing w:before="20" w:after="40" w:line="245" w:lineRule="auto"/>
            </w:pPr>
            <w:r>
              <w:rPr>
                <w:sz w:val="19"/>
              </w:rPr>
              <w:t>Sets; integer; identities</w:t>
            </w:r>
          </w:p>
        </w:tc>
      </w:tr>
      <w:tr w:rsidR="00AF5C7A" w14:paraId="5AAC028C" w14:textId="77777777" w:rsidTr="00AF5C7A">
        <w:trPr>
          <w:cantSplit/>
        </w:trPr>
        <w:tc>
          <w:tcPr>
            <w:tcW w:w="3344" w:type="dxa"/>
            <w:shd w:val="clear" w:color="auto" w:fill="FFFFFF"/>
            <w:tcMar>
              <w:top w:w="65" w:type="dxa"/>
              <w:left w:w="65" w:type="dxa"/>
              <w:bottom w:w="65" w:type="dxa"/>
              <w:right w:w="65" w:type="dxa"/>
            </w:tcMar>
            <w:vAlign w:val="center"/>
          </w:tcPr>
          <w:p w14:paraId="6F9776EA" w14:textId="77777777" w:rsidR="00AF5C7A" w:rsidRDefault="00FB1870">
            <w:pPr>
              <w:pStyle w:val="Compact"/>
              <w:spacing w:before="20" w:after="40" w:line="245" w:lineRule="auto"/>
            </w:pPr>
            <m:oMathPara>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br/>
                </m:r>
              </m:oMath>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oMath>
            </m:oMathPara>
          </w:p>
        </w:tc>
        <w:tc>
          <w:tcPr>
            <w:tcW w:w="3737" w:type="dxa"/>
            <w:shd w:val="clear" w:color="auto" w:fill="FFFFFF"/>
            <w:tcMar>
              <w:top w:w="65" w:type="dxa"/>
              <w:left w:w="65" w:type="dxa"/>
              <w:bottom w:w="65" w:type="dxa"/>
              <w:right w:w="65" w:type="dxa"/>
            </w:tcMar>
            <w:vAlign w:val="center"/>
          </w:tcPr>
          <w:p w14:paraId="20B9ED90" w14:textId="77777777" w:rsidR="00AF5C7A" w:rsidRDefault="00FB1870">
            <w:pPr>
              <w:pStyle w:val="Compact"/>
              <w:spacing w:before="20" w:after="40" w:line="245" w:lineRule="auto"/>
            </w:pPr>
            <w:r>
              <w:rPr>
                <w:sz w:val="19"/>
              </w:rPr>
              <w:t>Layer weights, biases, hidden vectors</w:t>
            </w:r>
          </w:p>
        </w:tc>
        <w:tc>
          <w:tcPr>
            <w:tcW w:w="2754" w:type="dxa"/>
            <w:shd w:val="clear" w:color="auto" w:fill="FFFFFF"/>
            <w:tcMar>
              <w:top w:w="65" w:type="dxa"/>
              <w:left w:w="65" w:type="dxa"/>
              <w:bottom w:w="65" w:type="dxa"/>
              <w:right w:w="65" w:type="dxa"/>
            </w:tcMar>
            <w:vAlign w:val="center"/>
          </w:tcPr>
          <w:p w14:paraId="17DB7F36" w14:textId="77777777" w:rsidR="00AF5C7A" w:rsidRDefault="00FB1870">
            <w:pPr>
              <w:pStyle w:val="Compact"/>
              <w:spacing w:before="20" w:after="40" w:line="245" w:lineRule="auto"/>
            </w:pPr>
            <m:oMath>
              <m:r>
                <w:rPr>
                  <w:rFonts w:ascii="Cambria Math" w:hAnsi="Cambria Math"/>
                </w:rPr>
                <m:t>128​</m:t>
              </m:r>
              <m:r>
                <m:rPr>
                  <m:sty m:val="p"/>
                </m:rPr>
                <w:rPr>
                  <w:rFonts w:ascii="Cambria Math" w:hAnsi="Cambria Math"/>
                </w:rPr>
                <m:t>×</m:t>
              </m:r>
              <m: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m:t>
              </m:r>
              <m:r>
                <w:rPr>
                  <w:rFonts w:ascii="Cambria Math" w:hAnsi="Cambria Math"/>
                </w:rPr>
                <m:t>128</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m:t>
              </m:r>
              <m:r>
                <w:rPr>
                  <w:rFonts w:ascii="Cambria Math" w:hAnsi="Cambria Math"/>
                </w:rPr>
                <m:t>64</m:t>
              </m:r>
            </m:oMath>
            <w:r>
              <w:rPr>
                <w:sz w:val="19"/>
              </w:rPr>
              <w:t xml:space="preserve">; </w:t>
            </w:r>
            <m:oMath>
              <m:r>
                <w:rPr>
                  <w:rFonts w:ascii="Cambria Math" w:hAnsi="Cambria Math"/>
                </w:rPr>
                <m:t>128</m:t>
              </m:r>
              <m:r>
                <m:rPr>
                  <m:sty m:val="p"/>
                </m:rPr>
                <w:rPr>
                  <w:rFonts w:ascii="Cambria Math" w:hAnsi="Cambria Math"/>
                </w:rPr>
                <m:t>,</m:t>
              </m:r>
              <m:r>
                <w:rPr>
                  <w:rFonts w:ascii="Cambria Math" w:hAnsi="Cambria Math"/>
                </w:rPr>
                <m:t>64</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oMath>
            <w:r>
              <w:rPr>
                <w:sz w:val="19"/>
              </w:rPr>
              <w:t xml:space="preserve">; </w:t>
            </w:r>
            <m:oMath>
              <m:r>
                <w:rPr>
                  <w:rFonts w:ascii="Cambria Math" w:hAnsi="Cambria Math"/>
                </w:rPr>
                <m:t>128</m:t>
              </m:r>
              <m:r>
                <m:rPr>
                  <m:sty m:val="p"/>
                </m:rPr>
                <w:rPr>
                  <w:rFonts w:ascii="Cambria Math" w:hAnsi="Cambria Math"/>
                </w:rPr>
                <m:t>,</m:t>
              </m:r>
              <m:r>
                <w:rPr>
                  <w:rFonts w:ascii="Cambria Math" w:hAnsi="Cambria Math"/>
                </w:rPr>
                <m:t>64</m:t>
              </m:r>
            </m:oMath>
          </w:p>
        </w:tc>
      </w:tr>
      <w:tr w:rsidR="00AF5C7A" w14:paraId="74030406" w14:textId="77777777" w:rsidTr="00AF5C7A">
        <w:trPr>
          <w:cantSplit/>
        </w:trPr>
        <w:tc>
          <w:tcPr>
            <w:tcW w:w="3344" w:type="dxa"/>
            <w:shd w:val="clear" w:color="auto" w:fill="F5F7F9"/>
            <w:tcMar>
              <w:top w:w="65" w:type="dxa"/>
              <w:left w:w="65" w:type="dxa"/>
              <w:bottom w:w="65" w:type="dxa"/>
              <w:right w:w="65" w:type="dxa"/>
            </w:tcMar>
            <w:vAlign w:val="center"/>
          </w:tcPr>
          <w:p w14:paraId="13EA9D16" w14:textId="77777777" w:rsidR="00AF5C7A" w:rsidRDefault="00FB1870">
            <w:pPr>
              <w:pStyle w:val="Compact"/>
              <w:spacing w:before="20" w:after="40" w:line="245" w:lineRule="auto"/>
            </w:pPr>
            <m:oMathPara>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anchor</m:t>
                    </m:r>
                  </m:sup>
                </m:sSup>
                <m:r>
                  <w:br/>
                </m:r>
              </m:oMath>
              <m:oMath>
                <m:sSub>
                  <m:sSubPr>
                    <m:ctrlPr>
                      <w:rPr>
                        <w:rFonts w:ascii="Cambria Math" w:hAnsi="Cambria Math"/>
                      </w:rPr>
                    </m:ctrlPr>
                  </m:sSubPr>
                  <m:e>
                    <m:r>
                      <w:rPr>
                        <w:rFonts w:ascii="Cambria Math" w:hAnsi="Cambria Math"/>
                      </w:rPr>
                      <m:t>f</m:t>
                    </m:r>
                  </m:e>
                  <m:sub>
                    <m:r>
                      <w:rPr>
                        <w:rFonts w:ascii="Cambria Math" w:hAnsi="Cambria Math"/>
                      </w:rPr>
                      <m:t>θ</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θ</m:t>
                    </m:r>
                  </m:sub>
                </m:sSub>
              </m:oMath>
            </m:oMathPara>
          </w:p>
        </w:tc>
        <w:tc>
          <w:tcPr>
            <w:tcW w:w="3737" w:type="dxa"/>
            <w:shd w:val="clear" w:color="auto" w:fill="F5F7F9"/>
            <w:tcMar>
              <w:top w:w="65" w:type="dxa"/>
              <w:left w:w="65" w:type="dxa"/>
              <w:bottom w:w="65" w:type="dxa"/>
              <w:right w:w="65" w:type="dxa"/>
            </w:tcMar>
            <w:vAlign w:val="center"/>
          </w:tcPr>
          <w:p w14:paraId="2A9921DF" w14:textId="77777777" w:rsidR="00AF5C7A" w:rsidRDefault="00FB1870">
            <w:pPr>
              <w:pStyle w:val="Compact"/>
              <w:spacing w:before="20" w:after="40" w:line="245" w:lineRule="auto"/>
            </w:pPr>
            <w:r>
              <w:rPr>
                <w:sz w:val="19"/>
              </w:rPr>
              <w:t>Parameters/anchor, logits, probabilities, parameter count</w:t>
            </w:r>
          </w:p>
        </w:tc>
        <w:tc>
          <w:tcPr>
            <w:tcW w:w="2754" w:type="dxa"/>
            <w:shd w:val="clear" w:color="auto" w:fill="F5F7F9"/>
            <w:tcMar>
              <w:top w:w="65" w:type="dxa"/>
              <w:left w:w="65" w:type="dxa"/>
              <w:bottom w:w="65" w:type="dxa"/>
              <w:right w:w="65" w:type="dxa"/>
            </w:tcMar>
            <w:vAlign w:val="center"/>
          </w:tcPr>
          <w:p w14:paraId="4FB5296C" w14:textId="77777777" w:rsidR="00AF5C7A" w:rsidRDefault="00FB1870">
            <w:pPr>
              <w:pStyle w:val="Compact"/>
              <w:spacing w:before="20" w:after="40" w:line="245" w:lineRule="auto"/>
            </w:pPr>
            <w:r>
              <w:rPr>
                <w:sz w:val="19"/>
              </w:rPr>
              <w:t xml:space="preserve">Vectors; </w:t>
            </w:r>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w:rPr>
                          <w:rFonts w:ascii="Cambria Math" w:hAnsi="Cambria Math"/>
                        </w:rPr>
                        <m:t>t</m:t>
                      </m:r>
                    </m:sub>
                  </m:sSub>
                </m:sup>
              </m:sSup>
            </m:oMath>
            <w:r>
              <w:rPr>
                <w:sz w:val="19"/>
              </w:rPr>
              <w:t>; simplex; integer</w:t>
            </w:r>
          </w:p>
        </w:tc>
      </w:tr>
      <w:tr w:rsidR="00AF5C7A" w14:paraId="1CBF3A38" w14:textId="77777777" w:rsidTr="00AF5C7A">
        <w:trPr>
          <w:cantSplit/>
        </w:trPr>
        <w:tc>
          <w:tcPr>
            <w:tcW w:w="3344" w:type="dxa"/>
            <w:shd w:val="clear" w:color="auto" w:fill="FFFFFF"/>
            <w:tcMar>
              <w:top w:w="65" w:type="dxa"/>
              <w:left w:w="65" w:type="dxa"/>
              <w:bottom w:w="65" w:type="dxa"/>
              <w:right w:w="65" w:type="dxa"/>
            </w:tcMar>
            <w:vAlign w:val="center"/>
          </w:tcPr>
          <w:p w14:paraId="32BE5AAF" w14:textId="77777777" w:rsidR="00AF5C7A" w:rsidRDefault="00FB1870">
            <w:pPr>
              <w:pStyle w:val="Compact"/>
              <w:spacing w:before="20" w:after="40" w:line="245" w:lineRule="auto"/>
            </w:pPr>
            <m:oMathPara>
              <m:oMath>
                <m:sSub>
                  <m:sSubPr>
                    <m:ctrlPr>
                      <w:rPr>
                        <w:rFonts w:ascii="Cambria Math" w:hAnsi="Cambria Math"/>
                      </w:rPr>
                    </m:ctrlPr>
                  </m:sSubPr>
                  <m:e>
                    <m:r>
                      <m:rPr>
                        <m:scr m:val="script"/>
                        <m:sty m:val="p"/>
                      </m:rP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3737" w:type="dxa"/>
            <w:shd w:val="clear" w:color="auto" w:fill="FFFFFF"/>
            <w:tcMar>
              <w:top w:w="65" w:type="dxa"/>
              <w:left w:w="65" w:type="dxa"/>
              <w:bottom w:w="65" w:type="dxa"/>
              <w:right w:w="65" w:type="dxa"/>
            </w:tcMar>
            <w:vAlign w:val="center"/>
          </w:tcPr>
          <w:p w14:paraId="4BA9B2D5" w14:textId="77777777" w:rsidR="00AF5C7A" w:rsidRDefault="00FB1870">
            <w:pPr>
              <w:pStyle w:val="Compact"/>
              <w:spacing w:before="20" w:after="40" w:line="245" w:lineRule="auto"/>
            </w:pPr>
            <w:r>
              <w:rPr>
                <w:sz w:val="19"/>
              </w:rPr>
              <w:t>Replay set, capacity, teacher width, logits, selector</w:t>
            </w:r>
          </w:p>
        </w:tc>
        <w:tc>
          <w:tcPr>
            <w:tcW w:w="2754" w:type="dxa"/>
            <w:shd w:val="clear" w:color="auto" w:fill="FFFFFF"/>
            <w:tcMar>
              <w:top w:w="65" w:type="dxa"/>
              <w:left w:w="65" w:type="dxa"/>
              <w:bottom w:w="65" w:type="dxa"/>
              <w:right w:w="65" w:type="dxa"/>
            </w:tcMar>
            <w:vAlign w:val="center"/>
          </w:tcPr>
          <w:p w14:paraId="483E6541" w14:textId="77777777" w:rsidR="00AF5C7A" w:rsidRDefault="00FB1870">
            <w:pPr>
              <w:pStyle w:val="Compact"/>
              <w:spacing w:before="20" w:after="40" w:line="245" w:lineRule="auto"/>
            </w:pPr>
            <w:r>
              <w:rPr>
                <w:sz w:val="19"/>
              </w:rPr>
              <w:t xml:space="preserve">Features: </w:t>
            </w:r>
            <m:oMath>
              <m:r>
                <w:rPr>
                  <w:rFonts w:ascii="Cambria Math" w:hAnsi="Cambria Math"/>
                </w:rPr>
                <m:t>m</m:t>
              </m:r>
              <m:r>
                <w:rPr>
                  <w:rFonts w:ascii="Cambria Math" w:hAnsi="Cambria Math"/>
                </w:rPr>
                <m:t>​</m:t>
              </m:r>
              <m:r>
                <m:rPr>
                  <m:sty m:val="p"/>
                </m:rPr>
                <w:rPr>
                  <w:rFonts w:ascii="Cambria Math" w:hAnsi="Cambria Math"/>
                </w:rPr>
                <m:t>×</m:t>
              </m:r>
              <m:r>
                <w:rPr>
                  <w:rFonts w:ascii="Cambria Math" w:hAnsi="Cambria Math"/>
                </w:rPr>
                <m:t>​</m:t>
              </m:r>
              <m:r>
                <w:rPr>
                  <w:rFonts w:ascii="Cambria Math" w:hAnsi="Cambria Math"/>
                </w:rPr>
                <m:t>d</m:t>
              </m:r>
            </m:oMath>
            <w:r>
              <w:rPr>
                <w:sz w:val="19"/>
              </w:rP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ω</m:t>
                      </m:r>
                    </m:e>
                    <m:sub>
                      <m:r>
                        <w:rPr>
                          <w:rFonts w:ascii="Cambria Math" w:hAnsi="Cambria Math"/>
                        </w:rPr>
                        <m:t>i</m:t>
                      </m:r>
                    </m:sub>
                  </m:sSub>
                </m:sup>
              </m:sSup>
            </m:oMath>
            <w:r>
              <w:rPr>
                <w:sz w:val="19"/>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oMath>
          </w:p>
        </w:tc>
      </w:tr>
      <w:tr w:rsidR="00AF5C7A" w14:paraId="4BC82929" w14:textId="77777777" w:rsidTr="00AF5C7A">
        <w:trPr>
          <w:cantSplit/>
        </w:trPr>
        <w:tc>
          <w:tcPr>
            <w:tcW w:w="3344" w:type="dxa"/>
            <w:shd w:val="clear" w:color="auto" w:fill="F5F7F9"/>
            <w:tcMar>
              <w:top w:w="65" w:type="dxa"/>
              <w:left w:w="65" w:type="dxa"/>
              <w:bottom w:w="65" w:type="dxa"/>
              <w:right w:w="65" w:type="dxa"/>
            </w:tcMar>
            <w:vAlign w:val="center"/>
          </w:tcPr>
          <w:p w14:paraId="6F293462" w14:textId="77777777" w:rsidR="00AF5C7A" w:rsidRDefault="00FB1870">
            <w:pPr>
              <w:pStyle w:val="Compact"/>
              <w:spacing w:before="20" w:after="40" w:line="245" w:lineRule="auto"/>
            </w:pPr>
            <m:oMathPara>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cur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m:t>
                    </m:r>
                  </m:sub>
                </m:sSub>
                <m:r>
                  <w:br/>
                </m:r>
              </m:oMath>
              <m:oMath>
                <m:sSub>
                  <m:sSubPr>
                    <m:ctrlPr>
                      <w:rPr>
                        <w:rFonts w:ascii="Cambria Math" w:hAnsi="Cambria Math"/>
                      </w:rPr>
                    </m:ctrlPr>
                  </m:sSubPr>
                  <m:e>
                    <m:r>
                      <m:rPr>
                        <m:scr m:val="script"/>
                        <m:sty m:val="p"/>
                      </m:rPr>
                      <w:rPr>
                        <w:rFonts w:ascii="Cambria Math" w:hAnsi="Cambria Math"/>
                      </w:rPr>
                      <m:t>L</m:t>
                    </m:r>
                  </m:e>
                  <m:sub>
                    <m:r>
                      <w:rPr>
                        <w:rFonts w:ascii="Cambria Math" w:hAnsi="Cambria Math"/>
                      </w:rPr>
                      <m:t>r</m:t>
                    </m:r>
                  </m:sub>
                </m:sSub>
                <m:r>
                  <m:rPr>
                    <m:sty m:val="p"/>
                  </m:rPr>
                  <w:rPr>
                    <w:rFonts w:ascii="Cambria Math" w:hAnsi="Cambria Math"/>
                  </w:rPr>
                  <m:t>,</m:t>
                </m:r>
                <m:r>
                  <m:rPr>
                    <m:nor/>
                  </m:rPr>
                  <m:t>CE</m:t>
                </m:r>
              </m:oMath>
            </m:oMathPara>
          </w:p>
        </w:tc>
        <w:tc>
          <w:tcPr>
            <w:tcW w:w="3737" w:type="dxa"/>
            <w:shd w:val="clear" w:color="auto" w:fill="F5F7F9"/>
            <w:tcMar>
              <w:top w:w="65" w:type="dxa"/>
              <w:left w:w="65" w:type="dxa"/>
              <w:bottom w:w="65" w:type="dxa"/>
              <w:right w:w="65" w:type="dxa"/>
            </w:tcMar>
            <w:vAlign w:val="center"/>
          </w:tcPr>
          <w:p w14:paraId="1ACB7CBB" w14:textId="77777777" w:rsidR="00AF5C7A" w:rsidRDefault="00FB1870">
            <w:pPr>
              <w:pStyle w:val="Compact"/>
              <w:spacing w:before="20" w:after="40" w:line="245" w:lineRule="auto"/>
            </w:pPr>
            <w:r>
              <w:rPr>
                <w:sz w:val="19"/>
              </w:rPr>
              <w:t>Current, importance, replay, step objectives; cross-entropy</w:t>
            </w:r>
          </w:p>
        </w:tc>
        <w:tc>
          <w:tcPr>
            <w:tcW w:w="2754" w:type="dxa"/>
            <w:shd w:val="clear" w:color="auto" w:fill="F5F7F9"/>
            <w:tcMar>
              <w:top w:w="65" w:type="dxa"/>
              <w:left w:w="65" w:type="dxa"/>
              <w:bottom w:w="65" w:type="dxa"/>
              <w:right w:w="65" w:type="dxa"/>
            </w:tcMar>
            <w:vAlign w:val="center"/>
          </w:tcPr>
          <w:p w14:paraId="0B7CBF6B" w14:textId="77777777" w:rsidR="00AF5C7A" w:rsidRDefault="00FB1870">
            <w:pPr>
              <w:pStyle w:val="Compact"/>
              <w:spacing w:before="20" w:after="40" w:line="245" w:lineRule="auto"/>
            </w:pPr>
            <w:r>
              <w:rPr>
                <w:sz w:val="19"/>
              </w:rPr>
              <w:t>Scalars/functions</w:t>
            </w:r>
          </w:p>
        </w:tc>
      </w:tr>
      <w:tr w:rsidR="00AF5C7A" w14:paraId="5740EAB2" w14:textId="77777777" w:rsidTr="00AF5C7A">
        <w:trPr>
          <w:cantSplit/>
        </w:trPr>
        <w:tc>
          <w:tcPr>
            <w:tcW w:w="3344" w:type="dxa"/>
            <w:shd w:val="clear" w:color="auto" w:fill="FFFFFF"/>
            <w:tcMar>
              <w:top w:w="65" w:type="dxa"/>
              <w:left w:w="65" w:type="dxa"/>
              <w:bottom w:w="65" w:type="dxa"/>
              <w:right w:w="65" w:type="dxa"/>
            </w:tcMar>
            <w:vAlign w:val="center"/>
          </w:tcPr>
          <w:p w14:paraId="58DFFA10" w14:textId="77777777" w:rsidR="00AF5C7A" w:rsidRDefault="00FB1870">
            <w:pPr>
              <w:pStyle w:val="Compact"/>
              <w:spacing w:before="20" w:after="40" w:line="245" w:lineRule="auto"/>
            </w:pPr>
            <m:oMathPara>
              <m:oMath>
                <m:sSub>
                  <m:sSubPr>
                    <m:ctrlPr>
                      <w:rPr>
                        <w:rFonts w:ascii="Cambria Math" w:hAnsi="Cambria Math"/>
                      </w:rPr>
                    </m:ctrlPr>
                  </m:sSubPr>
                  <m:e>
                    <m:r>
                      <w:rPr>
                        <w:rFonts w:ascii="Cambria Math" w:hAnsi="Cambria Math"/>
                      </w:rPr>
                      <m:t>λ</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E</m:t>
                    </m:r>
                  </m:sub>
                </m:sSub>
              </m:oMath>
            </m:oMathPara>
          </w:p>
        </w:tc>
        <w:tc>
          <w:tcPr>
            <w:tcW w:w="3737" w:type="dxa"/>
            <w:shd w:val="clear" w:color="auto" w:fill="FFFFFF"/>
            <w:tcMar>
              <w:top w:w="65" w:type="dxa"/>
              <w:left w:w="65" w:type="dxa"/>
              <w:bottom w:w="65" w:type="dxa"/>
              <w:right w:w="65" w:type="dxa"/>
            </w:tcMar>
            <w:vAlign w:val="center"/>
          </w:tcPr>
          <w:p w14:paraId="23890E6F" w14:textId="77777777" w:rsidR="00AF5C7A" w:rsidRDefault="00FB1870">
            <w:pPr>
              <w:pStyle w:val="Compact"/>
              <w:spacing w:before="20" w:after="40" w:line="245" w:lineRule="auto"/>
            </w:pPr>
            <w:r>
              <w:rPr>
                <w:sz w:val="19"/>
              </w:rPr>
              <w:t>Loss weights, accumulated importance, importance-batch count</w:t>
            </w:r>
          </w:p>
        </w:tc>
        <w:tc>
          <w:tcPr>
            <w:tcW w:w="2754" w:type="dxa"/>
            <w:shd w:val="clear" w:color="auto" w:fill="FFFFFF"/>
            <w:tcMar>
              <w:top w:w="65" w:type="dxa"/>
              <w:left w:w="65" w:type="dxa"/>
              <w:bottom w:w="65" w:type="dxa"/>
              <w:right w:w="65" w:type="dxa"/>
            </w:tcMar>
            <w:vAlign w:val="center"/>
          </w:tcPr>
          <w:p w14:paraId="5BFB6AE6" w14:textId="77777777" w:rsidR="00AF5C7A" w:rsidRDefault="00FB1870">
            <w:pPr>
              <w:pStyle w:val="Compact"/>
              <w:spacing w:before="20" w:after="40" w:line="245" w:lineRule="auto"/>
            </w:pPr>
            <w:r>
              <w:rPr>
                <w:sz w:val="19"/>
              </w:rPr>
              <w:t xml:space="preserve">Nonnegative scalars; vector; </w:t>
            </w:r>
            <m:oMath>
              <m:sSub>
                <m:sSubPr>
                  <m:ctrlPr>
                    <w:rPr>
                      <w:rFonts w:ascii="Cambria Math" w:hAnsi="Cambria Math"/>
                    </w:rPr>
                  </m:ctrlPr>
                </m:sSubPr>
                <m:e>
                  <m:r>
                    <w:rPr>
                      <w:rFonts w:ascii="Cambria Math" w:hAnsi="Cambria Math"/>
                    </w:rPr>
                    <m:t>J</m:t>
                  </m:r>
                </m:e>
                <m:sub>
                  <m:r>
                    <w:rPr>
                      <w:rFonts w:ascii="Cambria Math" w:hAnsi="Cambria Math"/>
                    </w:rPr>
                    <m:t>E</m:t>
                  </m:r>
                </m:sub>
              </m:sSub>
              <m:r>
                <m:rPr>
                  <m:sty m:val="p"/>
                </m:rPr>
                <w:rPr>
                  <w:rFonts w:ascii="Cambria Math" w:hAnsi="Cambria Math"/>
                </w:rPr>
                <m:t>≤</m:t>
              </m:r>
              <m:r>
                <w:rPr>
                  <w:rFonts w:ascii="Cambria Math" w:hAnsi="Cambria Math"/>
                </w:rPr>
                <m:t>32</m:t>
              </m:r>
            </m:oMath>
          </w:p>
        </w:tc>
      </w:tr>
      <w:tr w:rsidR="00AF5C7A" w14:paraId="15D42AEA" w14:textId="77777777" w:rsidTr="00AF5C7A">
        <w:trPr>
          <w:cantSplit/>
        </w:trPr>
        <w:tc>
          <w:tcPr>
            <w:tcW w:w="3344" w:type="dxa"/>
            <w:shd w:val="clear" w:color="auto" w:fill="F5F7F9"/>
            <w:tcMar>
              <w:top w:w="65" w:type="dxa"/>
              <w:left w:w="65" w:type="dxa"/>
              <w:bottom w:w="65" w:type="dxa"/>
              <w:right w:w="65" w:type="dxa"/>
            </w:tcMar>
            <w:vAlign w:val="center"/>
          </w:tcPr>
          <w:p w14:paraId="70789324" w14:textId="77777777" w:rsidR="00AF5C7A" w:rsidRDefault="00FB1870">
            <w:pPr>
              <w:pStyle w:val="Compact"/>
              <w:spacing w:before="20" w:after="40" w:line="245" w:lineRule="auto"/>
            </w:pPr>
            <m:oMathPara>
              <m:oMath>
                <m:sSub>
                  <m:sSubPr>
                    <m:ctrlPr>
                      <w:rPr>
                        <w:rFonts w:ascii="Cambria Math" w:hAnsi="Cambria Math"/>
                      </w:rPr>
                    </m:ctrlPr>
                  </m:sSubPr>
                  <m:e>
                    <m:r>
                      <w:rPr>
                        <w:rFonts w:ascii="Cambria Math" w:hAnsi="Cambria Math"/>
                      </w:rPr>
                      <m:t>ξ</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r</m:t>
                    </m:r>
                  </m:sub>
                </m:sSub>
                <m:r>
                  <w:br/>
                </m:r>
              </m:oMath>
              <m:oMath>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ϵ</m:t>
                </m:r>
              </m:oMath>
            </m:oMathPara>
          </w:p>
        </w:tc>
        <w:tc>
          <w:tcPr>
            <w:tcW w:w="3737" w:type="dxa"/>
            <w:shd w:val="clear" w:color="auto" w:fill="F5F7F9"/>
            <w:tcMar>
              <w:top w:w="65" w:type="dxa"/>
              <w:left w:w="65" w:type="dxa"/>
              <w:bottom w:w="65" w:type="dxa"/>
              <w:right w:w="65" w:type="dxa"/>
            </w:tcMar>
            <w:vAlign w:val="center"/>
          </w:tcPr>
          <w:p w14:paraId="5CB1BC2B" w14:textId="77777777" w:rsidR="00AF5C7A" w:rsidRDefault="00FB1870">
            <w:pPr>
              <w:pStyle w:val="Compact"/>
              <w:spacing w:before="20" w:after="40" w:line="245" w:lineRule="auto"/>
            </w:pPr>
            <w:r>
              <w:rPr>
                <w:sz w:val="19"/>
              </w:rPr>
              <w:t>Gradient, Adam moments/decays, learning rate, stabilizer</w:t>
            </w:r>
          </w:p>
        </w:tc>
        <w:tc>
          <w:tcPr>
            <w:tcW w:w="2754" w:type="dxa"/>
            <w:shd w:val="clear" w:color="auto" w:fill="F5F7F9"/>
            <w:tcMar>
              <w:top w:w="65" w:type="dxa"/>
              <w:left w:w="65" w:type="dxa"/>
              <w:bottom w:w="65" w:type="dxa"/>
              <w:right w:w="65" w:type="dxa"/>
            </w:tcMar>
            <w:vAlign w:val="center"/>
          </w:tcPr>
          <w:p w14:paraId="298CB3A3" w14:textId="77777777" w:rsidR="00AF5C7A" w:rsidRDefault="00FB1870">
            <w:pPr>
              <w:pStyle w:val="Compact"/>
              <w:spacing w:before="20" w:after="40" w:line="245" w:lineRule="auto"/>
            </w:pPr>
            <w:r>
              <w:rPr>
                <w:sz w:val="19"/>
              </w:rPr>
              <w:t>Parameter-shaped vectors; scalars</w:t>
            </w:r>
          </w:p>
        </w:tc>
      </w:tr>
      <w:tr w:rsidR="00AF5C7A" w14:paraId="52251A11" w14:textId="77777777" w:rsidTr="00AF5C7A">
        <w:trPr>
          <w:cantSplit/>
        </w:trPr>
        <w:tc>
          <w:tcPr>
            <w:tcW w:w="3344" w:type="dxa"/>
            <w:shd w:val="clear" w:color="auto" w:fill="FFFFFF"/>
            <w:tcMar>
              <w:top w:w="65" w:type="dxa"/>
              <w:left w:w="65" w:type="dxa"/>
              <w:bottom w:w="65" w:type="dxa"/>
              <w:right w:w="65" w:type="dxa"/>
            </w:tcMar>
            <w:vAlign w:val="center"/>
          </w:tcPr>
          <w:p w14:paraId="077F1D6A" w14:textId="77777777" w:rsidR="00AF5C7A" w:rsidRDefault="00FB1870">
            <w:pPr>
              <w:pStyle w:val="Compact"/>
              <w:spacing w:before="20" w:after="40" w:line="245" w:lineRule="auto"/>
            </w:pPr>
            <m:oMathPara>
              <m:oMath>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Sub>
                <m:r>
                  <w:br/>
                </m:r>
              </m:oMath>
              <m:oMath>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t</m:t>
                    </m:r>
                  </m:sub>
                  <m:sup>
                    <m:r>
                      <m:rPr>
                        <m:sty m:val="p"/>
                      </m:rPr>
                      <w:rPr>
                        <w:rFonts w:ascii="Cambria Math" w:hAnsi="Cambria Math"/>
                      </w:rPr>
                      <m:t>adm</m:t>
                    </m:r>
                  </m:sup>
                </m:sSub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oMath>
            </m:oMathPara>
          </w:p>
        </w:tc>
        <w:tc>
          <w:tcPr>
            <w:tcW w:w="3737" w:type="dxa"/>
            <w:shd w:val="clear" w:color="auto" w:fill="FFFFFF"/>
            <w:tcMar>
              <w:top w:w="65" w:type="dxa"/>
              <w:left w:w="65" w:type="dxa"/>
              <w:bottom w:w="65" w:type="dxa"/>
              <w:right w:w="65" w:type="dxa"/>
            </w:tcMar>
            <w:vAlign w:val="center"/>
          </w:tcPr>
          <w:p w14:paraId="32982D25" w14:textId="77777777" w:rsidR="00AF5C7A" w:rsidRDefault="00FB1870">
            <w:pPr>
              <w:pStyle w:val="Compact"/>
              <w:spacing w:before="20" w:after="40" w:line="245" w:lineRule="auto"/>
            </w:pPr>
            <w:r>
              <w:rPr>
                <w:sz w:val="19"/>
              </w:rPr>
              <w:t>Row/class counts, quotas, admitted size, keep fraction, small-support boundary</w:t>
            </w:r>
          </w:p>
        </w:tc>
        <w:tc>
          <w:tcPr>
            <w:tcW w:w="2754" w:type="dxa"/>
            <w:shd w:val="clear" w:color="auto" w:fill="FFFFFF"/>
            <w:tcMar>
              <w:top w:w="65" w:type="dxa"/>
              <w:left w:w="65" w:type="dxa"/>
              <w:bottom w:w="65" w:type="dxa"/>
              <w:right w:w="65" w:type="dxa"/>
            </w:tcMar>
            <w:vAlign w:val="center"/>
          </w:tcPr>
          <w:p w14:paraId="1308C2C7" w14:textId="77777777" w:rsidR="00AF5C7A" w:rsidRDefault="00FB1870">
            <w:pPr>
              <w:pStyle w:val="Compact"/>
              <w:spacing w:before="20" w:after="40" w:line="245" w:lineRule="auto"/>
            </w:pPr>
            <w:r>
              <w:rPr>
                <w:sz w:val="19"/>
              </w:rPr>
              <w:t xml:space="preserve">Nonnegative integers; </w:t>
            </w:r>
            <m:oMath>
              <m:r>
                <w:rPr>
                  <w:rFonts w:ascii="Cambria Math" w:hAnsi="Cambria Math"/>
                </w:rPr>
                <m:t>q</m:t>
              </m:r>
              <m:r>
                <m:rPr>
                  <m:sty m:val="p"/>
                </m:rPr>
                <w:rPr>
                  <w:rFonts w:ascii="Cambria Math" w:hAnsi="Cambria Math"/>
                </w:rPr>
                <m:t>=</m:t>
              </m:r>
              <m:r>
                <w:rPr>
                  <w:rFonts w:ascii="Cambria Math" w:hAnsi="Cambria Math"/>
                </w:rPr>
                <m:t>.75</m:t>
              </m:r>
            </m:oMath>
            <w:r>
              <w:rPr>
                <w:sz w:val="19"/>
              </w:rPr>
              <w:t xml:space="preserve">; </w:t>
            </w:r>
            <m:oMath>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r>
                <w:rPr>
                  <w:rFonts w:ascii="Cambria Math" w:hAnsi="Cambria Math"/>
                </w:rPr>
                <m:t>20</m:t>
              </m:r>
            </m:oMath>
          </w:p>
        </w:tc>
      </w:tr>
      <w:tr w:rsidR="00AF5C7A" w14:paraId="7D18AC0B" w14:textId="77777777" w:rsidTr="00AF5C7A">
        <w:trPr>
          <w:cantSplit/>
        </w:trPr>
        <w:tc>
          <w:tcPr>
            <w:tcW w:w="3344" w:type="dxa"/>
            <w:shd w:val="clear" w:color="auto" w:fill="F5F7F9"/>
            <w:tcMar>
              <w:top w:w="65" w:type="dxa"/>
              <w:left w:w="65" w:type="dxa"/>
              <w:bottom w:w="65" w:type="dxa"/>
              <w:right w:w="65" w:type="dxa"/>
            </w:tcMar>
            <w:vAlign w:val="center"/>
          </w:tcPr>
          <w:p w14:paraId="7465ECD8" w14:textId="77777777" w:rsidR="00AF5C7A" w:rsidRDefault="00FB1870">
            <w:pPr>
              <w:pStyle w:val="Compact"/>
              <w:spacing w:before="20" w:after="40" w:line="245" w:lineRule="auto"/>
            </w:pPr>
            <m:oMathPara>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sub>
                </m:sSub>
                <m:r>
                  <w:br/>
                </m:r>
              </m:oMath>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rnd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ep</m:t>
                    </m:r>
                  </m:sub>
                </m:sSub>
                <m:r>
                  <w:br/>
                </m:r>
              </m:oMath>
              <m:oMath>
                <m:sSub>
                  <m:sSubPr>
                    <m:ctrlPr>
                      <w:rPr>
                        <w:rFonts w:ascii="Cambria Math" w:hAnsi="Cambria Math"/>
                      </w:rPr>
                    </m:ctrlPr>
                  </m:sSubPr>
                  <m:e>
                    <m:r>
                      <w:rPr>
                        <w:rFonts w:ascii="Cambria Math" w:hAnsi="Cambria Math"/>
                      </w:rPr>
                      <m:t>b</m:t>
                    </m:r>
                  </m:e>
                  <m:sub>
                    <m:r>
                      <m:rPr>
                        <m:sty m:val="p"/>
                      </m:rP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rep</m:t>
                    </m:r>
                  </m:sub>
                </m:sSub>
              </m:oMath>
            </m:oMathPara>
          </w:p>
        </w:tc>
        <w:tc>
          <w:tcPr>
            <w:tcW w:w="3737" w:type="dxa"/>
            <w:shd w:val="clear" w:color="auto" w:fill="F5F7F9"/>
            <w:tcMar>
              <w:top w:w="65" w:type="dxa"/>
              <w:left w:w="65" w:type="dxa"/>
              <w:bottom w:w="65" w:type="dxa"/>
              <w:right w:w="65" w:type="dxa"/>
            </w:tcMar>
            <w:vAlign w:val="center"/>
          </w:tcPr>
          <w:p w14:paraId="053BFF2D" w14:textId="77777777" w:rsidR="00AF5C7A" w:rsidRDefault="00FB1870">
            <w:pPr>
              <w:pStyle w:val="Compact"/>
              <w:spacing w:before="20" w:after="40" w:line="245" w:lineRule="auto"/>
            </w:pPr>
            <w:r>
              <w:rPr>
                <w:sz w:val="19"/>
              </w:rPr>
              <w:t>Encounter counter, reservoir draw, admitted set, active clients, weights, rounds, epochs, actual batch sizes</w:t>
            </w:r>
          </w:p>
        </w:tc>
        <w:tc>
          <w:tcPr>
            <w:tcW w:w="2754" w:type="dxa"/>
            <w:shd w:val="clear" w:color="auto" w:fill="F5F7F9"/>
            <w:tcMar>
              <w:top w:w="65" w:type="dxa"/>
              <w:left w:w="65" w:type="dxa"/>
              <w:bottom w:w="65" w:type="dxa"/>
              <w:right w:w="65" w:type="dxa"/>
            </w:tcMar>
            <w:vAlign w:val="center"/>
          </w:tcPr>
          <w:p w14:paraId="69B9199E" w14:textId="77777777" w:rsidR="00AF5C7A" w:rsidRDefault="00FB1870">
            <w:pPr>
              <w:pStyle w:val="Compact"/>
              <w:spacing w:before="20" w:after="40" w:line="245" w:lineRule="auto"/>
            </w:pPr>
            <w:r>
              <w:rPr>
                <w:sz w:val="19"/>
              </w:rPr>
              <w:t xml:space="preserve">Integers/sets; simplex weights; </w:t>
            </w:r>
            <m:oMath>
              <m:sSub>
                <m:sSubPr>
                  <m:ctrlPr>
                    <w:rPr>
                      <w:rFonts w:ascii="Cambria Math" w:hAnsi="Cambria Math"/>
                    </w:rPr>
                  </m:ctrlPr>
                </m:sSubPr>
                <m:e>
                  <m:r>
                    <w:rPr>
                      <w:rFonts w:ascii="Cambria Math" w:hAnsi="Cambria Math"/>
                    </w:rPr>
                    <m:t>b</m:t>
                  </m:r>
                </m:e>
                <m:sub>
                  <m:r>
                    <m:rPr>
                      <m:sty m:val="p"/>
                    </m:rPr>
                    <w:rPr>
                      <w:rFonts w:ascii="Cambria Math" w:hAnsi="Cambria Math"/>
                    </w:rPr>
                    <m:t>cur</m:t>
                  </m:r>
                </m:sub>
              </m:sSub>
              <m:r>
                <m:rPr>
                  <m:sty m:val="p"/>
                </m:rPr>
                <w:rPr>
                  <w:rFonts w:ascii="Cambria Math" w:hAnsi="Cambria Math"/>
                </w:rPr>
                <m:t>≤</m:t>
              </m:r>
              <m:r>
                <w:rPr>
                  <w:rFonts w:ascii="Cambria Math" w:hAnsi="Cambria Math"/>
                </w:rPr>
                <m:t>256</m:t>
              </m:r>
            </m:oMath>
          </w:p>
        </w:tc>
      </w:tr>
      <w:tr w:rsidR="00AF5C7A" w14:paraId="6B40543F" w14:textId="77777777" w:rsidTr="00AF5C7A">
        <w:trPr>
          <w:cantSplit/>
        </w:trPr>
        <w:tc>
          <w:tcPr>
            <w:tcW w:w="3344" w:type="dxa"/>
            <w:shd w:val="clear" w:color="auto" w:fill="FFFFFF"/>
            <w:tcMar>
              <w:top w:w="65" w:type="dxa"/>
              <w:left w:w="65" w:type="dxa"/>
              <w:bottom w:w="65" w:type="dxa"/>
              <w:right w:w="65" w:type="dxa"/>
            </w:tcMar>
            <w:vAlign w:val="center"/>
          </w:tcPr>
          <w:p w14:paraId="368D268C" w14:textId="77777777" w:rsidR="00AF5C7A" w:rsidRDefault="00FB1870">
            <w:pPr>
              <w:pStyle w:val="Compact"/>
              <w:spacing w:before="20" w:after="40" w:line="245" w:lineRule="auto"/>
            </w:pPr>
            <m:oMathPara>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t</m:t>
                    </m:r>
                  </m:sub>
                  <m:sup>
                    <m:r>
                      <m:rPr>
                        <m:sty m:val="p"/>
                      </m:rPr>
                      <w:rPr>
                        <w:rFonts w:ascii="Cambria Math" w:hAnsi="Cambria Math"/>
                      </w:rPr>
                      <m:t>elig</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oMath>
            </m:oMathPara>
          </w:p>
        </w:tc>
        <w:tc>
          <w:tcPr>
            <w:tcW w:w="3737" w:type="dxa"/>
            <w:shd w:val="clear" w:color="auto" w:fill="FFFFFF"/>
            <w:tcMar>
              <w:top w:w="65" w:type="dxa"/>
              <w:left w:w="65" w:type="dxa"/>
              <w:bottom w:w="65" w:type="dxa"/>
              <w:right w:w="65" w:type="dxa"/>
            </w:tcMar>
            <w:vAlign w:val="center"/>
          </w:tcPr>
          <w:p w14:paraId="600C88C6" w14:textId="77777777" w:rsidR="00AF5C7A" w:rsidRDefault="00FB1870">
            <w:pPr>
              <w:pStyle w:val="Compact"/>
              <w:spacing w:before="20" w:after="40" w:line="245" w:lineRule="auto"/>
            </w:pPr>
            <w:r>
              <w:rPr>
                <w:sz w:val="19"/>
              </w:rPr>
              <w:t>Eligible-source dose, poison count, eligibility, global corruption, ownership probabilities</w:t>
            </w:r>
          </w:p>
        </w:tc>
        <w:tc>
          <w:tcPr>
            <w:tcW w:w="2754" w:type="dxa"/>
            <w:shd w:val="clear" w:color="auto" w:fill="FFFFFF"/>
            <w:tcMar>
              <w:top w:w="65" w:type="dxa"/>
              <w:left w:w="65" w:type="dxa"/>
              <w:bottom w:w="65" w:type="dxa"/>
              <w:right w:w="65" w:type="dxa"/>
            </w:tcMar>
            <w:vAlign w:val="center"/>
          </w:tcPr>
          <w:p w14:paraId="5BE7EB72" w14:textId="77777777" w:rsidR="00AF5C7A" w:rsidRDefault="00FB1870">
            <w:pPr>
              <w:pStyle w:val="Compact"/>
              <w:spacing w:before="20" w:after="40" w:line="245" w:lineRule="auto"/>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sz w:val="19"/>
              </w:rPr>
              <w:t>; counts; fraction; five-client simplex</w:t>
            </w:r>
          </w:p>
        </w:tc>
      </w:tr>
      <w:tr w:rsidR="00AF5C7A" w14:paraId="7EC07A10" w14:textId="77777777" w:rsidTr="00AF5C7A">
        <w:trPr>
          <w:cantSplit/>
        </w:trPr>
        <w:tc>
          <w:tcPr>
            <w:tcW w:w="3344" w:type="dxa"/>
            <w:shd w:val="clear" w:color="auto" w:fill="F5F7F9"/>
            <w:tcMar>
              <w:top w:w="65" w:type="dxa"/>
              <w:left w:w="65" w:type="dxa"/>
              <w:bottom w:w="65" w:type="dxa"/>
              <w:right w:w="65" w:type="dxa"/>
            </w:tcMar>
            <w:vAlign w:val="center"/>
          </w:tcPr>
          <w:p w14:paraId="1DECDAF1" w14:textId="77777777" w:rsidR="00AF5C7A" w:rsidRDefault="00FB1870">
            <w:pPr>
              <w:pStyle w:val="Compact"/>
              <w:spacing w:before="20" w:after="40" w:line="245" w:lineRule="auto"/>
            </w:pPr>
            <m:oMathPara>
              <m:oMath>
                <m:sSub>
                  <m:sSubPr>
                    <m:ctrlPr>
                      <w:rPr>
                        <w:rFonts w:ascii="Cambria Math" w:hAnsi="Cambria Math"/>
                      </w:rPr>
                    </m:ctrlPr>
                  </m:sSubPr>
                  <m:e>
                    <m:r>
                      <w:rPr>
                        <w:rFonts w:ascii="Cambria Math" w:hAnsi="Cambria Math"/>
                      </w:rPr>
                      <m:t>H</m:t>
                    </m:r>
                  </m:e>
                  <m:sub>
                    <m:r>
                      <m:rPr>
                        <m:sty m:val="p"/>
                      </m:rPr>
                      <w:rPr>
                        <w:rFonts w:ascii="Cambria Math" w:hAnsi="Cambria Math"/>
                      </w:rPr>
                      <m:t>sha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tr/dev/te</m:t>
                    </m:r>
                  </m:sub>
                </m:sSub>
                <m:r>
                  <w:br/>
                </m:r>
              </m:oMath>
              <m:oMath>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tr/dev/te</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oMath>
            </m:oMathPara>
          </w:p>
        </w:tc>
        <w:tc>
          <w:tcPr>
            <w:tcW w:w="3737" w:type="dxa"/>
            <w:shd w:val="clear" w:color="auto" w:fill="F5F7F9"/>
            <w:tcMar>
              <w:top w:w="65" w:type="dxa"/>
              <w:left w:w="65" w:type="dxa"/>
              <w:bottom w:w="65" w:type="dxa"/>
              <w:right w:w="65" w:type="dxa"/>
            </w:tcMar>
            <w:vAlign w:val="center"/>
          </w:tcPr>
          <w:p w14:paraId="22981250" w14:textId="77777777" w:rsidR="00AF5C7A" w:rsidRDefault="00FB1870">
            <w:pPr>
              <w:pStyle w:val="Compact"/>
              <w:spacing w:before="20" w:after="40" w:line="245" w:lineRule="auto"/>
            </w:pPr>
            <w:r>
              <w:rPr>
                <w:sz w:val="19"/>
              </w:rPr>
              <w:t>Feature hash, partitions, their sessions, frozen scaler</w:t>
            </w:r>
          </w:p>
        </w:tc>
        <w:tc>
          <w:tcPr>
            <w:tcW w:w="2754" w:type="dxa"/>
            <w:shd w:val="clear" w:color="auto" w:fill="F5F7F9"/>
            <w:tcMar>
              <w:top w:w="65" w:type="dxa"/>
              <w:left w:w="65" w:type="dxa"/>
              <w:bottom w:w="65" w:type="dxa"/>
              <w:right w:w="65" w:type="dxa"/>
            </w:tcMar>
            <w:vAlign w:val="center"/>
          </w:tcPr>
          <w:p w14:paraId="3F035AD5" w14:textId="77777777" w:rsidR="00AF5C7A" w:rsidRDefault="00FB1870">
            <w:pPr>
              <w:pStyle w:val="Compact"/>
              <w:spacing w:before="20" w:after="40" w:line="245" w:lineRule="auto"/>
            </w:pPr>
            <w:r>
              <w:rPr>
                <w:sz w:val="19"/>
              </w:rPr>
              <w:t>Hash/function; sets; sets; fitted transform</w:t>
            </w:r>
          </w:p>
        </w:tc>
      </w:tr>
      <w:tr w:rsidR="00AF5C7A" w14:paraId="4A4D2370" w14:textId="77777777" w:rsidTr="00AF5C7A">
        <w:trPr>
          <w:cantSplit/>
        </w:trPr>
        <w:tc>
          <w:tcPr>
            <w:tcW w:w="3344" w:type="dxa"/>
            <w:shd w:val="clear" w:color="auto" w:fill="FFFFFF"/>
            <w:tcMar>
              <w:top w:w="65" w:type="dxa"/>
              <w:left w:w="65" w:type="dxa"/>
              <w:bottom w:w="65" w:type="dxa"/>
              <w:right w:w="65" w:type="dxa"/>
            </w:tcMar>
            <w:vAlign w:val="center"/>
          </w:tcPr>
          <w:p w14:paraId="3917AC1A" w14:textId="77777777" w:rsidR="00AF5C7A" w:rsidRDefault="00FB1870">
            <w:pPr>
              <w:pStyle w:val="Compact"/>
              <w:spacing w:before="20" w:after="40" w:line="245" w:lineRule="auto"/>
            </w:pPr>
            <m:oMathPara>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m:oMathPara>
          </w:p>
        </w:tc>
        <w:tc>
          <w:tcPr>
            <w:tcW w:w="3737" w:type="dxa"/>
            <w:shd w:val="clear" w:color="auto" w:fill="FFFFFF"/>
            <w:tcMar>
              <w:top w:w="65" w:type="dxa"/>
              <w:left w:w="65" w:type="dxa"/>
              <w:bottom w:w="65" w:type="dxa"/>
              <w:right w:w="65" w:type="dxa"/>
            </w:tcMar>
            <w:vAlign w:val="center"/>
          </w:tcPr>
          <w:p w14:paraId="5C3237B0" w14:textId="77777777" w:rsidR="00AF5C7A" w:rsidRDefault="00FB1870">
            <w:pPr>
              <w:pStyle w:val="Compact"/>
              <w:spacing w:before="20" w:after="40" w:line="245" w:lineRule="auto"/>
            </w:pPr>
            <w:r>
              <w:rPr>
                <w:sz w:val="19"/>
              </w:rPr>
              <w:t>Confusion counts and fixed benign/source support</w:t>
            </w:r>
          </w:p>
        </w:tc>
        <w:tc>
          <w:tcPr>
            <w:tcW w:w="2754" w:type="dxa"/>
            <w:shd w:val="clear" w:color="auto" w:fill="FFFFFF"/>
            <w:tcMar>
              <w:top w:w="65" w:type="dxa"/>
              <w:left w:w="65" w:type="dxa"/>
              <w:bottom w:w="65" w:type="dxa"/>
              <w:right w:w="65" w:type="dxa"/>
            </w:tcMar>
            <w:vAlign w:val="center"/>
          </w:tcPr>
          <w:p w14:paraId="0D8F3767" w14:textId="77777777" w:rsidR="00AF5C7A" w:rsidRDefault="00FB1870">
            <w:pPr>
              <w:pStyle w:val="Compact"/>
              <w:spacing w:before="20" w:after="40" w:line="245" w:lineRule="auto"/>
            </w:pPr>
            <w:r>
              <w:rPr>
                <w:sz w:val="19"/>
              </w:rPr>
              <w:t>Nonnegative counts</w:t>
            </w:r>
          </w:p>
        </w:tc>
      </w:tr>
      <w:tr w:rsidR="00AF5C7A" w14:paraId="61EF1AF5" w14:textId="77777777" w:rsidTr="00AF5C7A">
        <w:trPr>
          <w:cantSplit/>
        </w:trPr>
        <w:tc>
          <w:tcPr>
            <w:tcW w:w="3344" w:type="dxa"/>
            <w:shd w:val="clear" w:color="auto" w:fill="F5F7F9"/>
            <w:tcMar>
              <w:top w:w="65" w:type="dxa"/>
              <w:left w:w="65" w:type="dxa"/>
              <w:bottom w:w="65" w:type="dxa"/>
              <w:right w:w="65" w:type="dxa"/>
            </w:tcMar>
            <w:vAlign w:val="center"/>
          </w:tcPr>
          <w:p w14:paraId="0C55624C" w14:textId="77777777" w:rsidR="00AF5C7A" w:rsidRDefault="00FB1870">
            <w:pPr>
              <w:pStyle w:val="Compact"/>
              <w:spacing w:before="20" w:after="40" w:line="245" w:lineRule="auto"/>
            </w:pPr>
            <m:oMathPara>
              <m:oMath>
                <m:r>
                  <m:rPr>
                    <m:sty m:val="p"/>
                  </m:rPr>
                  <w:rPr>
                    <w:rFonts w:ascii="Cambria Math" w:hAnsi="Cambria Math"/>
                  </w:rPr>
                  <m:t>Prec,Rec,</m:t>
                </m:r>
                <m:r>
                  <w:rPr>
                    <w:rFonts w:ascii="Cambria Math" w:hAnsi="Cambria Math"/>
                  </w:rPr>
                  <m:t>F</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FAR</m:t>
                    </m:r>
                  </m:e>
                  <m:sub>
                    <m:r>
                      <w:rPr>
                        <w:rFonts w:ascii="Cambria Math" w:hAnsi="Cambria Math"/>
                      </w:rPr>
                      <m:t>B</m:t>
                    </m:r>
                  </m:sub>
                </m:sSub>
                <m:r>
                  <w:br/>
                </m:r>
              </m:oMath>
              <m:oMath>
                <m:r>
                  <m:rPr>
                    <m:sty m:val="p"/>
                  </m:rPr>
                  <w:rPr>
                    <w:rFonts w:ascii="Cambria Math" w:hAnsi="Cambria Math"/>
                  </w:rPr>
                  <m:t>ASR,</m:t>
                </m:r>
                <m:r>
                  <w:rPr>
                    <w:rFonts w:ascii="Cambria Math" w:hAnsi="Cambria Math"/>
                  </w:rPr>
                  <m:t>Δ</m:t>
                </m:r>
                <m:r>
                  <m:rPr>
                    <m:sty m:val="p"/>
                  </m:rPr>
                  <w:rPr>
                    <w:rFonts w:ascii="Cambria Math" w:hAnsi="Cambria Math"/>
                  </w:rPr>
                  <m:t>ASR,</m:t>
                </m:r>
                <m:r>
                  <w:rPr>
                    <w:rFonts w:ascii="Cambria Math" w:hAnsi="Cambria Math"/>
                  </w:rPr>
                  <m:t>A</m:t>
                </m:r>
                <m:r>
                  <m:rPr>
                    <m:sty m:val="p"/>
                  </m:rPr>
                  <w:rPr>
                    <w:rFonts w:ascii="Cambria Math" w:hAnsi="Cambria Math"/>
                  </w:rPr>
                  <m:t>,</m:t>
                </m:r>
                <m:r>
                  <w:rPr>
                    <w:rFonts w:ascii="Cambria Math" w:hAnsi="Cambria Math"/>
                  </w:rPr>
                  <m:t>H</m:t>
                </m:r>
              </m:oMath>
            </m:oMathPara>
          </w:p>
        </w:tc>
        <w:tc>
          <w:tcPr>
            <w:tcW w:w="3737" w:type="dxa"/>
            <w:shd w:val="clear" w:color="auto" w:fill="F5F7F9"/>
            <w:tcMar>
              <w:top w:w="65" w:type="dxa"/>
              <w:left w:w="65" w:type="dxa"/>
              <w:bottom w:w="65" w:type="dxa"/>
              <w:right w:w="65" w:type="dxa"/>
            </w:tcMar>
            <w:vAlign w:val="center"/>
          </w:tcPr>
          <w:p w14:paraId="42A8B295" w14:textId="77777777" w:rsidR="00AF5C7A" w:rsidRDefault="00FB1870">
            <w:pPr>
              <w:pStyle w:val="Compact"/>
              <w:spacing w:before="20" w:after="40" w:line="245" w:lineRule="auto"/>
            </w:pPr>
            <w:r>
              <w:rPr>
                <w:sz w:val="19"/>
              </w:rPr>
              <w:t xml:space="preserve">Scores; acquisition </w:t>
            </w:r>
            <m:oMath>
              <m:r>
                <w:rPr>
                  <w:rFonts w:ascii="Cambria Math" w:hAnsi="Cambria Math"/>
                </w:rPr>
                <m:t>A</m:t>
              </m:r>
            </m:oMath>
            <w:r>
              <w:rPr>
                <w:sz w:val="19"/>
              </w:rPr>
              <w:t xml:space="preserve"> and mean post-withdrawal error </w:t>
            </w:r>
            <m:oMath>
              <m:r>
                <w:rPr>
                  <w:rFonts w:ascii="Cambria Math" w:hAnsi="Cambria Math"/>
                </w:rPr>
                <m:t>H</m:t>
              </m:r>
            </m:oMath>
          </w:p>
        </w:tc>
        <w:tc>
          <w:tcPr>
            <w:tcW w:w="2754" w:type="dxa"/>
            <w:shd w:val="clear" w:color="auto" w:fill="F5F7F9"/>
            <w:tcMar>
              <w:top w:w="65" w:type="dxa"/>
              <w:left w:w="65" w:type="dxa"/>
              <w:bottom w:w="65" w:type="dxa"/>
              <w:right w:w="65" w:type="dxa"/>
            </w:tcMar>
            <w:vAlign w:val="center"/>
          </w:tcPr>
          <w:p w14:paraId="5CD7E813" w14:textId="77777777" w:rsidR="00AF5C7A" w:rsidRDefault="00FB1870">
            <w:pPr>
              <w:pStyle w:val="Compact"/>
              <w:spacing w:before="20" w:after="40" w:line="245" w:lineRule="auto"/>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sz w:val="19"/>
              </w:rPr>
              <w:t xml:space="preserve">; differences in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p>
        </w:tc>
      </w:tr>
      <w:tr w:rsidR="00AF5C7A" w14:paraId="643B367B" w14:textId="77777777" w:rsidTr="00AF5C7A">
        <w:trPr>
          <w:cantSplit/>
        </w:trPr>
        <w:tc>
          <w:tcPr>
            <w:tcW w:w="3344" w:type="dxa"/>
            <w:shd w:val="clear" w:color="auto" w:fill="FFFFFF"/>
            <w:tcMar>
              <w:top w:w="65" w:type="dxa"/>
              <w:left w:w="65" w:type="dxa"/>
              <w:bottom w:w="65" w:type="dxa"/>
              <w:right w:w="65" w:type="dxa"/>
            </w:tcMar>
            <w:vAlign w:val="center"/>
          </w:tcPr>
          <w:p w14:paraId="2CEA2516" w14:textId="77777777" w:rsidR="00AF5C7A" w:rsidRDefault="00FB1870">
            <w:pPr>
              <w:pStyle w:val="Compact"/>
              <w:spacing w:before="20" w:after="40" w:line="245" w:lineRule="auto"/>
            </w:pPr>
            <m:oMathPara>
              <m:oMath>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eval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r>
                  <w:br/>
                </m:r>
              </m:oMath>
              <m:oMath>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anchor</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acc</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F</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υ</m:t>
                    </m:r>
                  </m:e>
                  <m:sub>
                    <m:r>
                      <w:rPr>
                        <w:rFonts w:ascii="Cambria Math" w:hAnsi="Cambria Math"/>
                      </w:rPr>
                      <m:t>j</m:t>
                    </m:r>
                  </m:sub>
                </m:sSub>
              </m:oMath>
            </m:oMathPara>
          </w:p>
        </w:tc>
        <w:tc>
          <w:tcPr>
            <w:tcW w:w="3737" w:type="dxa"/>
            <w:shd w:val="clear" w:color="auto" w:fill="FFFFFF"/>
            <w:tcMar>
              <w:top w:w="65" w:type="dxa"/>
              <w:left w:w="65" w:type="dxa"/>
              <w:bottom w:w="65" w:type="dxa"/>
              <w:right w:w="65" w:type="dxa"/>
            </w:tcMar>
            <w:vAlign w:val="center"/>
          </w:tcPr>
          <w:p w14:paraId="2D9D8F0A" w14:textId="77777777" w:rsidR="00AF5C7A" w:rsidRDefault="00FB1870">
            <w:pPr>
              <w:pStyle w:val="Compact"/>
              <w:spacing w:before="20" w:after="40" w:line="245" w:lineRule="auto"/>
            </w:pPr>
            <w:r>
              <w:rPr>
                <w:sz w:val="19"/>
              </w:rPr>
              <w:t>Supported bank labels, scheduled reference-new labels, anchors, score matrices, pre-learning reference</w:t>
            </w:r>
          </w:p>
        </w:tc>
        <w:tc>
          <w:tcPr>
            <w:tcW w:w="2754" w:type="dxa"/>
            <w:shd w:val="clear" w:color="auto" w:fill="FFFFFF"/>
            <w:tcMar>
              <w:top w:w="65" w:type="dxa"/>
              <w:left w:w="65" w:type="dxa"/>
              <w:bottom w:w="65" w:type="dxa"/>
              <w:right w:w="65" w:type="dxa"/>
            </w:tcMar>
            <w:vAlign w:val="center"/>
          </w:tcPr>
          <w:p w14:paraId="10854881" w14:textId="77777777" w:rsidR="00AF5C7A" w:rsidRDefault="00FB1870">
            <w:pPr>
              <w:pStyle w:val="Compact"/>
              <w:spacing w:before="20" w:after="40" w:line="245" w:lineRule="auto"/>
            </w:pPr>
            <w:r>
              <w:rPr>
                <w:sz w:val="19"/>
              </w:rPr>
              <w:t xml:space="preserve">Sets; </w:t>
            </w:r>
            <m:oMath>
              <m:r>
                <w:rPr>
                  <w:rFonts w:ascii="Cambria Math" w:hAnsi="Cambria Math"/>
                </w:rPr>
                <m:t>T</m:t>
              </m:r>
              <m:r>
                <w:rPr>
                  <w:rFonts w:ascii="Cambria Math" w:hAnsi="Cambria Math"/>
                </w:rPr>
                <m:t>​</m:t>
              </m:r>
              <m:r>
                <m:rPr>
                  <m:sty m:val="p"/>
                </m:rPr>
                <w:rPr>
                  <w:rFonts w:ascii="Cambria Math" w:hAnsi="Cambria Math"/>
                </w:rPr>
                <m:t>×</m:t>
              </m:r>
              <m:r>
                <w:rPr>
                  <w:rFonts w:ascii="Cambria Math" w:hAnsi="Cambria Math"/>
                </w:rPr>
                <m:t>​</m:t>
              </m:r>
              <m:r>
                <w:rPr>
                  <w:rFonts w:ascii="Cambria Math" w:hAnsi="Cambria Math"/>
                </w:rPr>
                <m:t>T</m:t>
              </m:r>
            </m:oMath>
            <w:r>
              <w:rPr>
                <w:sz w:val="19"/>
              </w:rPr>
              <w:t>; scalar reference</w:t>
            </w:r>
          </w:p>
        </w:tc>
      </w:tr>
      <w:tr w:rsidR="00AF5C7A" w14:paraId="42FEC2FC" w14:textId="77777777" w:rsidTr="00AF5C7A">
        <w:trPr>
          <w:cantSplit/>
        </w:trPr>
        <w:tc>
          <w:tcPr>
            <w:tcW w:w="3344" w:type="dxa"/>
            <w:shd w:val="clear" w:color="auto" w:fill="F5F7F9"/>
            <w:tcMar>
              <w:top w:w="65" w:type="dxa"/>
              <w:left w:w="65" w:type="dxa"/>
              <w:bottom w:w="65" w:type="dxa"/>
              <w:right w:w="65" w:type="dxa"/>
            </w:tcMar>
            <w:vAlign w:val="center"/>
          </w:tcPr>
          <w:p w14:paraId="4EA600AC" w14:textId="77777777" w:rsidR="00AF5C7A" w:rsidRDefault="00FB1870">
            <w:pPr>
              <w:pStyle w:val="Compact"/>
              <w:spacing w:before="20" w:after="40" w:line="245" w:lineRule="auto"/>
            </w:pPr>
            <m:oMathPara>
              <m:oMath>
                <m:sSub>
                  <m:sSubPr>
                    <m:ctrlPr>
                      <w:rPr>
                        <w:rFonts w:ascii="Cambria Math" w:hAnsi="Cambria Math"/>
                      </w:rPr>
                    </m:ctrlPr>
                  </m:sSubPr>
                  <m:e>
                    <m:r>
                      <w:rPr>
                        <w:rFonts w:ascii="Cambria Math" w:hAnsi="Cambria Math"/>
                      </w:rPr>
                      <m:t>δ</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δ</m:t>
                    </m:r>
                  </m:e>
                </m:acc>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b</m:t>
                    </m:r>
                  </m:sub>
                  <m:sup>
                    <m:r>
                      <m:rPr>
                        <m:sty m:val="p"/>
                      </m:rPr>
                      <w:rPr>
                        <w:rFonts w:ascii="Cambria Math" w:hAnsi="Cambria Math"/>
                      </w:rPr>
                      <m:t>*</m:t>
                    </m:r>
                  </m:sup>
                </m:sSubSup>
                <m:r>
                  <w:br/>
                </m:r>
              </m:oMath>
              <m:oMath>
                <m:sSub>
                  <m:sSubPr>
                    <m:ctrlPr>
                      <w:rPr>
                        <w:rFonts w:ascii="Cambria Math" w:hAnsi="Cambria Math"/>
                      </w:rPr>
                    </m:ctrlPr>
                  </m:sSubPr>
                  <m:e>
                    <m:r>
                      <m:rPr>
                        <m:scr m:val="script"/>
                        <m:sty m:val="p"/>
                      </m:rPr>
                      <w:rPr>
                        <w:rFonts w:ascii="Cambria Math" w:hAnsi="Cambria Math"/>
                      </w:rPr>
                      <m:t>I</m:t>
                    </m:r>
                  </m:e>
                  <m:sub>
                    <m:r>
                      <w:rPr>
                        <w:rFonts w:ascii="Cambria Math" w:hAnsi="Cambria Math"/>
                      </w:rPr>
                      <m:t>κ</m:t>
                    </m:r>
                  </m:sub>
                </m:sSub>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w:br/>
                </m:r>
              </m:oMath>
              <m:oMath>
                <m:sSub>
                  <m:sSubPr>
                    <m:ctrlPr>
                      <w:rPr>
                        <w:rFonts w:ascii="Cambria Math" w:hAnsi="Cambria Math"/>
                      </w:rPr>
                    </m:ctrlPr>
                  </m:sSubPr>
                  <m:e>
                    <m:r>
                      <m:rPr>
                        <m:scr m:val="fraktur"/>
                        <m:sty m:val="p"/>
                      </m:rPr>
                      <w:rPr>
                        <w:rFonts w:ascii="Cambria Math" w:hAnsi="Cambria Math"/>
                      </w:rPr>
                      <m:t>p</m:t>
                    </m:r>
                  </m:e>
                  <m:sub>
                    <m:sSub>
                      <m:sSubPr>
                        <m:ctrlPr>
                          <w:rPr>
                            <w:rFonts w:ascii="Cambria Math" w:hAnsi="Cambria Math"/>
                          </w:rPr>
                        </m:ctrlPr>
                      </m:sSubPr>
                      <m:e>
                        <m:r>
                          <w:rPr>
                            <w:rFonts w:ascii="Cambria Math" w:hAnsi="Cambria Math"/>
                          </w:rPr>
                          <m:t>δ</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h</m:t>
                    </m:r>
                  </m:sub>
                </m:sSub>
                <m:r>
                  <m:rPr>
                    <m:sty m:val="p"/>
                  </m:rPr>
                  <w:rPr>
                    <w:rFonts w:ascii="Cambria Math" w:hAnsi="Cambria Math"/>
                  </w:rPr>
                  <m:t>,</m:t>
                </m:r>
                <m:r>
                  <w:rPr>
                    <w:rFonts w:ascii="Cambria Math" w:hAnsi="Cambria Math"/>
                  </w:rPr>
                  <m:t>α</m:t>
                </m:r>
              </m:oMath>
            </m:oMathPara>
          </w:p>
        </w:tc>
        <w:tc>
          <w:tcPr>
            <w:tcW w:w="3737" w:type="dxa"/>
            <w:shd w:val="clear" w:color="auto" w:fill="F5F7F9"/>
            <w:tcMar>
              <w:top w:w="65" w:type="dxa"/>
              <w:left w:w="65" w:type="dxa"/>
              <w:bottom w:w="65" w:type="dxa"/>
              <w:right w:w="65" w:type="dxa"/>
            </w:tcMar>
            <w:vAlign w:val="center"/>
          </w:tcPr>
          <w:p w14:paraId="5174A737" w14:textId="77777777" w:rsidR="00AF5C7A" w:rsidRDefault="00FB1870">
            <w:pPr>
              <w:pStyle w:val="Compact"/>
              <w:spacing w:before="20" w:after="40" w:line="245" w:lineRule="auto"/>
            </w:pPr>
            <w:r>
              <w:rPr>
                <w:sz w:val="19"/>
              </w:rPr>
              <w:t>Paired effect, candidate location, mean, bootstrap mean/draw, permutation statistic/signs/p-value, ordered p-value, level</w:t>
            </w:r>
          </w:p>
        </w:tc>
        <w:tc>
          <w:tcPr>
            <w:tcW w:w="2754" w:type="dxa"/>
            <w:shd w:val="clear" w:color="auto" w:fill="F5F7F9"/>
            <w:tcMar>
              <w:top w:w="65" w:type="dxa"/>
              <w:left w:w="65" w:type="dxa"/>
              <w:bottom w:w="65" w:type="dxa"/>
              <w:right w:w="65" w:type="dxa"/>
            </w:tcMar>
            <w:vAlign w:val="center"/>
          </w:tcPr>
          <w:p w14:paraId="033FD5EE" w14:textId="77777777" w:rsidR="00AF5C7A" w:rsidRDefault="00FB1870">
            <w:pPr>
              <w:pStyle w:val="Compact"/>
              <w:spacing w:before="20" w:after="40" w:line="245" w:lineRule="auto"/>
            </w:pPr>
            <w:r>
              <w:rPr>
                <w:sz w:val="19"/>
              </w:rPr>
              <w:t xml:space="preserve">Scalars; indices; </w:t>
            </w:r>
            <m:oMath>
              <m:r>
                <m:rPr>
                  <m:sty m:val="p"/>
                </m:rPr>
                <w:rPr>
                  <w:rFonts w:ascii="Cambria Math" w:hAnsi="Cambria Math"/>
                </w:rPr>
                <m:t>{±</m:t>
              </m:r>
              <m:r>
                <w:rPr>
                  <w:rFonts w:ascii="Cambria Math" w:hAnsi="Cambria Math"/>
                </w:rPr>
                <m:t>1</m:t>
              </m:r>
              <m:r>
                <m:rPr>
                  <m:sty m:val="p"/>
                </m:rPr>
                <w:rPr>
                  <w:rFonts w:ascii="Cambria Math" w:hAnsi="Cambria Math"/>
                </w:rPr>
                <m:t>}</m:t>
              </m:r>
            </m:oMath>
            <w:r>
              <w:rPr>
                <w:sz w:val="19"/>
              </w:rPr>
              <w:t xml:space="preserve">; </w:t>
            </w:r>
            <m:oMath>
              <m:r>
                <w:rPr>
                  <w:rFonts w:ascii="Cambria Math" w:hAnsi="Cambria Math"/>
                </w:rPr>
                <m:t>α</m:t>
              </m:r>
              <m:r>
                <m:rPr>
                  <m:sty m:val="p"/>
                </m:rPr>
                <w:rPr>
                  <w:rFonts w:ascii="Cambria Math" w:hAnsi="Cambria Math"/>
                </w:rPr>
                <m:t>=</m:t>
              </m:r>
              <m:r>
                <w:rPr>
                  <w:rFonts w:ascii="Cambria Math" w:hAnsi="Cambria Math"/>
                </w:rPr>
                <m:t>.05</m:t>
              </m:r>
            </m:oMath>
          </w:p>
        </w:tc>
      </w:tr>
      <w:tr w:rsidR="00AF5C7A" w14:paraId="4B7F2AFF" w14:textId="77777777" w:rsidTr="00AF5C7A">
        <w:trPr>
          <w:cantSplit/>
        </w:trPr>
        <w:tc>
          <w:tcPr>
            <w:tcW w:w="3344" w:type="dxa"/>
            <w:shd w:val="clear" w:color="auto" w:fill="FFFFFF"/>
            <w:tcMar>
              <w:top w:w="65" w:type="dxa"/>
              <w:left w:w="65" w:type="dxa"/>
              <w:bottom w:w="65" w:type="dxa"/>
              <w:right w:w="65" w:type="dxa"/>
            </w:tcMar>
            <w:vAlign w:val="center"/>
          </w:tcPr>
          <w:p w14:paraId="428B07E1" w14:textId="77777777" w:rsidR="00AF5C7A" w:rsidRDefault="00FB1870">
            <w:pPr>
              <w:pStyle w:val="Compact"/>
              <w:spacing w:before="20" w:after="40" w:line="245" w:lineRule="auto"/>
            </w:pPr>
            <m:oMathPara>
              <m:oMath>
                <m:r>
                  <w:rPr>
                    <w:rFonts w:ascii="Cambria Math" w:hAnsi="Cambria Math"/>
                  </w:rPr>
                  <m:t>U</m:t>
                </m:r>
                <m:r>
                  <m:rPr>
                    <m:sty m:val="p"/>
                  </m:rPr>
                  <w:rPr>
                    <w:rFonts w:ascii="Cambria Math" w:hAnsi="Cambria Math"/>
                  </w:rPr>
                  <m:t>,</m:t>
                </m:r>
                <m:r>
                  <m:rPr>
                    <m:scr m:val="sans-serif"/>
                    <m:sty m:val="p"/>
                  </m:rPr>
                  <w:rPr>
                    <w:rFonts w:ascii="Cambria Math" w:hAnsi="Cambria Math"/>
                  </w:rPr>
                  <m:t>A</m:t>
                </m:r>
                <m:r>
                  <m:rPr>
                    <m:sty m:val="p"/>
                  </m:rPr>
                  <w:rPr>
                    <w:rFonts w:ascii="Cambria Math" w:hAnsi="Cambria Math"/>
                  </w:rPr>
                  <m:t>,</m:t>
                </m:r>
                <m:r>
                  <m:rPr>
                    <m:scr m:val="sans-serif"/>
                    <m:sty m:val="p"/>
                  </m:rP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b</m:t>
                </m:r>
                <m:r>
                  <w:br/>
                </m:r>
              </m:oMath>
              <m:oMath>
                <m:r>
                  <m:rPr>
                    <m:nor/>
                  </m:rPr>
                  <m:t>Quant</m:t>
                </m:r>
                <m:r>
                  <m:rPr>
                    <m:sty m:val="p"/>
                  </m:rPr>
                  <w:rPr>
                    <w:rFonts w:ascii="Cambria Math" w:hAnsi="Cambria Math"/>
                  </w:rPr>
                  <m:t>,</m:t>
                </m:r>
                <m:sSub>
                  <m:sSubPr>
                    <m:ctrlPr>
                      <w:rPr>
                        <w:rFonts w:ascii="Cambria Math" w:hAnsi="Cambria Math"/>
                      </w:rPr>
                    </m:ctrlPr>
                  </m:sSubPr>
                  <m:e>
                    <m:r>
                      <m:rPr>
                        <m:sty m:val="p"/>
                      </m:rPr>
                      <w:rPr>
                        <w:rFonts w:ascii="Cambria Math" w:hAnsi="Cambria Math"/>
                      </w:rPr>
                      <m:t>CI</m:t>
                    </m:r>
                  </m:e>
                  <m:sub>
                    <m:r>
                      <m:rPr>
                        <m:sty m:val="p"/>
                      </m:rPr>
                      <w:rPr>
                        <w:rFonts w:ascii="Cambria Math" w:hAnsi="Cambria Math"/>
                      </w:rPr>
                      <m:t>boot/perm</m:t>
                    </m:r>
                  </m:sub>
                </m:sSub>
              </m:oMath>
            </m:oMathPara>
          </w:p>
        </w:tc>
        <w:tc>
          <w:tcPr>
            <w:tcW w:w="3737" w:type="dxa"/>
            <w:shd w:val="clear" w:color="auto" w:fill="FFFFFF"/>
            <w:tcMar>
              <w:top w:w="65" w:type="dxa"/>
              <w:left w:w="65" w:type="dxa"/>
              <w:bottom w:w="65" w:type="dxa"/>
              <w:right w:w="65" w:type="dxa"/>
            </w:tcMar>
            <w:vAlign w:val="center"/>
          </w:tcPr>
          <w:p w14:paraId="6ABA1468" w14:textId="77777777" w:rsidR="00AF5C7A" w:rsidRDefault="00FB1870">
            <w:pPr>
              <w:pStyle w:val="Compact"/>
              <w:spacing w:before="20" w:after="40" w:line="245" w:lineRule="auto"/>
            </w:pPr>
            <w:r>
              <w:rPr>
                <w:sz w:val="19"/>
              </w:rPr>
              <w:t>Endpoint, learner codes, seed count, family size, replicate, quantile, intervals</w:t>
            </w:r>
          </w:p>
        </w:tc>
        <w:tc>
          <w:tcPr>
            <w:tcW w:w="2754" w:type="dxa"/>
            <w:shd w:val="clear" w:color="auto" w:fill="FFFFFF"/>
            <w:tcMar>
              <w:top w:w="65" w:type="dxa"/>
              <w:left w:w="65" w:type="dxa"/>
              <w:bottom w:w="65" w:type="dxa"/>
              <w:right w:w="65" w:type="dxa"/>
            </w:tcMar>
            <w:vAlign w:val="center"/>
          </w:tcPr>
          <w:p w14:paraId="7FADD988" w14:textId="77777777" w:rsidR="00AF5C7A" w:rsidRDefault="00FB1870">
            <w:pPr>
              <w:pStyle w:val="Compact"/>
              <w:spacing w:before="20" w:after="40" w:line="245" w:lineRule="auto"/>
            </w:pPr>
            <w:r>
              <w:rPr>
                <w:sz w:val="19"/>
              </w:rPr>
              <w:t xml:space="preserve">Scalars/codes; </w:t>
            </w:r>
            <m:oMath>
              <m:r>
                <w:rPr>
                  <w:rFonts w:ascii="Cambria Math" w:hAnsi="Cambria Math"/>
                </w:rPr>
                <m:t>n</m:t>
              </m:r>
              <m:r>
                <m:rPr>
                  <m:sty m:val="p"/>
                </m:rPr>
                <w:rPr>
                  <w:rFonts w:ascii="Cambria Math" w:hAnsi="Cambria Math"/>
                </w:rPr>
                <m:t>=</m:t>
              </m:r>
              <m:r>
                <w:rPr>
                  <w:rFonts w:ascii="Cambria Math" w:hAnsi="Cambria Math"/>
                </w:rPr>
                <m:t>12</m:t>
              </m:r>
            </m:oMath>
            <w:r>
              <w:rPr>
                <w:sz w:val="19"/>
              </w:rPr>
              <w:t xml:space="preserve">; </w:t>
            </w:r>
            <m:oMath>
              <m:r>
                <w:rPr>
                  <w:rFonts w:ascii="Cambria Math" w:hAnsi="Cambria Math"/>
                </w:rPr>
                <m:t>L</m:t>
              </m:r>
              <m:r>
                <m:rPr>
                  <m:sty m:val="p"/>
                </m:rPr>
                <w:rPr>
                  <w:rFonts w:ascii="Cambria Math" w:hAnsi="Cambria Math"/>
                </w:rPr>
                <m:t>=</m:t>
              </m:r>
              <m:r>
                <w:rPr>
                  <w:rFonts w:ascii="Cambria Math" w:hAnsi="Cambria Math"/>
                </w:rPr>
                <m:t>18</m:t>
              </m:r>
            </m:oMath>
            <w:r>
              <w:rPr>
                <w:sz w:val="19"/>
              </w:rPr>
              <w:t xml:space="preserve"> or 11; </w:t>
            </w:r>
            <m:oMath>
              <m:r>
                <w:rPr>
                  <w:rFonts w:ascii="Cambria Math" w:hAnsi="Cambria Math"/>
                </w:rPr>
                <m:t>b</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oMath>
          </w:p>
        </w:tc>
      </w:tr>
      <w:tr w:rsidR="00AF5C7A" w14:paraId="304641DD" w14:textId="77777777" w:rsidTr="00AF5C7A">
        <w:trPr>
          <w:cantSplit/>
        </w:trPr>
        <w:tc>
          <w:tcPr>
            <w:tcW w:w="3344" w:type="dxa"/>
            <w:shd w:val="clear" w:color="auto" w:fill="F5F7F9"/>
            <w:tcMar>
              <w:top w:w="65" w:type="dxa"/>
              <w:left w:w="65" w:type="dxa"/>
              <w:bottom w:w="65" w:type="dxa"/>
              <w:right w:w="65" w:type="dxa"/>
            </w:tcMar>
            <w:vAlign w:val="center"/>
          </w:tcPr>
          <w:p w14:paraId="68A14463" w14:textId="77777777" w:rsidR="00AF5C7A" w:rsidRDefault="00FB1870">
            <w:pPr>
              <w:pStyle w:val="Compact"/>
              <w:spacing w:before="20" w:after="40" w:line="245" w:lineRule="auto"/>
            </w:pPr>
            <m:oMathPara>
              <m:oMath>
                <m:sSub>
                  <m:sSubPr>
                    <m:ctrlPr>
                      <w:rPr>
                        <w:rFonts w:ascii="Cambria Math" w:hAnsi="Cambria Math"/>
                      </w:rPr>
                    </m:ctrlPr>
                  </m:sSubPr>
                  <m:e>
                    <m:r>
                      <w:rPr>
                        <w:rFonts w:ascii="Cambria Math" w:hAnsi="Cambria Math"/>
                      </w:rPr>
                      <m:t>Δ</m:t>
                    </m:r>
                  </m:e>
                  <m:sub>
                    <m:r>
                      <m:rPr>
                        <m:sty m:val="p"/>
                      </m:rPr>
                      <w:rPr>
                        <w:rFonts w:ascii="Cambria Math" w:hAnsi="Cambria Math"/>
                      </w:rPr>
                      <m:t>rec</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J</m:t>
                    </m:r>
                  </m:e>
                  <m:sup>
                    <m:r>
                      <m:rPr>
                        <m:scr m:val="sans-serif"/>
                        <m:sty m:val="p"/>
                      </m:rPr>
                      <w:rPr>
                        <w:rFonts w:ascii="Cambria Math" w:hAnsi="Cambria Math"/>
                      </w:rPr>
                      <m:t>A</m:t>
                    </m:r>
                    <m:r>
                      <m:rPr>
                        <m:sty m:val="p"/>
                      </m:rPr>
                      <w:rPr>
                        <w:rFonts w:ascii="Cambria Math" w:hAnsi="Cambria Math"/>
                      </w:rPr>
                      <m:t>,</m:t>
                    </m:r>
                    <m:r>
                      <m:rPr>
                        <m:scr m:val="sans-serif"/>
                        <m:sty m:val="p"/>
                      </m:rPr>
                      <w:rPr>
                        <w:rFonts w:ascii="Cambria Math" w:hAnsi="Cambria Math"/>
                      </w:rPr>
                      <m:t>B</m:t>
                    </m:r>
                  </m:sup>
                </m:sSup>
                <m:r>
                  <w:br/>
                </m:r>
              </m:oMath>
              <m:oMath>
                <m:r>
                  <m:rPr>
                    <m:sty m:val="p"/>
                  </m:rPr>
                  <w:rPr>
                    <w:rFonts w:ascii="Cambria Math" w:hAnsi="Cambria Math"/>
                  </w:rPr>
                  <m:t>ACC,BWT,</m:t>
                </m:r>
                <m:r>
                  <w:rPr>
                    <w:rFonts w:ascii="Cambria Math" w:hAnsi="Cambria Math"/>
                  </w:rPr>
                  <m:t>F</m:t>
                </m:r>
                <m:r>
                  <m:rPr>
                    <m:sty m:val="p"/>
                  </m:rPr>
                  <w:rPr>
                    <w:rFonts w:ascii="Cambria Math" w:hAnsi="Cambria Math"/>
                  </w:rPr>
                  <m:t>,FWT</m:t>
                </m:r>
                <m:r>
                  <w:br/>
                </m:r>
              </m:oMath>
              <m:oMath>
                <m:sSub>
                  <m:sSubPr>
                    <m:ctrlPr>
                      <w:rPr>
                        <w:rFonts w:ascii="Cambria Math" w:hAnsi="Cambria Math"/>
                      </w:rPr>
                    </m:ctrlPr>
                  </m:sSubPr>
                  <m:e>
                    <m:r>
                      <w:rPr>
                        <w:rFonts w:ascii="Cambria Math" w:hAnsi="Cambria Math"/>
                      </w:rPr>
                      <m:t>B</m:t>
                    </m:r>
                  </m:e>
                  <m:sub>
                    <m:r>
                      <m:rPr>
                        <m:sty m:val="p"/>
                      </m:rPr>
                      <w:rPr>
                        <w:rFonts w:ascii="Cambria Math" w:hAnsi="Cambria Math"/>
                      </w:rPr>
                      <m:t>model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replay</m:t>
                    </m:r>
                  </m:sub>
                </m:sSub>
              </m:oMath>
            </m:oMathPara>
          </w:p>
        </w:tc>
        <w:tc>
          <w:tcPr>
            <w:tcW w:w="3737" w:type="dxa"/>
            <w:shd w:val="clear" w:color="auto" w:fill="F5F7F9"/>
            <w:tcMar>
              <w:top w:w="65" w:type="dxa"/>
              <w:left w:w="65" w:type="dxa"/>
              <w:bottom w:w="65" w:type="dxa"/>
              <w:right w:w="65" w:type="dxa"/>
            </w:tcMar>
            <w:vAlign w:val="center"/>
          </w:tcPr>
          <w:p w14:paraId="0DC97C4F" w14:textId="77777777" w:rsidR="00AF5C7A" w:rsidRDefault="00FB1870">
            <w:pPr>
              <w:pStyle w:val="Compact"/>
              <w:spacing w:before="20" w:after="40" w:line="245" w:lineRule="auto"/>
            </w:pPr>
            <w:r>
              <w:rPr>
                <w:sz w:val="19"/>
              </w:rPr>
              <w:t>Recall damage, learner interaction, continual summaries, numeric byte budgets</w:t>
            </w:r>
          </w:p>
        </w:tc>
        <w:tc>
          <w:tcPr>
            <w:tcW w:w="2754" w:type="dxa"/>
            <w:shd w:val="clear" w:color="auto" w:fill="F5F7F9"/>
            <w:tcMar>
              <w:top w:w="65" w:type="dxa"/>
              <w:left w:w="65" w:type="dxa"/>
              <w:bottom w:w="65" w:type="dxa"/>
              <w:right w:w="65" w:type="dxa"/>
            </w:tcMar>
            <w:vAlign w:val="center"/>
          </w:tcPr>
          <w:p w14:paraId="05B29D39" w14:textId="77777777" w:rsidR="00AF5C7A" w:rsidRDefault="00FB1870">
            <w:pPr>
              <w:pStyle w:val="Compact"/>
              <w:spacing w:before="20" w:after="40" w:line="245" w:lineRule="auto"/>
            </w:pPr>
            <w:r>
              <w:rPr>
                <w:sz w:val="19"/>
              </w:rPr>
              <w:t>Scalars; nonnegative byte counts</w:t>
            </w:r>
          </w:p>
        </w:tc>
      </w:tr>
      <w:tr w:rsidR="00AF5C7A" w14:paraId="5F1C99DE" w14:textId="77777777" w:rsidTr="00AF5C7A">
        <w:trPr>
          <w:cantSplit/>
        </w:trPr>
        <w:tc>
          <w:tcPr>
            <w:tcW w:w="3344" w:type="dxa"/>
            <w:shd w:val="clear" w:color="auto" w:fill="FFFFFF"/>
            <w:tcMar>
              <w:top w:w="65" w:type="dxa"/>
              <w:left w:w="65" w:type="dxa"/>
              <w:bottom w:w="65" w:type="dxa"/>
              <w:right w:w="65" w:type="dxa"/>
            </w:tcMar>
            <w:vAlign w:val="center"/>
          </w:tcPr>
          <w:p w14:paraId="125990EE" w14:textId="77777777" w:rsidR="00AF5C7A" w:rsidRDefault="00FB1870">
            <w:pPr>
              <w:pStyle w:val="Compact"/>
              <w:spacing w:before="20" w:after="40" w:line="245" w:lineRule="auto"/>
            </w:pPr>
            <m:oMathPara>
              <m:oMath>
                <m:sSup>
                  <m:sSupPr>
                    <m:ctrlPr>
                      <w:rPr>
                        <w:rFonts w:ascii="Cambria Math" w:hAnsi="Cambria Math"/>
                      </w:rPr>
                    </m:ctrlPr>
                  </m:sSupPr>
                  <m:e>
                    <m:r>
                      <w:rPr>
                        <w:rFonts w:ascii="Cambria Math" w:hAnsi="Cambria Math"/>
                      </w:rPr>
                      <m:t>N</m:t>
                    </m:r>
                  </m:e>
                  <m:sup>
                    <m:r>
                      <m:rPr>
                        <m:sty m:val="p"/>
                      </m:rPr>
                      <w:rPr>
                        <w:rFonts w:ascii="Cambria Math" w:hAnsi="Cambria Math"/>
                      </w:rPr>
                      <m:t>adm,hon,new</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elig,hon,new</m:t>
                    </m:r>
                  </m:sup>
                </m:sSup>
                <m:r>
                  <w:br/>
                </m:r>
              </m:oMath>
              <m:oMath>
                <m:sSup>
                  <m:sSupPr>
                    <m:ctrlPr>
                      <w:rPr>
                        <w:rFonts w:ascii="Cambria Math" w:hAnsi="Cambria Math"/>
                      </w:rPr>
                    </m:ctrlPr>
                  </m:sSupPr>
                  <m:e>
                    <m:r>
                      <w:rPr>
                        <w:rFonts w:ascii="Cambria Math" w:hAnsi="Cambria Math"/>
                      </w:rPr>
                      <m:t>N</m:t>
                    </m:r>
                  </m:e>
                  <m:sup>
                    <m:r>
                      <m:rPr>
                        <m:sty m:val="p"/>
                      </m:rPr>
                      <w:rPr>
                        <w:rFonts w:ascii="Cambria Math" w:hAnsi="Cambria Math"/>
                      </w:rPr>
                      <m:t>poison,replay</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Ret</m:t>
                    </m:r>
                  </m:e>
                  <m:sub>
                    <m:r>
                      <m:rPr>
                        <m:sty m:val="p"/>
                      </m:rPr>
                      <w:rPr>
                        <w:rFonts w:ascii="Cambria Math" w:hAnsi="Cambria Math"/>
                      </w:rPr>
                      <m:t>hon,new</m:t>
                    </m:r>
                  </m:sub>
                </m:sSub>
                <m:r>
                  <w:br/>
                </m:r>
              </m:oMath>
              <m:oMath>
                <m:r>
                  <m:rPr>
                    <m:sty m:val="p"/>
                  </m:rPr>
                  <w:rPr>
                    <w:rFonts w:ascii="Cambria Math" w:hAnsi="Cambria Math"/>
                  </w:rPr>
                  <m:t>Cont,AP</m:t>
                </m:r>
              </m:oMath>
            </m:oMathPara>
          </w:p>
        </w:tc>
        <w:tc>
          <w:tcPr>
            <w:tcW w:w="3737" w:type="dxa"/>
            <w:shd w:val="clear" w:color="auto" w:fill="FFFFFF"/>
            <w:tcMar>
              <w:top w:w="65" w:type="dxa"/>
              <w:left w:w="65" w:type="dxa"/>
              <w:bottom w:w="65" w:type="dxa"/>
              <w:right w:w="65" w:type="dxa"/>
            </w:tcMar>
            <w:vAlign w:val="center"/>
          </w:tcPr>
          <w:p w14:paraId="1119C58B" w14:textId="77777777" w:rsidR="00AF5C7A" w:rsidRDefault="00FB1870">
            <w:pPr>
              <w:pStyle w:val="Compact"/>
              <w:spacing w:before="20" w:after="40" w:line="245" w:lineRule="auto"/>
            </w:pPr>
            <w:r>
              <w:rPr>
                <w:sz w:val="19"/>
              </w:rPr>
              <w:t>Diagnostic counts, honest-new retention, contamination, average precision</w:t>
            </w:r>
          </w:p>
        </w:tc>
        <w:tc>
          <w:tcPr>
            <w:tcW w:w="2754" w:type="dxa"/>
            <w:shd w:val="clear" w:color="auto" w:fill="FFFFFF"/>
            <w:tcMar>
              <w:top w:w="65" w:type="dxa"/>
              <w:left w:w="65" w:type="dxa"/>
              <w:bottom w:w="65" w:type="dxa"/>
              <w:right w:w="65" w:type="dxa"/>
            </w:tcMar>
            <w:vAlign w:val="center"/>
          </w:tcPr>
          <w:p w14:paraId="24BC1920" w14:textId="77777777" w:rsidR="00AF5C7A" w:rsidRDefault="00FB1870">
            <w:pPr>
              <w:pStyle w:val="Compact"/>
              <w:spacing w:before="20" w:after="40" w:line="245" w:lineRule="auto"/>
            </w:pPr>
            <w:r>
              <w:rPr>
                <w:sz w:val="19"/>
              </w:rPr>
              <w:t xml:space="preserve">Counts; fractions; </w:t>
            </w:r>
            <m:oMath>
              <m:r>
                <m:rPr>
                  <m:sty m:val="p"/>
                </m:rPr>
                <w:rPr>
                  <w:rFonts w:ascii="Cambria Math" w:hAnsi="Cambria Math"/>
                </w:rPr>
                <m:t>N/A</m:t>
              </m:r>
            </m:oMath>
            <w:r>
              <w:rPr>
                <w:sz w:val="19"/>
              </w:rPr>
              <w:t xml:space="preserve"> for empty denominators</w:t>
            </w:r>
          </w:p>
        </w:tc>
      </w:tr>
    </w:tbl>
    <w:p w14:paraId="6747D128" w14:textId="77777777" w:rsidR="00AF5C7A" w:rsidRDefault="00FB1870">
      <w:pPr>
        <w:pStyle w:val="BodyText"/>
        <w:keepNext/>
        <w:spacing w:before="140" w:after="80"/>
      </w:pPr>
      <w:r>
        <w:rPr>
          <w:b/>
          <w:bCs/>
        </w:rPr>
        <w:t>Table 7. Primary threat model and information boundary.</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67"/>
        <w:gridCol w:w="7868"/>
      </w:tblGrid>
      <w:tr w:rsidR="00AF5C7A" w14:paraId="44E07556"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1967" w:type="dxa"/>
            <w:shd w:val="clear" w:color="auto" w:fill="DDE6EC"/>
            <w:tcMar>
              <w:top w:w="65" w:type="dxa"/>
              <w:left w:w="65" w:type="dxa"/>
              <w:bottom w:w="65" w:type="dxa"/>
              <w:right w:w="65" w:type="dxa"/>
            </w:tcMar>
            <w:vAlign w:val="center"/>
          </w:tcPr>
          <w:p w14:paraId="492FE0DE" w14:textId="77777777" w:rsidR="00AF5C7A" w:rsidRDefault="00FB1870">
            <w:pPr>
              <w:pStyle w:val="Compact"/>
              <w:keepNext/>
              <w:spacing w:before="20" w:after="40" w:line="245" w:lineRule="auto"/>
            </w:pPr>
            <w:r>
              <w:rPr>
                <w:b/>
                <w:sz w:val="19"/>
              </w:rPr>
              <w:t>Field</w:t>
            </w:r>
          </w:p>
        </w:tc>
        <w:tc>
          <w:tcPr>
            <w:tcW w:w="7868" w:type="dxa"/>
            <w:shd w:val="clear" w:color="auto" w:fill="DDE6EC"/>
            <w:tcMar>
              <w:top w:w="65" w:type="dxa"/>
              <w:left w:w="65" w:type="dxa"/>
              <w:bottom w:w="65" w:type="dxa"/>
              <w:right w:w="65" w:type="dxa"/>
            </w:tcMar>
            <w:vAlign w:val="center"/>
          </w:tcPr>
          <w:p w14:paraId="4CD28FB8" w14:textId="77777777" w:rsidR="00AF5C7A" w:rsidRDefault="00FB1870">
            <w:pPr>
              <w:pStyle w:val="Compact"/>
              <w:keepNext/>
              <w:spacing w:before="20" w:after="40" w:line="245" w:lineRule="auto"/>
            </w:pPr>
            <w:r>
              <w:rPr>
                <w:b/>
                <w:sz w:val="19"/>
              </w:rPr>
              <w:t>Specification</w:t>
            </w:r>
          </w:p>
        </w:tc>
      </w:tr>
      <w:tr w:rsidR="00AF5C7A" w14:paraId="43B35CC4" w14:textId="77777777" w:rsidTr="00AF5C7A">
        <w:trPr>
          <w:cantSplit/>
        </w:trPr>
        <w:tc>
          <w:tcPr>
            <w:tcW w:w="1967" w:type="dxa"/>
            <w:shd w:val="clear" w:color="auto" w:fill="FFFFFF"/>
            <w:tcMar>
              <w:top w:w="65" w:type="dxa"/>
              <w:left w:w="65" w:type="dxa"/>
              <w:bottom w:w="65" w:type="dxa"/>
              <w:right w:w="65" w:type="dxa"/>
            </w:tcMar>
            <w:vAlign w:val="center"/>
          </w:tcPr>
          <w:p w14:paraId="720248DE" w14:textId="77777777" w:rsidR="00AF5C7A" w:rsidRDefault="00FB1870">
            <w:pPr>
              <w:pStyle w:val="Compact"/>
              <w:keepNext/>
              <w:spacing w:before="20" w:after="40" w:line="245" w:lineRule="auto"/>
            </w:pPr>
            <w:r>
              <w:rPr>
                <w:sz w:val="19"/>
              </w:rPr>
              <w:t>Goal</w:t>
            </w:r>
          </w:p>
        </w:tc>
        <w:tc>
          <w:tcPr>
            <w:tcW w:w="7868" w:type="dxa"/>
            <w:shd w:val="clear" w:color="auto" w:fill="FFFFFF"/>
            <w:tcMar>
              <w:top w:w="65" w:type="dxa"/>
              <w:left w:w="65" w:type="dxa"/>
              <w:bottom w:w="65" w:type="dxa"/>
              <w:right w:w="65" w:type="dxa"/>
            </w:tcMar>
            <w:vAlign w:val="center"/>
          </w:tcPr>
          <w:p w14:paraId="5CB26AAD" w14:textId="77777777" w:rsidR="00AF5C7A" w:rsidRDefault="00FB1870">
            <w:pPr>
              <w:pStyle w:val="Compact"/>
              <w:keepNext/>
              <w:spacing w:before="20" w:after="40" w:line="245" w:lineRule="auto"/>
            </w:pPr>
            <w:r>
              <w:rPr>
                <w:sz w:val="19"/>
              </w:rPr>
              <w:t>Make held-out DoS-Hulk appear benign during/after E2 adaptation.</w:t>
            </w:r>
          </w:p>
        </w:tc>
      </w:tr>
      <w:tr w:rsidR="00AF5C7A" w14:paraId="566B1D61" w14:textId="77777777" w:rsidTr="00AF5C7A">
        <w:trPr>
          <w:cantSplit/>
        </w:trPr>
        <w:tc>
          <w:tcPr>
            <w:tcW w:w="1967" w:type="dxa"/>
            <w:shd w:val="clear" w:color="auto" w:fill="F5F7F9"/>
            <w:tcMar>
              <w:top w:w="65" w:type="dxa"/>
              <w:left w:w="65" w:type="dxa"/>
              <w:bottom w:w="65" w:type="dxa"/>
              <w:right w:w="65" w:type="dxa"/>
            </w:tcMar>
            <w:vAlign w:val="center"/>
          </w:tcPr>
          <w:p w14:paraId="52FAB6F3" w14:textId="77777777" w:rsidR="00AF5C7A" w:rsidRDefault="00FB1870">
            <w:pPr>
              <w:pStyle w:val="Compact"/>
              <w:keepNext/>
              <w:spacing w:before="20" w:after="40" w:line="245" w:lineRule="auto"/>
            </w:pPr>
            <w:r>
              <w:rPr>
                <w:sz w:val="19"/>
              </w:rPr>
              <w:t>Knowledge</w:t>
            </w:r>
          </w:p>
        </w:tc>
        <w:tc>
          <w:tcPr>
            <w:tcW w:w="7868" w:type="dxa"/>
            <w:shd w:val="clear" w:color="auto" w:fill="F5F7F9"/>
            <w:tcMar>
              <w:top w:w="65" w:type="dxa"/>
              <w:left w:w="65" w:type="dxa"/>
              <w:bottom w:w="65" w:type="dxa"/>
              <w:right w:w="65" w:type="dxa"/>
            </w:tcMar>
            <w:vAlign w:val="center"/>
          </w:tcPr>
          <w:p w14:paraId="774969C2" w14:textId="77777777" w:rsidR="00AF5C7A" w:rsidRDefault="00FB1870">
            <w:pPr>
              <w:pStyle w:val="Compact"/>
              <w:keepNext/>
              <w:spacing w:before="20" w:after="40" w:line="245" w:lineRule="auto"/>
            </w:pPr>
            <w:r>
              <w:rPr>
                <w:sz w:val="19"/>
              </w:rPr>
              <w:t>Source/target identities, local eligible records, schedule and budget; no model gradients, filter scores or test labels.</w:t>
            </w:r>
          </w:p>
        </w:tc>
      </w:tr>
      <w:tr w:rsidR="00AF5C7A" w14:paraId="508D4AD4" w14:textId="77777777" w:rsidTr="00AF5C7A">
        <w:trPr>
          <w:cantSplit/>
        </w:trPr>
        <w:tc>
          <w:tcPr>
            <w:tcW w:w="1967" w:type="dxa"/>
            <w:shd w:val="clear" w:color="auto" w:fill="FFFFFF"/>
            <w:tcMar>
              <w:top w:w="65" w:type="dxa"/>
              <w:left w:w="65" w:type="dxa"/>
              <w:bottom w:w="65" w:type="dxa"/>
              <w:right w:w="65" w:type="dxa"/>
            </w:tcMar>
            <w:vAlign w:val="center"/>
          </w:tcPr>
          <w:p w14:paraId="6652ED46" w14:textId="77777777" w:rsidR="00AF5C7A" w:rsidRDefault="00FB1870">
            <w:pPr>
              <w:pStyle w:val="Compact"/>
              <w:keepNext/>
              <w:spacing w:before="20" w:after="40" w:line="245" w:lineRule="auto"/>
            </w:pPr>
            <w:r>
              <w:rPr>
                <w:sz w:val="19"/>
              </w:rPr>
              <w:t>Capability</w:t>
            </w:r>
          </w:p>
        </w:tc>
        <w:tc>
          <w:tcPr>
            <w:tcW w:w="7868" w:type="dxa"/>
            <w:shd w:val="clear" w:color="auto" w:fill="FFFFFF"/>
            <w:tcMar>
              <w:top w:w="65" w:type="dxa"/>
              <w:left w:w="65" w:type="dxa"/>
              <w:bottom w:w="65" w:type="dxa"/>
              <w:right w:w="65" w:type="dxa"/>
            </w:tcMar>
            <w:vAlign w:val="center"/>
          </w:tcPr>
          <w:p w14:paraId="16658ADF" w14:textId="77777777" w:rsidR="00AF5C7A" w:rsidRDefault="00FB1870">
            <w:pPr>
              <w:pStyle w:val="Compact"/>
              <w:keepNext/>
              <w:spacing w:before="20" w:after="40" w:line="245" w:lineRule="auto"/>
            </w:pPr>
            <w:r>
              <w:rPr>
                <w:sz w:val="19"/>
              </w:rPr>
              <w:t>Corrupt labels of selected existing Hulk training IDs at one source-containing client during E2; no invented classes/features/rows.</w:t>
            </w:r>
          </w:p>
        </w:tc>
      </w:tr>
      <w:tr w:rsidR="00AF5C7A" w14:paraId="0D7B6207" w14:textId="77777777" w:rsidTr="00AF5C7A">
        <w:trPr>
          <w:cantSplit/>
        </w:trPr>
        <w:tc>
          <w:tcPr>
            <w:tcW w:w="1967" w:type="dxa"/>
            <w:shd w:val="clear" w:color="auto" w:fill="F5F7F9"/>
            <w:tcMar>
              <w:top w:w="65" w:type="dxa"/>
              <w:left w:w="65" w:type="dxa"/>
              <w:bottom w:w="65" w:type="dxa"/>
              <w:right w:w="65" w:type="dxa"/>
            </w:tcMar>
            <w:vAlign w:val="center"/>
          </w:tcPr>
          <w:p w14:paraId="577C7B3C" w14:textId="77777777" w:rsidR="00AF5C7A" w:rsidRDefault="00FB1870">
            <w:pPr>
              <w:pStyle w:val="Compact"/>
              <w:keepNext/>
              <w:spacing w:before="20" w:after="40" w:line="245" w:lineRule="auto"/>
            </w:pPr>
            <w:r>
              <w:rPr>
                <w:sz w:val="19"/>
              </w:rPr>
              <w:t>Constraints</w:t>
            </w:r>
          </w:p>
        </w:tc>
        <w:tc>
          <w:tcPr>
            <w:tcW w:w="7868" w:type="dxa"/>
            <w:shd w:val="clear" w:color="auto" w:fill="F5F7F9"/>
            <w:tcMar>
              <w:top w:w="65" w:type="dxa"/>
              <w:left w:w="65" w:type="dxa"/>
              <w:bottom w:w="65" w:type="dxa"/>
              <w:right w:w="65" w:type="dxa"/>
            </w:tcMar>
            <w:vAlign w:val="center"/>
          </w:tcPr>
          <w:p w14:paraId="5D908CEE" w14:textId="77777777" w:rsidR="00AF5C7A" w:rsidRDefault="00FB1870">
            <w:pPr>
              <w:pStyle w:val="Compact"/>
              <w:keepNext/>
              <w:spacing w:before="20" w:after="40" w:line="245" w:lineRule="auto"/>
            </w:pPr>
            <w:r>
              <w:rPr>
                <w:sz w:val="19"/>
              </w:rPr>
              <w:t>Oblivious seeded random ID selection; audited local agent executes declared learning/admission; server and evaluation banks trusted.</w:t>
            </w:r>
          </w:p>
        </w:tc>
      </w:tr>
      <w:tr w:rsidR="00AF5C7A" w14:paraId="442479C5" w14:textId="77777777" w:rsidTr="00AF5C7A">
        <w:trPr>
          <w:cantSplit/>
        </w:trPr>
        <w:tc>
          <w:tcPr>
            <w:tcW w:w="1967" w:type="dxa"/>
            <w:shd w:val="clear" w:color="auto" w:fill="FFFFFF"/>
            <w:tcMar>
              <w:top w:w="65" w:type="dxa"/>
              <w:left w:w="65" w:type="dxa"/>
              <w:bottom w:w="65" w:type="dxa"/>
              <w:right w:w="65" w:type="dxa"/>
            </w:tcMar>
            <w:vAlign w:val="center"/>
          </w:tcPr>
          <w:p w14:paraId="516C58AB" w14:textId="77777777" w:rsidR="00AF5C7A" w:rsidRDefault="00FB1870">
            <w:pPr>
              <w:pStyle w:val="Compact"/>
              <w:keepNext/>
              <w:spacing w:before="20" w:after="40" w:line="245" w:lineRule="auto"/>
            </w:pPr>
            <w:r>
              <w:rPr>
                <w:sz w:val="19"/>
              </w:rPr>
              <w:t>Scenario</w:t>
            </w:r>
          </w:p>
        </w:tc>
        <w:tc>
          <w:tcPr>
            <w:tcW w:w="7868" w:type="dxa"/>
            <w:shd w:val="clear" w:color="auto" w:fill="FFFFFF"/>
            <w:tcMar>
              <w:top w:w="65" w:type="dxa"/>
              <w:left w:w="65" w:type="dxa"/>
              <w:bottom w:w="65" w:type="dxa"/>
              <w:right w:w="65" w:type="dxa"/>
            </w:tcMar>
            <w:vAlign w:val="center"/>
          </w:tcPr>
          <w:p w14:paraId="449285D1" w14:textId="77777777" w:rsidR="00AF5C7A" w:rsidRDefault="00FB1870">
            <w:pPr>
              <w:pStyle w:val="Compact"/>
              <w:keepNext/>
              <w:spacing w:before="20" w:after="40" w:line="245" w:lineRule="auto"/>
            </w:pPr>
            <w:r>
              <w:rPr>
                <w:sz w:val="19"/>
              </w:rPr>
              <w:t>An attacker fools an automated traffic-labeling feed at one organization; the organization retains control of its training software.</w:t>
            </w:r>
          </w:p>
        </w:tc>
      </w:tr>
      <w:tr w:rsidR="00AF5C7A" w14:paraId="2DFC4352" w14:textId="77777777" w:rsidTr="00AF5C7A">
        <w:trPr>
          <w:cantSplit/>
        </w:trPr>
        <w:tc>
          <w:tcPr>
            <w:tcW w:w="1967" w:type="dxa"/>
            <w:shd w:val="clear" w:color="auto" w:fill="F5F7F9"/>
            <w:tcMar>
              <w:top w:w="65" w:type="dxa"/>
              <w:left w:w="65" w:type="dxa"/>
              <w:bottom w:w="65" w:type="dxa"/>
              <w:right w:w="65" w:type="dxa"/>
            </w:tcMar>
            <w:vAlign w:val="center"/>
          </w:tcPr>
          <w:p w14:paraId="4660420C" w14:textId="77777777" w:rsidR="00AF5C7A" w:rsidRDefault="00FB1870">
            <w:pPr>
              <w:pStyle w:val="Compact"/>
              <w:spacing w:before="20" w:after="40" w:line="245" w:lineRule="auto"/>
            </w:pPr>
            <w:r>
              <w:rPr>
                <w:sz w:val="19"/>
              </w:rPr>
              <w:t>Out of scope</w:t>
            </w:r>
          </w:p>
        </w:tc>
        <w:tc>
          <w:tcPr>
            <w:tcW w:w="7868" w:type="dxa"/>
            <w:shd w:val="clear" w:color="auto" w:fill="F5F7F9"/>
            <w:tcMar>
              <w:top w:w="65" w:type="dxa"/>
              <w:left w:w="65" w:type="dxa"/>
              <w:bottom w:w="65" w:type="dxa"/>
              <w:right w:w="65" w:type="dxa"/>
            </w:tcMar>
            <w:vAlign w:val="center"/>
          </w:tcPr>
          <w:p w14:paraId="75D2AB23" w14:textId="77777777" w:rsidR="00AF5C7A" w:rsidRDefault="00FB1870">
            <w:pPr>
              <w:pStyle w:val="Compact"/>
              <w:spacing w:before="20" w:after="40" w:line="245" w:lineRule="auto"/>
            </w:pPr>
            <w:r>
              <w:rPr>
                <w:sz w:val="19"/>
              </w:rPr>
              <w:t>Bypassing filtering, forging updates, server compromise, filter-aware selection, RF spoofing. Adaptive attackers require a separate extension.</w:t>
            </w:r>
          </w:p>
        </w:tc>
      </w:tr>
    </w:tbl>
    <w:p w14:paraId="41AF5FF4" w14:textId="77777777" w:rsidR="00AF5C7A" w:rsidRDefault="00FB1870">
      <w:pPr>
        <w:pStyle w:val="Heading21"/>
      </w:pPr>
      <w:bookmarkStart w:id="10" w:name="define-the-research-input"/>
      <w:r>
        <w:t>Step 1 Define the Research Input</w:t>
      </w:r>
    </w:p>
    <w:p w14:paraId="0000F234" w14:textId="77777777" w:rsidR="00AF5C7A" w:rsidRDefault="00FB1870">
      <w:pPr>
        <w:pStyle w:val="FirstParagraph"/>
      </w:pPr>
      <w:r>
        <w:t>We use numeric flows with metadata in a protected sidecar:</w:t>
      </w:r>
    </w:p>
    <w:p w14:paraId="3F587135" w14:textId="77777777" w:rsidR="00AF5C7A" w:rsidRDefault="00FB1870">
      <w:pPr>
        <w:pStyle w:val="BodyText"/>
        <w:keepNext/>
        <w:keepLines/>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t</m:t>
                  </m:r>
                </m:sub>
              </m:sSub>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t</m:t>
              </m:r>
            </m:sub>
            <m:sup>
              <m:r>
                <m:rPr>
                  <m:sty m:val="p"/>
                </m:rPr>
                <w:rPr>
                  <w:rFonts w:ascii="Cambria Math" w:hAnsi="Cambria Math"/>
                </w:rPr>
                <m:t>new</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r>
            <m:rPr>
              <m:sty m:val="p"/>
            </m:rPr>
            <w:rPr>
              <w:rFonts w:ascii="Cambria Math" w:hAnsi="Cambria Math"/>
            </w:rPr>
            <m:t>|.</m:t>
          </m:r>
        </m:oMath>
      </m:oMathPara>
    </w:p>
    <w:p w14:paraId="3EFBE090" w14:textId="77777777" w:rsidR="00AF5C7A" w:rsidRDefault="00FB1870">
      <w:pPr>
        <w:pStyle w:val="FirstParagraph"/>
        <w:spacing w:after="80"/>
        <w:jc w:val="right"/>
      </w:pPr>
      <w:r>
        <w:t>(1)</w:t>
      </w:r>
    </w:p>
    <w:p w14:paraId="5FE2C190" w14:textId="77777777" w:rsidR="00AF5C7A" w:rsidRDefault="00FB1870">
      <w:pPr>
        <w:pStyle w:val="BodyText"/>
      </w:pPr>
      <w:r>
        <w:t xml:space="preserve">We propose </w:t>
      </w:r>
      <m:oMath>
        <m:r>
          <w:rPr>
            <w:rFonts w:ascii="Cambria Math" w:hAnsi="Cambria Math"/>
          </w:rPr>
          <m:t>d</m:t>
        </m:r>
        <m:r>
          <m:rPr>
            <m:sty m:val="p"/>
          </m:rPr>
          <w:rPr>
            <w:rFonts w:ascii="Cambria Math" w:hAnsi="Cambria Math"/>
          </w:rPr>
          <m:t>=</m:t>
        </m:r>
        <m:r>
          <w:rPr>
            <w:rFonts w:ascii="Cambria Math" w:hAnsi="Cambria Math"/>
          </w:rPr>
          <m:t>76</m:t>
        </m:r>
      </m:oMath>
      <w:r>
        <w:t xml:space="preserve"> </w:t>
      </w:r>
      <w:r>
        <w:t xml:space="preserve">numeric input features and fifteen CICIDS2017 label identities, subject to a feature-dictionary audit before protocol lock. The planned head widths are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15</m:t>
        </m:r>
      </m:oMath>
      <w:r>
        <w:t xml:space="preserve"> when all scheduled identities are supplied. Sparse identities will retain separate outputs but enter confirmatory scoring only after meeting the support rule. Inputs will exclude ports, addresses, times and IDs. Table 8 defines the family schedule independently of outcomes.</w:t>
      </w:r>
    </w:p>
    <w:p w14:paraId="19289592" w14:textId="77777777" w:rsidR="00AF5C7A" w:rsidRDefault="00FB1870">
      <w:pPr>
        <w:pStyle w:val="BodyText"/>
        <w:keepNext/>
        <w:spacing w:before="140" w:after="80"/>
      </w:pPr>
      <w:r>
        <w:rPr>
          <w:b/>
          <w:bCs/>
        </w:rPr>
        <w:t>Table 8. Proposed acquisition schedule. Benign traffic accompanies each supervised experience; no earlier attack family is reintroduced as fresh training data.</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56"/>
        <w:gridCol w:w="4131"/>
        <w:gridCol w:w="3049"/>
      </w:tblGrid>
      <w:tr w:rsidR="00AF5C7A" w14:paraId="341F8AE7"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2656" w:type="dxa"/>
            <w:shd w:val="clear" w:color="auto" w:fill="DDE6EC"/>
            <w:tcMar>
              <w:top w:w="65" w:type="dxa"/>
              <w:left w:w="65" w:type="dxa"/>
              <w:bottom w:w="65" w:type="dxa"/>
              <w:right w:w="65" w:type="dxa"/>
            </w:tcMar>
            <w:vAlign w:val="center"/>
          </w:tcPr>
          <w:p w14:paraId="44FEB6DD" w14:textId="77777777" w:rsidR="00AF5C7A" w:rsidRDefault="00FB1870">
            <w:pPr>
              <w:pStyle w:val="Compact"/>
              <w:keepNext/>
              <w:spacing w:before="20" w:after="40" w:line="245" w:lineRule="auto"/>
            </w:pPr>
            <w:r>
              <w:rPr>
                <w:b/>
                <w:sz w:val="19"/>
              </w:rPr>
              <w:t>Stage</w:t>
            </w:r>
          </w:p>
        </w:tc>
        <w:tc>
          <w:tcPr>
            <w:tcW w:w="4131" w:type="dxa"/>
            <w:shd w:val="clear" w:color="auto" w:fill="DDE6EC"/>
            <w:tcMar>
              <w:top w:w="65" w:type="dxa"/>
              <w:left w:w="65" w:type="dxa"/>
              <w:bottom w:w="65" w:type="dxa"/>
              <w:right w:w="65" w:type="dxa"/>
            </w:tcMar>
            <w:vAlign w:val="center"/>
          </w:tcPr>
          <w:p w14:paraId="7ABA184B" w14:textId="77777777" w:rsidR="00AF5C7A" w:rsidRDefault="00FB1870">
            <w:pPr>
              <w:pStyle w:val="Compact"/>
              <w:keepNext/>
              <w:spacing w:before="20" w:after="40" w:line="245" w:lineRule="auto"/>
            </w:pPr>
            <w:r>
              <w:rPr>
                <w:b/>
                <w:sz w:val="19"/>
              </w:rPr>
              <w:t>Scheduled new reference identities</w:t>
            </w:r>
          </w:p>
        </w:tc>
        <w:tc>
          <w:tcPr>
            <w:tcW w:w="3049" w:type="dxa"/>
            <w:shd w:val="clear" w:color="auto" w:fill="DDE6EC"/>
            <w:tcMar>
              <w:top w:w="65" w:type="dxa"/>
              <w:left w:w="65" w:type="dxa"/>
              <w:bottom w:w="65" w:type="dxa"/>
              <w:right w:w="65" w:type="dxa"/>
            </w:tcMar>
            <w:vAlign w:val="center"/>
          </w:tcPr>
          <w:p w14:paraId="5042F78C" w14:textId="77777777" w:rsidR="00AF5C7A" w:rsidRDefault="00FB1870">
            <w:pPr>
              <w:pStyle w:val="Compact"/>
              <w:keepNext/>
              <w:spacing w:before="20" w:after="40" w:line="245" w:lineRule="auto"/>
            </w:pPr>
            <w:r>
              <w:rPr>
                <w:b/>
                <w:sz w:val="19"/>
              </w:rPr>
              <w:t>Intended role</w:t>
            </w:r>
          </w:p>
        </w:tc>
      </w:tr>
      <w:tr w:rsidR="00AF5C7A" w14:paraId="5093CD38" w14:textId="77777777" w:rsidTr="00AF5C7A">
        <w:trPr>
          <w:cantSplit/>
        </w:trPr>
        <w:tc>
          <w:tcPr>
            <w:tcW w:w="2656" w:type="dxa"/>
            <w:shd w:val="clear" w:color="auto" w:fill="FFFFFF"/>
            <w:tcMar>
              <w:top w:w="65" w:type="dxa"/>
              <w:left w:w="65" w:type="dxa"/>
              <w:bottom w:w="65" w:type="dxa"/>
              <w:right w:w="65" w:type="dxa"/>
            </w:tcMar>
            <w:vAlign w:val="center"/>
          </w:tcPr>
          <w:p w14:paraId="39209FFA" w14:textId="77777777" w:rsidR="00AF5C7A" w:rsidRDefault="00FB1870">
            <w:pPr>
              <w:pStyle w:val="Compact"/>
              <w:keepNext/>
              <w:spacing w:before="20" w:after="40" w:line="245" w:lineRule="auto"/>
            </w:pPr>
            <w:r>
              <w:rPr>
                <w:sz w:val="19"/>
              </w:rPr>
              <w:t>T0</w:t>
            </w:r>
          </w:p>
        </w:tc>
        <w:tc>
          <w:tcPr>
            <w:tcW w:w="4131" w:type="dxa"/>
            <w:shd w:val="clear" w:color="auto" w:fill="FFFFFF"/>
            <w:tcMar>
              <w:top w:w="65" w:type="dxa"/>
              <w:left w:w="65" w:type="dxa"/>
              <w:bottom w:w="65" w:type="dxa"/>
              <w:right w:w="65" w:type="dxa"/>
            </w:tcMar>
            <w:vAlign w:val="center"/>
          </w:tcPr>
          <w:p w14:paraId="33A60E6A" w14:textId="77777777" w:rsidR="00AF5C7A" w:rsidRDefault="00FB1870">
            <w:pPr>
              <w:pStyle w:val="Compact"/>
              <w:keepNext/>
              <w:spacing w:before="20" w:after="40" w:line="245" w:lineRule="auto"/>
            </w:pPr>
            <w:r>
              <w:rPr>
                <w:sz w:val="19"/>
              </w:rPr>
              <w:t>Benign calibration pool, isolated from all supervised splits</w:t>
            </w:r>
          </w:p>
        </w:tc>
        <w:tc>
          <w:tcPr>
            <w:tcW w:w="3049" w:type="dxa"/>
            <w:shd w:val="clear" w:color="auto" w:fill="FFFFFF"/>
            <w:tcMar>
              <w:top w:w="65" w:type="dxa"/>
              <w:left w:w="65" w:type="dxa"/>
              <w:bottom w:w="65" w:type="dxa"/>
              <w:right w:w="65" w:type="dxa"/>
            </w:tcMar>
            <w:vAlign w:val="center"/>
          </w:tcPr>
          <w:p w14:paraId="0483D520" w14:textId="77777777" w:rsidR="00AF5C7A" w:rsidRDefault="00FB1870">
            <w:pPr>
              <w:pStyle w:val="Compact"/>
              <w:keepNext/>
              <w:spacing w:before="20" w:after="40" w:line="245" w:lineRule="auto"/>
            </w:pPr>
            <w:r>
              <w:rPr>
                <w:sz w:val="19"/>
              </w:rPr>
              <w:t>Frozen scaler</w:t>
            </w:r>
          </w:p>
        </w:tc>
      </w:tr>
      <w:tr w:rsidR="00AF5C7A" w14:paraId="6224B8F0" w14:textId="77777777" w:rsidTr="00AF5C7A">
        <w:trPr>
          <w:cantSplit/>
        </w:trPr>
        <w:tc>
          <w:tcPr>
            <w:tcW w:w="2656" w:type="dxa"/>
            <w:shd w:val="clear" w:color="auto" w:fill="F5F7F9"/>
            <w:tcMar>
              <w:top w:w="65" w:type="dxa"/>
              <w:left w:w="65" w:type="dxa"/>
              <w:bottom w:w="65" w:type="dxa"/>
              <w:right w:w="65" w:type="dxa"/>
            </w:tcMar>
            <w:vAlign w:val="center"/>
          </w:tcPr>
          <w:p w14:paraId="5134B7B5" w14:textId="77777777" w:rsidR="00AF5C7A" w:rsidRDefault="00FB1870">
            <w:pPr>
              <w:pStyle w:val="Compact"/>
              <w:keepNext/>
              <w:spacing w:before="20" w:after="40" w:line="245" w:lineRule="auto"/>
            </w:pPr>
            <w:r>
              <w:rPr>
                <w:sz w:val="19"/>
              </w:rPr>
              <w:t>E1</w:t>
            </w:r>
          </w:p>
        </w:tc>
        <w:tc>
          <w:tcPr>
            <w:tcW w:w="4131" w:type="dxa"/>
            <w:shd w:val="clear" w:color="auto" w:fill="F5F7F9"/>
            <w:tcMar>
              <w:top w:w="65" w:type="dxa"/>
              <w:left w:w="65" w:type="dxa"/>
              <w:bottom w:w="65" w:type="dxa"/>
              <w:right w:w="65" w:type="dxa"/>
            </w:tcMar>
            <w:vAlign w:val="center"/>
          </w:tcPr>
          <w:p w14:paraId="6E7876D7" w14:textId="77777777" w:rsidR="00AF5C7A" w:rsidRDefault="00FB1870">
            <w:pPr>
              <w:pStyle w:val="Compact"/>
              <w:keepNext/>
              <w:spacing w:before="20" w:after="40" w:line="245" w:lineRule="auto"/>
            </w:pPr>
            <w:r>
              <w:rPr>
                <w:sz w:val="19"/>
              </w:rPr>
              <w:t>FTP-Patator; SSH-Patator</w:t>
            </w:r>
          </w:p>
        </w:tc>
        <w:tc>
          <w:tcPr>
            <w:tcW w:w="3049" w:type="dxa"/>
            <w:shd w:val="clear" w:color="auto" w:fill="F5F7F9"/>
            <w:tcMar>
              <w:top w:w="65" w:type="dxa"/>
              <w:left w:w="65" w:type="dxa"/>
              <w:bottom w:w="65" w:type="dxa"/>
              <w:right w:w="65" w:type="dxa"/>
            </w:tcMar>
            <w:vAlign w:val="center"/>
          </w:tcPr>
          <w:p w14:paraId="1E73F903" w14:textId="77777777" w:rsidR="00AF5C7A" w:rsidRDefault="00FB1870">
            <w:pPr>
              <w:pStyle w:val="Compact"/>
              <w:keepNext/>
              <w:spacing w:before="20" w:after="40" w:line="245" w:lineRule="auto"/>
            </w:pPr>
            <w:r>
              <w:rPr>
                <w:sz w:val="19"/>
              </w:rPr>
              <w:t>Anchor acquisition</w:t>
            </w:r>
          </w:p>
        </w:tc>
      </w:tr>
      <w:tr w:rsidR="00AF5C7A" w14:paraId="73B86FB8" w14:textId="77777777" w:rsidTr="00AF5C7A">
        <w:trPr>
          <w:cantSplit/>
        </w:trPr>
        <w:tc>
          <w:tcPr>
            <w:tcW w:w="2656" w:type="dxa"/>
            <w:shd w:val="clear" w:color="auto" w:fill="FFFFFF"/>
            <w:tcMar>
              <w:top w:w="65" w:type="dxa"/>
              <w:left w:w="65" w:type="dxa"/>
              <w:bottom w:w="65" w:type="dxa"/>
              <w:right w:w="65" w:type="dxa"/>
            </w:tcMar>
            <w:vAlign w:val="center"/>
          </w:tcPr>
          <w:p w14:paraId="35D7A8A7" w14:textId="77777777" w:rsidR="00AF5C7A" w:rsidRDefault="00FB1870">
            <w:pPr>
              <w:pStyle w:val="Compact"/>
              <w:keepNext/>
              <w:spacing w:before="20" w:after="40" w:line="245" w:lineRule="auto"/>
            </w:pPr>
            <w:r>
              <w:rPr>
                <w:sz w:val="19"/>
              </w:rPr>
              <w:t>E2</w:t>
            </w:r>
          </w:p>
        </w:tc>
        <w:tc>
          <w:tcPr>
            <w:tcW w:w="4131" w:type="dxa"/>
            <w:shd w:val="clear" w:color="auto" w:fill="FFFFFF"/>
            <w:tcMar>
              <w:top w:w="65" w:type="dxa"/>
              <w:left w:w="65" w:type="dxa"/>
              <w:bottom w:w="65" w:type="dxa"/>
              <w:right w:w="65" w:type="dxa"/>
            </w:tcMar>
            <w:vAlign w:val="center"/>
          </w:tcPr>
          <w:p w14:paraId="2D6DE3DD" w14:textId="77777777" w:rsidR="00AF5C7A" w:rsidRDefault="00FB1870">
            <w:pPr>
              <w:pStyle w:val="Compact"/>
              <w:keepNext/>
              <w:spacing w:before="20" w:after="40" w:line="245" w:lineRule="auto"/>
            </w:pPr>
            <w:r>
              <w:rPr>
                <w:sz w:val="19"/>
              </w:rPr>
              <w:t>DoS-Hulk; DoS-GoldenEye; DoS-slowloris; DoS-Slowhttptest; Heartbleed</w:t>
            </w:r>
          </w:p>
        </w:tc>
        <w:tc>
          <w:tcPr>
            <w:tcW w:w="3049" w:type="dxa"/>
            <w:shd w:val="clear" w:color="auto" w:fill="FFFFFF"/>
            <w:tcMar>
              <w:top w:w="65" w:type="dxa"/>
              <w:left w:w="65" w:type="dxa"/>
              <w:bottom w:w="65" w:type="dxa"/>
              <w:right w:w="65" w:type="dxa"/>
            </w:tcMar>
            <w:vAlign w:val="center"/>
          </w:tcPr>
          <w:p w14:paraId="6BCB5CEA" w14:textId="77777777" w:rsidR="00AF5C7A" w:rsidRDefault="00FB1870">
            <w:pPr>
              <w:pStyle w:val="Compact"/>
              <w:keepNext/>
              <w:spacing w:before="20" w:after="40" w:line="245" w:lineRule="auto"/>
            </w:pPr>
            <w:r>
              <w:rPr>
                <w:sz w:val="19"/>
              </w:rPr>
              <w:t>Poisoning stage</w:t>
            </w:r>
          </w:p>
        </w:tc>
      </w:tr>
      <w:tr w:rsidR="00AF5C7A" w14:paraId="6E8E8D75" w14:textId="77777777" w:rsidTr="00AF5C7A">
        <w:trPr>
          <w:cantSplit/>
        </w:trPr>
        <w:tc>
          <w:tcPr>
            <w:tcW w:w="2656" w:type="dxa"/>
            <w:shd w:val="clear" w:color="auto" w:fill="F5F7F9"/>
            <w:tcMar>
              <w:top w:w="65" w:type="dxa"/>
              <w:left w:w="65" w:type="dxa"/>
              <w:bottom w:w="65" w:type="dxa"/>
              <w:right w:w="65" w:type="dxa"/>
            </w:tcMar>
            <w:vAlign w:val="center"/>
          </w:tcPr>
          <w:p w14:paraId="05A2E9A6" w14:textId="77777777" w:rsidR="00AF5C7A" w:rsidRDefault="00FB1870">
            <w:pPr>
              <w:pStyle w:val="Compact"/>
              <w:keepNext/>
              <w:spacing w:before="20" w:after="40" w:line="245" w:lineRule="auto"/>
            </w:pPr>
            <w:r>
              <w:rPr>
                <w:sz w:val="19"/>
              </w:rPr>
              <w:t>E3</w:t>
            </w:r>
          </w:p>
        </w:tc>
        <w:tc>
          <w:tcPr>
            <w:tcW w:w="4131" w:type="dxa"/>
            <w:shd w:val="clear" w:color="auto" w:fill="F5F7F9"/>
            <w:tcMar>
              <w:top w:w="65" w:type="dxa"/>
              <w:left w:w="65" w:type="dxa"/>
              <w:bottom w:w="65" w:type="dxa"/>
              <w:right w:w="65" w:type="dxa"/>
            </w:tcMar>
            <w:vAlign w:val="center"/>
          </w:tcPr>
          <w:p w14:paraId="55EA25E6" w14:textId="77777777" w:rsidR="00AF5C7A" w:rsidRDefault="00FB1870">
            <w:pPr>
              <w:pStyle w:val="Compact"/>
              <w:keepNext/>
              <w:spacing w:before="20" w:after="40" w:line="245" w:lineRule="auto"/>
            </w:pPr>
            <w:r>
              <w:rPr>
                <w:sz w:val="19"/>
              </w:rPr>
              <w:t>Web brute force; Web XSS; Web SQL injection; Infiltration</w:t>
            </w:r>
          </w:p>
        </w:tc>
        <w:tc>
          <w:tcPr>
            <w:tcW w:w="3049" w:type="dxa"/>
            <w:shd w:val="clear" w:color="auto" w:fill="F5F7F9"/>
            <w:tcMar>
              <w:top w:w="65" w:type="dxa"/>
              <w:left w:w="65" w:type="dxa"/>
              <w:bottom w:w="65" w:type="dxa"/>
              <w:right w:w="65" w:type="dxa"/>
            </w:tcMar>
            <w:vAlign w:val="center"/>
          </w:tcPr>
          <w:p w14:paraId="12BCC2EC" w14:textId="77777777" w:rsidR="00AF5C7A" w:rsidRDefault="00FB1870">
            <w:pPr>
              <w:pStyle w:val="Compact"/>
              <w:keepNext/>
              <w:spacing w:before="20" w:after="40" w:line="245" w:lineRule="auto"/>
            </w:pPr>
            <w:r>
              <w:rPr>
                <w:sz w:val="19"/>
              </w:rPr>
              <w:t>Withdrawal/adaptation</w:t>
            </w:r>
          </w:p>
        </w:tc>
      </w:tr>
      <w:tr w:rsidR="00AF5C7A" w14:paraId="1552CCBA" w14:textId="77777777" w:rsidTr="00AF5C7A">
        <w:trPr>
          <w:cantSplit/>
        </w:trPr>
        <w:tc>
          <w:tcPr>
            <w:tcW w:w="2656" w:type="dxa"/>
            <w:shd w:val="clear" w:color="auto" w:fill="FFFFFF"/>
            <w:tcMar>
              <w:top w:w="65" w:type="dxa"/>
              <w:left w:w="65" w:type="dxa"/>
              <w:bottom w:w="65" w:type="dxa"/>
              <w:right w:w="65" w:type="dxa"/>
            </w:tcMar>
            <w:vAlign w:val="center"/>
          </w:tcPr>
          <w:p w14:paraId="6DD5A468" w14:textId="77777777" w:rsidR="00AF5C7A" w:rsidRDefault="00FB1870">
            <w:pPr>
              <w:pStyle w:val="Compact"/>
              <w:spacing w:before="20" w:after="40" w:line="245" w:lineRule="auto"/>
            </w:pPr>
            <w:r>
              <w:rPr>
                <w:sz w:val="19"/>
              </w:rPr>
              <w:t>E4</w:t>
            </w:r>
          </w:p>
        </w:tc>
        <w:tc>
          <w:tcPr>
            <w:tcW w:w="4131" w:type="dxa"/>
            <w:shd w:val="clear" w:color="auto" w:fill="FFFFFF"/>
            <w:tcMar>
              <w:top w:w="65" w:type="dxa"/>
              <w:left w:w="65" w:type="dxa"/>
              <w:bottom w:w="65" w:type="dxa"/>
              <w:right w:w="65" w:type="dxa"/>
            </w:tcMar>
            <w:vAlign w:val="center"/>
          </w:tcPr>
          <w:p w14:paraId="381120FE" w14:textId="77777777" w:rsidR="00AF5C7A" w:rsidRDefault="00FB1870">
            <w:pPr>
              <w:pStyle w:val="Compact"/>
              <w:spacing w:before="20" w:after="40" w:line="245" w:lineRule="auto"/>
            </w:pPr>
            <w:r>
              <w:rPr>
                <w:sz w:val="19"/>
              </w:rPr>
              <w:t>Bot; PortScan; DDoS</w:t>
            </w:r>
          </w:p>
        </w:tc>
        <w:tc>
          <w:tcPr>
            <w:tcW w:w="3049" w:type="dxa"/>
            <w:shd w:val="clear" w:color="auto" w:fill="FFFFFF"/>
            <w:tcMar>
              <w:top w:w="65" w:type="dxa"/>
              <w:left w:w="65" w:type="dxa"/>
              <w:bottom w:w="65" w:type="dxa"/>
              <w:right w:w="65" w:type="dxa"/>
            </w:tcMar>
            <w:vAlign w:val="center"/>
          </w:tcPr>
          <w:p w14:paraId="042B89D1" w14:textId="77777777" w:rsidR="00AF5C7A" w:rsidRDefault="00FB1870">
            <w:pPr>
              <w:pStyle w:val="Compact"/>
              <w:spacing w:before="20" w:after="40" w:line="245" w:lineRule="auto"/>
            </w:pPr>
            <w:r>
              <w:rPr>
                <w:sz w:val="19"/>
              </w:rPr>
              <w:t>Withdrawal/adaptation</w:t>
            </w:r>
          </w:p>
        </w:tc>
      </w:tr>
    </w:tbl>
    <w:p w14:paraId="2484BF15" w14:textId="77777777" w:rsidR="00AF5C7A" w:rsidRDefault="00FB1870">
      <w:pPr>
        <w:pStyle w:val="Heading21"/>
      </w:pPr>
      <w:bookmarkStart w:id="11" w:name="data-collection"/>
      <w:bookmarkEnd w:id="10"/>
      <w:r>
        <w:t>Step 2 Data Collection</w:t>
      </w:r>
    </w:p>
    <w:p w14:paraId="13A3555C" w14:textId="77777777" w:rsidR="00AF5C7A" w:rsidRDefault="00FB1870">
      <w:pPr>
        <w:pStyle w:val="FirstParagraph"/>
      </w:pPr>
      <w:r>
        <w:t>We propose collecting the eight MachineLearningCSV files listed in Appendix A and recording their checksums. The selected feature schema omits flow IDs, IP addresses and timestamps; these fields will require a separate metadata source. Dataset sources are CICIDS2017 [26] and external CICIoT2023 [27]. Manifests record release, license, extractor, counts and filtering losses.</w:t>
      </w:r>
    </w:p>
    <w:p w14:paraId="7C0E5DE5" w14:textId="77777777" w:rsidR="00AF5C7A" w:rsidRDefault="00FB1870">
      <w:pPr>
        <w:pStyle w:val="BodyText"/>
      </w:pPr>
      <w:r>
        <w:t>Session isolation requires an audited PCAP sidecar keyed by upstream capture checksum, protocol and sorted (IP,port) endpoints. SYN after closure opens TCP; RST or FINs observed in both directions close it. Retransmissions stay grouped; idle gaps exceeding 120 seconds split TCP/UDP sessions. Quarantine ambiguous joins and re-extract or quarantine flows crossing boundaries. Capture timezone and packet direction/sequence require verification; CSV order cannot supply them.</w:t>
      </w:r>
    </w:p>
    <w:p w14:paraId="4E35123A" w14:textId="77777777" w:rsidR="00AF5C7A" w:rsidRDefault="00FB1870">
      <w:pPr>
        <w:pStyle w:val="Heading21"/>
      </w:pPr>
      <w:bookmarkStart w:id="12" w:name="data-preprocessing"/>
      <w:bookmarkEnd w:id="11"/>
      <w:r>
        <w:t>Step 3 Data Preprocessing</w:t>
      </w:r>
    </w:p>
    <w:p w14:paraId="6509149C" w14:textId="77777777" w:rsidR="00AF5C7A" w:rsidRDefault="00FB1870">
      <w:pPr>
        <w:pStyle w:val="FirstParagraph"/>
      </w:pPr>
      <w:r>
        <w:t>We preserve the 76-feature schema, normalize label spelling, remove nonfinite records and duplicate header fields, and log exclusions by family. Engelen et al. identify CICIDS2017 flow-construction and labeling defects [28]. Reference labels therefore mean the audited dataset labels. We quarantine schedule-inconsistent or disputed flows, record the affected IDs, and compare against an independently corrected export if an aligned version is available.</w:t>
      </w:r>
    </w:p>
    <w:p w14:paraId="286880D6" w14:textId="77777777" w:rsidR="00AF5C7A" w:rsidRDefault="00FB1870">
      <w:pPr>
        <w:pStyle w:val="BodyText"/>
      </w:pPr>
      <w:r>
        <w:t>Before allocation, quarantine any session containing attack identities assigned to different experiences. A benign/attack mixed session may remain only when its attack identities share one scheduled experience; all its retained rows enter that experience. Benign-only sessions will be assigned using the audited capture schedule. These rules prevent majority-label stratification from exposing a future attack family early. T0 will use separate benign sessions and content, isolated from all E1–E4 training, deve</w:t>
      </w:r>
      <w:r>
        <w:t>lopment and test inputs; feasibility failure blocks protocol lock.</w:t>
      </w:r>
    </w:p>
    <w:p w14:paraId="4C235541" w14:textId="77777777" w:rsidR="00AF5C7A" w:rsidRDefault="00FB1870">
      <w:pPr>
        <w:pStyle w:val="BodyText"/>
      </w:pPr>
      <w:r>
        <w:t>We propose session-grouped, within-family chronological 60/20/20 allocation. Atomic sessions enter majority-reference-label strata, sort by start time with deterministic ties, and use nearest cumulative-row boundaries. This trades global chronology for ordered-family support. Required source/anchor support must survive grouping; sessions stay intact.</w:t>
      </w:r>
    </w:p>
    <w:p w14:paraId="028A6B58" w14:textId="77777777" w:rsidR="00AF5C7A" w:rsidRDefault="00FB1870">
      <w:pPr>
        <w:pStyle w:val="BodyText"/>
      </w:pPr>
      <w:r>
        <w:t>Development/test retain post-audit class counts without balancing or caps. Before ownership/poisoning, target 3,500 benign training rows per stage using whole benign sessions, a fixed manifest RNG and nearest boundary; retain mixed-label sessions. Publish realized counts. Benign subsampling before partitioning would distort evaluation priors and will therefore be prohibited.</w:t>
      </w:r>
    </w:p>
    <w:p w14:paraId="1344C273" w14:textId="77777777" w:rsidR="00AF5C7A" w:rsidRDefault="00FB1870">
      <w:pPr>
        <w:pStyle w:val="BodyText"/>
      </w:pPr>
      <w:r>
        <w:lastRenderedPageBreak/>
        <w:t xml:space="preserve">Canonicalization fixes column order, little-endian float32 and signed-zero normalization. </w:t>
      </w:r>
      <m:oMath>
        <m:sSub>
          <m:sSubPr>
            <m:ctrlPr>
              <w:rPr>
                <w:rFonts w:ascii="Cambria Math" w:hAnsi="Cambria Math"/>
              </w:rPr>
            </m:ctrlPr>
          </m:sSubPr>
          <m:e>
            <m:r>
              <w:rPr>
                <w:rFonts w:ascii="Cambria Math" w:hAnsi="Cambria Math"/>
              </w:rPr>
              <m:t>H</m:t>
            </m:r>
          </m:e>
          <m:sub>
            <m:r>
              <m:rPr>
                <m:sty m:val="p"/>
              </m:rPr>
              <w:rPr>
                <w:rFonts w:ascii="Cambria Math" w:hAnsi="Cambria Math"/>
              </w:rPr>
              <m:t>sha</m:t>
            </m:r>
          </m:sub>
        </m:sSub>
      </m:oMath>
      <w:r>
        <w:t xml:space="preserve"> </w:t>
      </w:r>
      <w:r>
        <w:t>hashes the label-independent canonical input. We check raw retained and final normalized inputs:</w:t>
      </w:r>
    </w:p>
    <w:p w14:paraId="4FE46116"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H</m:t>
                    </m:r>
                  </m:e>
                  <m:sub>
                    <m:r>
                      <m:rPr>
                        <m:sty m:val="p"/>
                      </m:rPr>
                      <w:rPr>
                        <w:rFonts w:ascii="Cambria Math" w:hAnsi="Cambria Math"/>
                      </w:rPr>
                      <m:t>sha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sha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dev</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te</m:t>
                    </m:r>
                  </m:sub>
                </m:sSub>
                <m:r>
                  <m:rPr>
                    <m:sty m:val="p"/>
                  </m:rPr>
                  <w:rPr>
                    <w:rFonts w:ascii="Cambria Math" w:hAnsi="Cambria Math"/>
                  </w:rPr>
                  <m:t>)</m:t>
                </m:r>
              </m:e>
              <m:e>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sha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dev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sha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te</m:t>
                    </m:r>
                  </m:sub>
                </m:sSub>
                <m:r>
                  <m:rPr>
                    <m:sty m:val="p"/>
                  </m:rPr>
                  <w:rPr>
                    <w:rFonts w:ascii="Cambria Math" w:hAnsi="Cambria Math"/>
                  </w:rPr>
                  <m:t>)=⌀,</m:t>
                </m:r>
              </m:e>
            </m:mr>
            <m:mr>
              <m:e>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tr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dev</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tr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te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dev</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te</m:t>
                    </m:r>
                  </m:sub>
                </m:sSub>
              </m:e>
              <m:e>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m:rPr>
                    <m:nor/>
                  </m:rPr>
                  <m:t>FitMinMax</m:t>
                </m:r>
                <m:r>
                  <m:rPr>
                    <m:sty m:val="p"/>
                  </m:rPr>
                  <w:rPr>
                    <w:rFonts w:ascii="Cambria Math" w:hAnsi="Cambria Math"/>
                  </w:rPr>
                  <m:t>(</m:t>
                </m:r>
                <m:r>
                  <m:rPr>
                    <m:nor/>
                  </m:rPr>
                  <m:t>isolated T0 benign inputs</m:t>
                </m:r>
                <m:r>
                  <m:rPr>
                    <m:sty m:val="p"/>
                  </m:rPr>
                  <w:rPr>
                    <w:rFonts w:ascii="Cambria Math" w:hAnsi="Cambria Math"/>
                  </w:rPr>
                  <m:t>).</m:t>
                </m:r>
              </m:e>
            </m:mr>
          </m:m>
        </m:oMath>
      </m:oMathPara>
    </w:p>
    <w:p w14:paraId="076D7963" w14:textId="77777777" w:rsidR="00AF5C7A" w:rsidRDefault="00FB1870">
      <w:pPr>
        <w:pStyle w:val="FirstParagraph"/>
        <w:spacing w:after="80"/>
        <w:jc w:val="right"/>
      </w:pPr>
      <w:r>
        <w:t>(2)</w:t>
      </w:r>
    </w:p>
    <w:p w14:paraId="0DD69021" w14:textId="77777777" w:rsidR="00AF5C7A" w:rsidRDefault="00FB1870">
      <w:pPr>
        <w:pStyle w:val="BodyText"/>
      </w:pPr>
      <w:r>
        <w:t>Conflicting labels for identical canonical inputs will be quarantined. Before allocation, identical nonconflicting inputs will retain one representative chosen by audited timestamp and immutable-ID ties; report removed rows by session/family. Session-atomic allocation applies to the retained records. Recheck content isolation after normalization, quarantine collisions and reassess support before lock. Repeated copies must not occupy distinct replay slots under different IDs. The isolation conditions in Equa</w:t>
      </w:r>
      <w:r>
        <w:t>tion (2) also apply pairwise between T0 and each supervised partition, for both content and sessions.</w:t>
      </w:r>
    </w:p>
    <w:p w14:paraId="7B63E833" w14:textId="77777777" w:rsidR="00AF5C7A" w:rsidRDefault="00FB1870">
      <w:pPr>
        <w:pStyle w:val="BodyText"/>
      </w:pPr>
      <w:r>
        <w:t xml:space="preserve">T0 provides scaling; E1 starts supervised benign-plus-attack learning. For each feature, MinMax uses only its T0 minimum/maximum; a zero T0 range maps to zero and is reported. Nonconstant features will retain unclipped future values, with out-of-range frequency reported by feature/stage. Audit transformed finiteness and quantify future variation lost in T0-constant features. Feature order, units and constant-feature policy are frozen with </w:t>
      </w:r>
      <m:oMath>
        <m:sSub>
          <m:sSubPr>
            <m:ctrlPr>
              <w:rPr>
                <w:rFonts w:ascii="Cambria Math" w:hAnsi="Cambria Math"/>
              </w:rPr>
            </m:ctrlPr>
          </m:sSubPr>
          <m:e>
            <m:r>
              <w:rPr>
                <w:rFonts w:ascii="Cambria Math" w:hAnsi="Cambria Math"/>
              </w:rPr>
              <m:t>Ψ</m:t>
            </m:r>
          </m:e>
          <m:sub>
            <m:r>
              <w:rPr>
                <w:rFonts w:ascii="Cambria Math" w:hAnsi="Cambria Math"/>
              </w:rPr>
              <m:t>0</m:t>
            </m:r>
          </m:sub>
        </m:sSub>
      </m:oMath>
      <w:r>
        <w:t>; development/test inputs do not fit preprocessing. A proposed family must have at least 50 training, 50 development and 50 test rows after isolation to enter confirmatory macro-F1. Required anchors/source failing the floor will block protocol lock; Table 9 specifies the predeclared eligibility decisions. Report the number of distinct sessions per family alongside row counts, because fifty correlated flows do not establish fifty independent observations. Cross-partition duplicates will be quarantined by con</w:t>
      </w:r>
      <w:r>
        <w:t>tent identity before ownership allocation, with losses reported for every split.</w:t>
      </w:r>
    </w:p>
    <w:p w14:paraId="42CFDECB" w14:textId="77777777" w:rsidR="00AF5C7A" w:rsidRDefault="00FB1870">
      <w:pPr>
        <w:pStyle w:val="BodyText"/>
        <w:keepNext/>
        <w:spacing w:before="140" w:after="80"/>
      </w:pPr>
      <w:r>
        <w:rPr>
          <w:b/>
          <w:bCs/>
        </w:rPr>
        <w:t>Table 9. Proposed scoring eligibility. Counts will be established after metadata joins, session grouping and duplicate quarantine.</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56"/>
        <w:gridCol w:w="4131"/>
        <w:gridCol w:w="3049"/>
      </w:tblGrid>
      <w:tr w:rsidR="00AF5C7A" w14:paraId="03A3A604"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2656" w:type="dxa"/>
            <w:shd w:val="clear" w:color="auto" w:fill="DDE6EC"/>
            <w:tcMar>
              <w:top w:w="65" w:type="dxa"/>
              <w:left w:w="65" w:type="dxa"/>
              <w:bottom w:w="65" w:type="dxa"/>
              <w:right w:w="65" w:type="dxa"/>
            </w:tcMar>
            <w:vAlign w:val="center"/>
          </w:tcPr>
          <w:p w14:paraId="3BA2EBBC" w14:textId="77777777" w:rsidR="00AF5C7A" w:rsidRDefault="00FB1870">
            <w:pPr>
              <w:pStyle w:val="Compact"/>
              <w:keepNext/>
              <w:spacing w:before="20" w:after="40" w:line="245" w:lineRule="auto"/>
            </w:pPr>
            <w:r>
              <w:rPr>
                <w:b/>
                <w:sz w:val="19"/>
              </w:rPr>
              <w:t>Family or set</w:t>
            </w:r>
          </w:p>
        </w:tc>
        <w:tc>
          <w:tcPr>
            <w:tcW w:w="4131" w:type="dxa"/>
            <w:shd w:val="clear" w:color="auto" w:fill="DDE6EC"/>
            <w:tcMar>
              <w:top w:w="65" w:type="dxa"/>
              <w:left w:w="65" w:type="dxa"/>
              <w:bottom w:w="65" w:type="dxa"/>
              <w:right w:w="65" w:type="dxa"/>
            </w:tcMar>
            <w:vAlign w:val="center"/>
          </w:tcPr>
          <w:p w14:paraId="743A6AE7" w14:textId="77777777" w:rsidR="00AF5C7A" w:rsidRDefault="00FB1870">
            <w:pPr>
              <w:pStyle w:val="Compact"/>
              <w:keepNext/>
              <w:spacing w:before="20" w:after="40" w:line="245" w:lineRule="auto"/>
            </w:pPr>
            <w:r>
              <w:rPr>
                <w:b/>
                <w:sz w:val="19"/>
              </w:rPr>
              <w:t>Eligibility requirement</w:t>
            </w:r>
          </w:p>
        </w:tc>
        <w:tc>
          <w:tcPr>
            <w:tcW w:w="3049" w:type="dxa"/>
            <w:shd w:val="clear" w:color="auto" w:fill="DDE6EC"/>
            <w:tcMar>
              <w:top w:w="65" w:type="dxa"/>
              <w:left w:w="65" w:type="dxa"/>
              <w:bottom w:w="65" w:type="dxa"/>
              <w:right w:w="65" w:type="dxa"/>
            </w:tcMar>
            <w:vAlign w:val="center"/>
          </w:tcPr>
          <w:p w14:paraId="0024176F" w14:textId="77777777" w:rsidR="00AF5C7A" w:rsidRDefault="00FB1870">
            <w:pPr>
              <w:pStyle w:val="Compact"/>
              <w:keepNext/>
              <w:spacing w:before="20" w:after="40" w:line="245" w:lineRule="auto"/>
            </w:pPr>
            <w:r>
              <w:rPr>
                <w:b/>
                <w:sz w:val="19"/>
              </w:rPr>
              <w:t>Planned treatment</w:t>
            </w:r>
          </w:p>
        </w:tc>
      </w:tr>
      <w:tr w:rsidR="00AF5C7A" w14:paraId="12E4751A" w14:textId="77777777" w:rsidTr="00AF5C7A">
        <w:trPr>
          <w:cantSplit/>
        </w:trPr>
        <w:tc>
          <w:tcPr>
            <w:tcW w:w="2656" w:type="dxa"/>
            <w:shd w:val="clear" w:color="auto" w:fill="FFFFFF"/>
            <w:tcMar>
              <w:top w:w="65" w:type="dxa"/>
              <w:left w:w="65" w:type="dxa"/>
              <w:bottom w:w="65" w:type="dxa"/>
              <w:right w:w="65" w:type="dxa"/>
            </w:tcMar>
            <w:vAlign w:val="center"/>
          </w:tcPr>
          <w:p w14:paraId="38248CC5" w14:textId="77777777" w:rsidR="00AF5C7A" w:rsidRDefault="00FB1870">
            <w:pPr>
              <w:pStyle w:val="Compact"/>
              <w:keepNext/>
              <w:spacing w:before="20" w:after="40" w:line="245" w:lineRule="auto"/>
            </w:pPr>
            <w:r>
              <w:rPr>
                <w:sz w:val="19"/>
              </w:rPr>
              <w:t>FTP-Patator; SSH-Patator</w:t>
            </w:r>
          </w:p>
        </w:tc>
        <w:tc>
          <w:tcPr>
            <w:tcW w:w="4131" w:type="dxa"/>
            <w:shd w:val="clear" w:color="auto" w:fill="FFFFFF"/>
            <w:tcMar>
              <w:top w:w="65" w:type="dxa"/>
              <w:left w:w="65" w:type="dxa"/>
              <w:bottom w:w="65" w:type="dxa"/>
              <w:right w:w="65" w:type="dxa"/>
            </w:tcMar>
            <w:vAlign w:val="center"/>
          </w:tcPr>
          <w:p w14:paraId="6D3934F2" w14:textId="77777777" w:rsidR="00AF5C7A" w:rsidRDefault="00FB1870">
            <w:pPr>
              <w:pStyle w:val="Compact"/>
              <w:keepNext/>
              <w:spacing w:before="20" w:after="40" w:line="245" w:lineRule="auto"/>
            </w:pPr>
            <w:r>
              <w:rPr>
                <w:sz w:val="19"/>
              </w:rPr>
              <w:t>Each meets 50/50/50 train/development/test rows</w:t>
            </w:r>
          </w:p>
        </w:tc>
        <w:tc>
          <w:tcPr>
            <w:tcW w:w="3049" w:type="dxa"/>
            <w:shd w:val="clear" w:color="auto" w:fill="FFFFFF"/>
            <w:tcMar>
              <w:top w:w="65" w:type="dxa"/>
              <w:left w:w="65" w:type="dxa"/>
              <w:bottom w:w="65" w:type="dxa"/>
              <w:right w:w="65" w:type="dxa"/>
            </w:tcMar>
            <w:vAlign w:val="center"/>
          </w:tcPr>
          <w:p w14:paraId="46B117A2" w14:textId="77777777" w:rsidR="00AF5C7A" w:rsidRDefault="00FB1870">
            <w:pPr>
              <w:pStyle w:val="Compact"/>
              <w:keepNext/>
              <w:spacing w:before="20" w:after="40" w:line="245" w:lineRule="auto"/>
            </w:pPr>
            <w:r>
              <w:rPr>
                <w:sz w:val="19"/>
              </w:rPr>
              <w:t>Required E1 anchors; failure blocks lock.</w:t>
            </w:r>
          </w:p>
        </w:tc>
      </w:tr>
      <w:tr w:rsidR="00AF5C7A" w14:paraId="19F778BC" w14:textId="77777777" w:rsidTr="00AF5C7A">
        <w:trPr>
          <w:cantSplit/>
        </w:trPr>
        <w:tc>
          <w:tcPr>
            <w:tcW w:w="2656" w:type="dxa"/>
            <w:shd w:val="clear" w:color="auto" w:fill="F5F7F9"/>
            <w:tcMar>
              <w:top w:w="65" w:type="dxa"/>
              <w:left w:w="65" w:type="dxa"/>
              <w:bottom w:w="65" w:type="dxa"/>
              <w:right w:w="65" w:type="dxa"/>
            </w:tcMar>
            <w:vAlign w:val="center"/>
          </w:tcPr>
          <w:p w14:paraId="616D125A" w14:textId="77777777" w:rsidR="00AF5C7A" w:rsidRDefault="00FB1870">
            <w:pPr>
              <w:pStyle w:val="Compact"/>
              <w:keepNext/>
              <w:spacing w:before="20" w:after="40" w:line="245" w:lineRule="auto"/>
            </w:pPr>
            <w:r>
              <w:rPr>
                <w:sz w:val="19"/>
              </w:rPr>
              <w:t>DoS-Hulk</w:t>
            </w:r>
          </w:p>
        </w:tc>
        <w:tc>
          <w:tcPr>
            <w:tcW w:w="4131" w:type="dxa"/>
            <w:shd w:val="clear" w:color="auto" w:fill="F5F7F9"/>
            <w:tcMar>
              <w:top w:w="65" w:type="dxa"/>
              <w:left w:w="65" w:type="dxa"/>
              <w:bottom w:w="65" w:type="dxa"/>
              <w:right w:w="65" w:type="dxa"/>
            </w:tcMar>
            <w:vAlign w:val="center"/>
          </w:tcPr>
          <w:p w14:paraId="3065F178" w14:textId="77777777" w:rsidR="00AF5C7A" w:rsidRDefault="00FB1870">
            <w:pPr>
              <w:pStyle w:val="Compact"/>
              <w:keepNext/>
              <w:spacing w:before="20" w:after="40" w:line="245" w:lineRule="auto"/>
            </w:pPr>
            <w:r>
              <w:rPr>
                <w:sz w:val="19"/>
              </w:rPr>
              <w:t>Same floor; at least one client has ten eligible E2 rows</w:t>
            </w:r>
          </w:p>
        </w:tc>
        <w:tc>
          <w:tcPr>
            <w:tcW w:w="3049" w:type="dxa"/>
            <w:shd w:val="clear" w:color="auto" w:fill="F5F7F9"/>
            <w:tcMar>
              <w:top w:w="65" w:type="dxa"/>
              <w:left w:w="65" w:type="dxa"/>
              <w:bottom w:w="65" w:type="dxa"/>
              <w:right w:w="65" w:type="dxa"/>
            </w:tcMar>
            <w:vAlign w:val="center"/>
          </w:tcPr>
          <w:p w14:paraId="51ED5C37" w14:textId="77777777" w:rsidR="00AF5C7A" w:rsidRDefault="00FB1870">
            <w:pPr>
              <w:pStyle w:val="Compact"/>
              <w:keepNext/>
              <w:spacing w:before="20" w:after="40" w:line="245" w:lineRule="auto"/>
            </w:pPr>
            <w:r>
              <w:rPr>
                <w:sz w:val="19"/>
              </w:rPr>
              <w:t>Required source; failure blocks lock.</w:t>
            </w:r>
          </w:p>
        </w:tc>
      </w:tr>
      <w:tr w:rsidR="00AF5C7A" w14:paraId="27B3E889" w14:textId="77777777" w:rsidTr="00AF5C7A">
        <w:trPr>
          <w:cantSplit/>
        </w:trPr>
        <w:tc>
          <w:tcPr>
            <w:tcW w:w="2656" w:type="dxa"/>
            <w:shd w:val="clear" w:color="auto" w:fill="FFFFFF"/>
            <w:tcMar>
              <w:top w:w="65" w:type="dxa"/>
              <w:left w:w="65" w:type="dxa"/>
              <w:bottom w:w="65" w:type="dxa"/>
              <w:right w:w="65" w:type="dxa"/>
            </w:tcMar>
            <w:vAlign w:val="center"/>
          </w:tcPr>
          <w:p w14:paraId="45DF741A" w14:textId="77777777" w:rsidR="00AF5C7A" w:rsidRDefault="00FB1870">
            <w:pPr>
              <w:pStyle w:val="Compact"/>
              <w:keepNext/>
              <w:spacing w:before="20" w:after="40" w:line="245" w:lineRule="auto"/>
            </w:pPr>
            <w:r>
              <w:rPr>
                <w:sz w:val="19"/>
              </w:rPr>
              <w:t>Heartbleed; Web SQL injection; Infiltration</w:t>
            </w:r>
          </w:p>
        </w:tc>
        <w:tc>
          <w:tcPr>
            <w:tcW w:w="4131" w:type="dxa"/>
            <w:shd w:val="clear" w:color="auto" w:fill="FFFFFF"/>
            <w:tcMar>
              <w:top w:w="65" w:type="dxa"/>
              <w:left w:w="65" w:type="dxa"/>
              <w:bottom w:w="65" w:type="dxa"/>
              <w:right w:w="65" w:type="dxa"/>
            </w:tcMar>
            <w:vAlign w:val="center"/>
          </w:tcPr>
          <w:p w14:paraId="2875DEF1" w14:textId="77777777" w:rsidR="00AF5C7A" w:rsidRDefault="00FB1870">
            <w:pPr>
              <w:pStyle w:val="Compact"/>
              <w:keepNext/>
              <w:spacing w:before="20" w:after="40" w:line="245" w:lineRule="auto"/>
            </w:pPr>
            <w:r>
              <w:rPr>
                <w:sz w:val="19"/>
              </w:rPr>
              <w:t>Audit row and session support separately</w:t>
            </w:r>
          </w:p>
        </w:tc>
        <w:tc>
          <w:tcPr>
            <w:tcW w:w="3049" w:type="dxa"/>
            <w:shd w:val="clear" w:color="auto" w:fill="FFFFFF"/>
            <w:tcMar>
              <w:top w:w="65" w:type="dxa"/>
              <w:left w:w="65" w:type="dxa"/>
              <w:bottom w:w="65" w:type="dxa"/>
              <w:right w:w="65" w:type="dxa"/>
            </w:tcMar>
            <w:vAlign w:val="center"/>
          </w:tcPr>
          <w:p w14:paraId="4CF680B1" w14:textId="77777777" w:rsidR="00AF5C7A" w:rsidRDefault="00FB1870">
            <w:pPr>
              <w:pStyle w:val="Compact"/>
              <w:keepNext/>
              <w:spacing w:before="20" w:after="40" w:line="245" w:lineRule="auto"/>
            </w:pPr>
            <w:r>
              <w:rPr>
                <w:sz w:val="19"/>
              </w:rPr>
              <w:t>Retain semantic identities; below-floor classes are descriptive only.</w:t>
            </w:r>
          </w:p>
        </w:tc>
      </w:tr>
      <w:tr w:rsidR="00AF5C7A" w14:paraId="463B016A" w14:textId="77777777" w:rsidTr="00AF5C7A">
        <w:trPr>
          <w:cantSplit/>
        </w:trPr>
        <w:tc>
          <w:tcPr>
            <w:tcW w:w="2656" w:type="dxa"/>
            <w:shd w:val="clear" w:color="auto" w:fill="F5F7F9"/>
            <w:tcMar>
              <w:top w:w="65" w:type="dxa"/>
              <w:left w:w="65" w:type="dxa"/>
              <w:bottom w:w="65" w:type="dxa"/>
              <w:right w:w="65" w:type="dxa"/>
            </w:tcMar>
            <w:vAlign w:val="center"/>
          </w:tcPr>
          <w:p w14:paraId="3BEC8844" w14:textId="77777777" w:rsidR="00AF5C7A" w:rsidRDefault="00FB1870">
            <w:pPr>
              <w:pStyle w:val="Compact"/>
              <w:keepNext/>
              <w:spacing w:before="20" w:after="40" w:line="245" w:lineRule="auto"/>
            </w:pPr>
            <w:r>
              <w:rPr>
                <w:sz w:val="19"/>
              </w:rPr>
              <w:t>Other attack families</w:t>
            </w:r>
          </w:p>
        </w:tc>
        <w:tc>
          <w:tcPr>
            <w:tcW w:w="4131" w:type="dxa"/>
            <w:shd w:val="clear" w:color="auto" w:fill="F5F7F9"/>
            <w:tcMar>
              <w:top w:w="65" w:type="dxa"/>
              <w:left w:w="65" w:type="dxa"/>
              <w:bottom w:w="65" w:type="dxa"/>
              <w:right w:w="65" w:type="dxa"/>
            </w:tcMar>
            <w:vAlign w:val="center"/>
          </w:tcPr>
          <w:p w14:paraId="7C3470E4" w14:textId="77777777" w:rsidR="00AF5C7A" w:rsidRDefault="00FB1870">
            <w:pPr>
              <w:pStyle w:val="Compact"/>
              <w:keepNext/>
              <w:spacing w:before="20" w:after="40" w:line="245" w:lineRule="auto"/>
            </w:pPr>
            <w:r>
              <w:rPr>
                <w:sz w:val="19"/>
              </w:rPr>
              <w:t>Same floor applied before outcomes</w:t>
            </w:r>
          </w:p>
        </w:tc>
        <w:tc>
          <w:tcPr>
            <w:tcW w:w="3049" w:type="dxa"/>
            <w:shd w:val="clear" w:color="auto" w:fill="F5F7F9"/>
            <w:tcMar>
              <w:top w:w="65" w:type="dxa"/>
              <w:left w:w="65" w:type="dxa"/>
              <w:bottom w:w="65" w:type="dxa"/>
              <w:right w:w="65" w:type="dxa"/>
            </w:tcMar>
            <w:vAlign w:val="center"/>
          </w:tcPr>
          <w:p w14:paraId="02DBD304" w14:textId="77777777" w:rsidR="00AF5C7A" w:rsidRDefault="00FB1870">
            <w:pPr>
              <w:pStyle w:val="Compact"/>
              <w:keepNext/>
              <w:spacing w:before="20" w:after="40" w:line="245" w:lineRule="auto"/>
            </w:pPr>
            <w:r>
              <w:rPr>
                <w:sz w:val="19"/>
              </w:rPr>
              <w:t>Publish the included/excluded family manifest.</w:t>
            </w:r>
          </w:p>
        </w:tc>
      </w:tr>
      <w:tr w:rsidR="00AF5C7A" w14:paraId="5AE2A0DB" w14:textId="77777777" w:rsidTr="00AF5C7A">
        <w:trPr>
          <w:cantSplit/>
        </w:trPr>
        <w:tc>
          <w:tcPr>
            <w:tcW w:w="2656" w:type="dxa"/>
            <w:shd w:val="clear" w:color="auto" w:fill="FFFFFF"/>
            <w:tcMar>
              <w:top w:w="65" w:type="dxa"/>
              <w:left w:w="65" w:type="dxa"/>
              <w:bottom w:w="65" w:type="dxa"/>
              <w:right w:w="65" w:type="dxa"/>
            </w:tcMar>
            <w:vAlign w:val="center"/>
          </w:tcPr>
          <w:p w14:paraId="60B22BDB" w14:textId="77777777" w:rsidR="00AF5C7A" w:rsidRDefault="00FB1870">
            <w:pPr>
              <w:pStyle w:val="Compact"/>
              <w:spacing w:before="20" w:after="40" w:line="245" w:lineRule="auto"/>
            </w:pPr>
            <w:r>
              <w:rPr>
                <w:sz w:val="19"/>
              </w:rPr>
              <w:t>Benign</w:t>
            </w:r>
          </w:p>
        </w:tc>
        <w:tc>
          <w:tcPr>
            <w:tcW w:w="4131" w:type="dxa"/>
            <w:shd w:val="clear" w:color="auto" w:fill="FFFFFF"/>
            <w:tcMar>
              <w:top w:w="65" w:type="dxa"/>
              <w:left w:w="65" w:type="dxa"/>
              <w:bottom w:w="65" w:type="dxa"/>
              <w:right w:w="65" w:type="dxa"/>
            </w:tcMar>
            <w:vAlign w:val="center"/>
          </w:tcPr>
          <w:p w14:paraId="2E495411" w14:textId="77777777" w:rsidR="00AF5C7A" w:rsidRDefault="00FB1870">
            <w:pPr>
              <w:pStyle w:val="Compact"/>
              <w:spacing w:before="20" w:after="40" w:line="245" w:lineRule="auto"/>
            </w:pPr>
            <w:r>
              <w:rPr>
                <w:sz w:val="19"/>
              </w:rPr>
              <w:t>Nonempty audited banks at every stage</w:t>
            </w:r>
          </w:p>
        </w:tc>
        <w:tc>
          <w:tcPr>
            <w:tcW w:w="3049" w:type="dxa"/>
            <w:shd w:val="clear" w:color="auto" w:fill="FFFFFF"/>
            <w:tcMar>
              <w:top w:w="65" w:type="dxa"/>
              <w:left w:w="65" w:type="dxa"/>
              <w:bottom w:w="65" w:type="dxa"/>
              <w:right w:w="65" w:type="dxa"/>
            </w:tcMar>
            <w:vAlign w:val="center"/>
          </w:tcPr>
          <w:p w14:paraId="4E2ACC0B" w14:textId="77777777" w:rsidR="00AF5C7A" w:rsidRDefault="00FB1870">
            <w:pPr>
              <w:pStyle w:val="Compact"/>
              <w:spacing w:before="20" w:after="40" w:line="245" w:lineRule="auto"/>
            </w:pPr>
            <w:r>
              <w:rPr>
                <w:sz w:val="19"/>
              </w:rPr>
              <w:t>Cap training only; preserve evaluation prevalence.</w:t>
            </w:r>
          </w:p>
        </w:tc>
      </w:tr>
    </w:tbl>
    <w:p w14:paraId="4341C9C0" w14:textId="77777777" w:rsidR="00AF5C7A" w:rsidRDefault="00FB1870">
      <w:pPr>
        <w:pStyle w:val="Heading21"/>
      </w:pPr>
      <w:bookmarkStart w:id="13" w:name="feature-engineering-and-representation"/>
      <w:bookmarkEnd w:id="12"/>
      <w:r>
        <w:t>Step 4 Feature Engineering and Representation</w:t>
      </w:r>
    </w:p>
    <w:p w14:paraId="4DE59C92" w14:textId="77777777" w:rsidR="00AF5C7A" w:rsidRDefault="00FB1870">
      <w:pPr>
        <w:pStyle w:val="FirstParagraph"/>
      </w:pPr>
      <w:r>
        <w:t xml:space="preserve">Numeric features and one MLP isolate memory/selection. Extractor dictionaries supply units/bounds. Poison changes labels only. </w:t>
      </w:r>
      <w:r>
        <w:t>External data require their own schema, T0 scaler and label schedule; only the hidden widths and declared methods transfer.</w:t>
      </w:r>
    </w:p>
    <w:p w14:paraId="7CB4745D" w14:textId="77777777" w:rsidR="00AF5C7A" w:rsidRDefault="00FB1870">
      <w:pPr>
        <w:pStyle w:val="BodyText"/>
      </w:pPr>
      <w:r>
        <w:t>Fuhrman’s encoder/PCA scorer is exploratory: development calibration and detector viability precede clustering. Packet-CNN adapters require separate budgets. Inference receives no task identity.</w:t>
      </w:r>
    </w:p>
    <w:p w14:paraId="31E10022" w14:textId="77777777" w:rsidR="00AF5C7A" w:rsidRDefault="00FB1870">
      <w:pPr>
        <w:pStyle w:val="Heading21"/>
      </w:pPr>
      <w:bookmarkStart w:id="14" w:name="proposed-model-and-method"/>
      <w:bookmarkEnd w:id="13"/>
      <w:r>
        <w:t>Step 5 Proposed Model and Method</w:t>
      </w:r>
    </w:p>
    <w:p w14:paraId="1FCEE501" w14:textId="77777777" w:rsidR="00AF5C7A" w:rsidRDefault="00FB1870">
      <w:pPr>
        <w:pStyle w:val="FirstParagraph"/>
      </w:pPr>
      <w:r>
        <w:rPr>
          <w:b/>
          <w:bCs/>
        </w:rPr>
        <w:t>Head and dimensions.</w:t>
      </w:r>
      <w:r>
        <w:t xml:space="preserve"> The common network is</w:t>
      </w:r>
    </w:p>
    <w:p w14:paraId="5F342A3B"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1</m:t>
                    </m:r>
                  </m:sub>
                </m:sSub>
              </m:e>
              <m:e>
                <m:r>
                  <m:rPr>
                    <m:sty m:val="p"/>
                  </m:rPr>
                  <w:rPr>
                    <w:rFonts w:ascii="Cambria Math" w:hAnsi="Cambria Math"/>
                  </w:rPr>
                  <m:t>=</m:t>
                </m:r>
                <m:sSub>
                  <m:sSubPr>
                    <m:ctrlPr>
                      <w:rPr>
                        <w:rFonts w:ascii="Cambria Math" w:hAnsi="Cambria Math"/>
                      </w:rPr>
                    </m:ctrlPr>
                  </m:sSubPr>
                  <m:e>
                    <m:r>
                      <m:rPr>
                        <m:nor/>
                      </m:rPr>
                      <m:t>Drop</m:t>
                    </m:r>
                  </m:e>
                  <m:sub>
                    <m:r>
                      <w:rPr>
                        <w:rFonts w:ascii="Cambria Math" w:hAnsi="Cambria Math"/>
                      </w:rPr>
                      <m:t>.1</m:t>
                    </m:r>
                  </m:sub>
                </m:sSub>
                <m:r>
                  <m:rPr>
                    <m:sty m:val="p"/>
                  </m:rPr>
                  <w:rPr>
                    <w:rFonts w:ascii="Cambria Math" w:hAnsi="Cambria Math"/>
                  </w:rPr>
                  <m:t>(</m:t>
                </m:r>
                <m:r>
                  <m:rPr>
                    <m:nor/>
                  </m:rPr>
                  <m:t>ReLU</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Drop</m:t>
                    </m:r>
                  </m:e>
                  <m:sub>
                    <m:r>
                      <w:rPr>
                        <w:rFonts w:ascii="Cambria Math" w:hAnsi="Cambria Math"/>
                      </w:rPr>
                      <m:t>.1</m:t>
                    </m:r>
                  </m:sub>
                </m:sSub>
                <m:r>
                  <m:rPr>
                    <m:sty m:val="p"/>
                  </m:rPr>
                  <w:rPr>
                    <w:rFonts w:ascii="Cambria Math" w:hAnsi="Cambria Math"/>
                  </w:rPr>
                  <m:t>(</m:t>
                </m:r>
                <m:r>
                  <m:rPr>
                    <m:nor/>
                  </m:rPr>
                  <m:t>ReLU</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θ</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w:rPr>
                            <w:rFonts w:ascii="Cambria Math" w:hAnsi="Cambria Math"/>
                          </w:rPr>
                          <m:t>t</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m:rPr>
                    <m:nor/>
                  </m:rPr>
                  <m:t>softmax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e>
            </m:mr>
            <m:mr>
              <m:e>
                <m:sSub>
                  <m:sSubPr>
                    <m:ctrlPr>
                      <w:rPr>
                        <w:rFonts w:ascii="Cambria Math" w:hAnsi="Cambria Math"/>
                      </w:rPr>
                    </m:ctrlPr>
                  </m:sSubPr>
                  <m:e>
                    <m:r>
                      <w:rPr>
                        <w:rFonts w:ascii="Cambria Math" w:hAnsi="Cambria Math"/>
                      </w:rPr>
                      <m:t>W</m:t>
                    </m:r>
                  </m:e>
                  <m:sub>
                    <m:r>
                      <w:rPr>
                        <w:rFonts w:ascii="Cambria Math" w:hAnsi="Cambria Math"/>
                      </w:rPr>
                      <m:t>1</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r>
                      <m:rPr>
                        <m:sty m:val="p"/>
                      </m:rPr>
                      <w:rPr>
                        <w:rFonts w:ascii="Cambria Math" w:hAnsi="Cambria Math"/>
                      </w:rPr>
                      <m:t>×</m:t>
                    </m:r>
                    <m:r>
                      <w:rPr>
                        <w:rFonts w:ascii="Cambria Math" w:hAnsi="Cambria Math"/>
                      </w:rPr>
                      <m:t>d</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64</m:t>
                    </m:r>
                    <m:r>
                      <m:rPr>
                        <m:sty m:val="p"/>
                      </m:rPr>
                      <w:rPr>
                        <w:rFonts w:ascii="Cambria Math" w:hAnsi="Cambria Math"/>
                      </w:rPr>
                      <m:t>×</m:t>
                    </m:r>
                    <m:r>
                      <w:rPr>
                        <w:rFonts w:ascii="Cambria Math" w:hAnsi="Cambria Math"/>
                      </w:rPr>
                      <m:t>128</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64</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64</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w:rPr>
                            <w:rFonts w:ascii="Cambria Math" w:hAnsi="Cambria Math"/>
                          </w:rPr>
                          <m:t>t</m:t>
                        </m:r>
                      </m:sub>
                    </m:sSub>
                  </m:sup>
                </m:sSup>
                <m:r>
                  <m:rPr>
                    <m:sty m:val="p"/>
                  </m:rPr>
                  <w:rPr>
                    <w:rFonts w:ascii="Cambria Math" w:hAnsi="Cambria Math"/>
                  </w:rPr>
                  <m:t>.</m:t>
                </m:r>
              </m:e>
            </m:mr>
          </m:m>
        </m:oMath>
      </m:oMathPara>
    </w:p>
    <w:p w14:paraId="6F451596" w14:textId="77777777" w:rsidR="00AF5C7A" w:rsidRDefault="00FB1870">
      <w:pPr>
        <w:pStyle w:val="FirstParagraph"/>
        <w:spacing w:after="80"/>
        <w:jc w:val="right"/>
      </w:pPr>
      <w:r>
        <w:t>(3)</w:t>
      </w:r>
    </w:p>
    <w:p w14:paraId="485A1ADF" w14:textId="77777777" w:rsidR="00AF5C7A" w:rsidRDefault="00FB1870">
      <w:pPr>
        <w:pStyle w:val="BodyText"/>
      </w:pPr>
      <w:r>
        <w:lastRenderedPageBreak/>
        <w:t>Dropout is off for scoring/teachers. The server synchronizes currently supplied identities and initialized new rows while preserving old rows. Each broadcast resets Adam; replay/importance persists. Future labels are inaccessible.</w:t>
      </w:r>
    </w:p>
    <w:p w14:paraId="43C5AEC2"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θ</m:t>
                    </m:r>
                  </m:sub>
                </m:sSub>
              </m:e>
              <m:e>
                <m:r>
                  <m:rPr>
                    <m:sty m:val="p"/>
                  </m:rPr>
                  <w:rPr>
                    <w:rFonts w:ascii="Cambria Math" w:hAnsi="Cambria Math"/>
                  </w:rPr>
                  <m:t>=</m:t>
                </m:r>
                <m:r>
                  <w:rPr>
                    <w:rFonts w:ascii="Cambria Math" w:hAnsi="Cambria Math"/>
                  </w:rPr>
                  <m:t>128</m:t>
                </m:r>
                <m:r>
                  <w:rPr>
                    <w:rFonts w:ascii="Cambria Math" w:hAnsi="Cambria Math"/>
                  </w:rPr>
                  <m:t>d</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8192</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65</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m:rPr>
                        <m:sty m:val="p"/>
                      </m:rPr>
                      <w:rPr>
                        <w:rFonts w:ascii="Cambria Math" w:hAnsi="Cambria Math"/>
                      </w:rPr>
                      <m:t>model</m:t>
                    </m:r>
                  </m:sub>
                </m:sSub>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θ</m:t>
                    </m:r>
                  </m:sub>
                </m:sSub>
                <m:r>
                  <m:rPr>
                    <m:sty m:val="p"/>
                  </m:rPr>
                  <w:rPr>
                    <w:rFonts w:ascii="Cambria Math" w:hAnsi="Cambria Math"/>
                  </w:rPr>
                  <m:t>,</m:t>
                </m:r>
              </m:e>
            </m:mr>
            <m:mr>
              <m:e>
                <m:sSub>
                  <m:sSubPr>
                    <m:ctrlPr>
                      <w:rPr>
                        <w:rFonts w:ascii="Cambria Math" w:hAnsi="Cambria Math"/>
                      </w:rPr>
                    </m:ctrlPr>
                  </m:sSubPr>
                  <m:e>
                    <m:r>
                      <w:rPr>
                        <w:rFonts w:ascii="Cambria Math" w:hAnsi="Cambria Math"/>
                      </w:rPr>
                      <m:t>B</m:t>
                    </m:r>
                  </m:e>
                  <m:sub>
                    <m:r>
                      <m:rPr>
                        <m:sty m:val="p"/>
                      </m:rPr>
                      <w:rPr>
                        <w:rFonts w:ascii="Cambria Math" w:hAnsi="Cambria Math"/>
                      </w:rPr>
                      <m:t>replay</m:t>
                    </m:r>
                  </m:sub>
                </m:sSub>
              </m:e>
              <m:e>
                <m:r>
                  <m:rPr>
                    <m:sty m:val="p"/>
                  </m:rPr>
                  <w:rPr>
                    <w:rFonts w:ascii="Cambria Math" w:hAnsi="Cambria Math"/>
                  </w:rPr>
                  <m:t>=</m:t>
                </m:r>
                <m:r>
                  <w:rPr>
                    <w:rFonts w:ascii="Cambria Math" w:hAnsi="Cambria Math"/>
                  </w:rPr>
                  <m:t>4</m:t>
                </m:r>
                <m:r>
                  <m:rPr>
                    <m:scr m:val="script"/>
                    <m:sty m:val="p"/>
                  </m:rPr>
                  <w:rPr>
                    <w:rFonts w:ascii="Cambria Math" w:hAnsi="Cambria Math"/>
                  </w:rPr>
                  <m:t>|B|</m:t>
                </m:r>
                <m:r>
                  <w:rPr>
                    <w:rFonts w:ascii="Cambria Math" w:hAnsi="Cambria Math"/>
                  </w:rPr>
                  <m:t>d</m:t>
                </m:r>
                <m:r>
                  <m:rPr>
                    <m:sty m:val="p"/>
                  </m:rPr>
                  <w:rPr>
                    <w:rFonts w:ascii="Cambria Math" w:hAnsi="Cambria Math"/>
                  </w:rPr>
                  <m:t>+</m:t>
                </m:r>
                <m:r>
                  <w:rPr>
                    <w:rFonts w:ascii="Cambria Math" w:hAnsi="Cambria Math"/>
                  </w:rPr>
                  <m:t>4</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r>
                  <w:rPr>
                    <w:rFonts w:ascii="Cambria Math" w:hAnsi="Cambria Math"/>
                  </w:rPr>
                  <m:t>20</m:t>
                </m:r>
                <m:r>
                  <m:rPr>
                    <m:scr m:val="script"/>
                    <m:sty m:val="p"/>
                  </m:rPr>
                  <w:rPr>
                    <w:rFonts w:ascii="Cambria Math" w:hAnsi="Cambria Math"/>
                  </w:rPr>
                  <m:t>|B|</m:t>
                </m:r>
                <m:r>
                  <w:rPr>
                    <w:rFonts w:ascii="Cambria Math" w:hAnsi="Cambria Math"/>
                  </w:rPr>
                  <m:t> </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4</m:t>
                </m:r>
                <m:r>
                  <w:rPr>
                    <w:rFonts w:ascii="Cambria Math" w:hAnsi="Cambria Math"/>
                  </w:rPr>
                  <m:t>d</m:t>
                </m:r>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20</m:t>
                </m:r>
                <m:r>
                  <m:rPr>
                    <m:sty m:val="p"/>
                  </m:rPr>
                  <w:rPr>
                    <w:rFonts w:ascii="Cambria Math" w:hAnsi="Cambria Math"/>
                  </w:rPr>
                  <m:t>).</m:t>
                </m:r>
              </m:e>
            </m:mr>
          </m:m>
        </m:oMath>
      </m:oMathPara>
    </w:p>
    <w:p w14:paraId="11CE28D6" w14:textId="77777777" w:rsidR="00AF5C7A" w:rsidRDefault="00FB1870">
      <w:pPr>
        <w:pStyle w:val="FirstParagraph"/>
        <w:spacing w:after="80"/>
        <w:jc w:val="right"/>
      </w:pPr>
      <w:r>
        <w:t>(4)</w:t>
      </w:r>
    </w:p>
    <w:p w14:paraId="2D0163D9" w14:textId="77777777" w:rsidR="00AF5C7A" w:rsidRDefault="00FB1870">
      <w:pPr>
        <w:pStyle w:val="BodyText"/>
      </w:pPr>
      <w:r>
        <w:t xml:space="preserve">Buffers use float32 features/logits, int64 labels/IDs and int32 widths. At </w:t>
      </w:r>
      <m:oMath>
        <m:r>
          <w:rPr>
            <w:rFonts w:ascii="Cambria Math" w:hAnsi="Cambria Math"/>
          </w:rPr>
          <m:t>d</m:t>
        </m:r>
        <m:r>
          <m:rPr>
            <m:sty m:val="p"/>
          </m:rPr>
          <w:rPr>
            <w:rFonts w:ascii="Cambria Math" w:hAnsi="Cambria Math"/>
          </w:rPr>
          <m:t>=</m:t>
        </m:r>
        <m:r>
          <w:rPr>
            <w:rFonts w:ascii="Cambria Math" w:hAnsi="Cambria Math"/>
          </w:rPr>
          <m:t>76</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15</m:t>
        </m:r>
      </m:oMath>
      <w:r>
        <w:t>, there are 19,087 parameters and 76,348 weight bytes; 500 full-width teachers require 192,000 buffer bytes excluding overhead. Adam moments and EWC-style importance/anchor state each require two parameter-shaped arrays; gradients and activations add further runtime storage. We measure process/allocated bytes too.</w:t>
      </w:r>
    </w:p>
    <w:p w14:paraId="296047F6" w14:textId="77777777" w:rsidR="00AF5C7A" w:rsidRDefault="00FB1870">
      <w:pPr>
        <w:pStyle w:val="BodyText"/>
      </w:pPr>
      <w:r>
        <w:rPr>
          <w:b/>
          <w:bCs/>
        </w:rPr>
        <w:t>Continual objectives.</w:t>
      </w:r>
      <w:r>
        <w:t xml:space="preserve"> Fine-tuning minimizes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cur</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t</m:t>
                </m:r>
              </m:sub>
            </m:sSub>
          </m:sub>
        </m:sSub>
        <m:r>
          <m:rPr>
            <m:nor/>
          </m:rPr>
          <m:t>CE</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oMath>
      <w:r>
        <w:t xml:space="preserve">. EWC-style importance accumulates squared </w:t>
      </w:r>
      <w:r>
        <w:rPr>
          <w:i/>
          <w:iCs/>
        </w:rPr>
        <w:t>batch</w:t>
      </w:r>
      <w:r>
        <w:t xml:space="preserve"> gradients, distinct from per-example Fisher estimation [16]:</w:t>
      </w:r>
    </w:p>
    <w:p w14:paraId="6DB570D2"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E</m:t>
                    </m:r>
                  </m:sub>
                </m:sSub>
              </m:e>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cur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E</m:t>
                        </m:r>
                      </m:sub>
                    </m:sSub>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a</m:t>
                        </m:r>
                      </m:sub>
                    </m:sSub>
                  </m:e>
                </m:nary>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a</m:t>
                    </m:r>
                  </m:sub>
                  <m:sup>
                    <m:r>
                      <m:rPr>
                        <m:sty m:val="p"/>
                      </m:rPr>
                      <w:rPr>
                        <w:rFonts w:ascii="Cambria Math" w:hAnsi="Cambria Math"/>
                      </w:rPr>
                      <m:t>anchor</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a</m:t>
                    </m:r>
                  </m:sub>
                </m:sSub>
              </m:e>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J</m:t>
                        </m:r>
                      </m:e>
                      <m:sub>
                        <m:r>
                          <w:rPr>
                            <w:rFonts w:ascii="Cambria Math" w:hAnsi="Cambria Math"/>
                          </w:rPr>
                          <m:t>E</m:t>
                        </m:r>
                      </m:sub>
                    </m:sSub>
                  </m:den>
                </m:f>
                <m:nary>
                  <m:naryPr>
                    <m:chr m:val="∑"/>
                    <m:limLoc m:val="undOvr"/>
                    <m:ctrlPr>
                      <w:rPr>
                        <w:rFonts w:ascii="Cambria Math" w:hAnsi="Cambria Math"/>
                      </w:rPr>
                    </m:ctrlPr>
                  </m:naryPr>
                  <m:sub>
                    <m:r>
                      <w:rPr>
                        <w:rFonts w:ascii="Cambria Math" w:hAnsi="Cambria Math"/>
                      </w:rPr>
                      <m:t>β</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J</m:t>
                        </m:r>
                      </m:e>
                      <m:sub>
                        <m:r>
                          <w:rPr>
                            <w:rFonts w:ascii="Cambria Math" w:hAnsi="Cambria Math"/>
                          </w:rPr>
                          <m:t>E</m:t>
                        </m:r>
                      </m:sub>
                    </m:sSub>
                  </m:sup>
                  <m:e>
                    <m:r>
                      <m:rPr>
                        <m:sty m:val="p"/>
                      </m:rPr>
                      <w:rPr>
                        <w:rFonts w:ascii="Cambria Math" w:hAnsi="Cambria Math"/>
                      </w:rPr>
                      <m:t>(</m:t>
                    </m:r>
                  </m:e>
                </m:nary>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θ</m:t>
                        </m:r>
                      </m:e>
                      <m:sub>
                        <m:r>
                          <w:rPr>
                            <w:rFonts w:ascii="Cambria Math" w:hAnsi="Cambria Math"/>
                          </w:rPr>
                          <m:t>a</m:t>
                        </m:r>
                      </m:sub>
                    </m:sSub>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cur,</m:t>
                    </m:r>
                    <m:r>
                      <w:rPr>
                        <w:rFonts w:ascii="Cambria Math" w:hAnsi="Cambria Math"/>
                      </w:rPr>
                      <m:t>β</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mr>
          </m:m>
        </m:oMath>
      </m:oMathPara>
    </w:p>
    <w:p w14:paraId="64B61AED" w14:textId="77777777" w:rsidR="00AF5C7A" w:rsidRDefault="00FB1870">
      <w:pPr>
        <w:pStyle w:val="FirstParagraph"/>
        <w:spacing w:after="80"/>
        <w:jc w:val="right"/>
      </w:pPr>
      <w:r>
        <w:t>(5)</w:t>
      </w:r>
    </w:p>
    <w:p w14:paraId="3933F301" w14:textId="77777777" w:rsidR="00AF5C7A" w:rsidRDefault="00FB1870">
      <w:pPr>
        <w:pStyle w:val="BodyText"/>
      </w:pPr>
      <w:r>
        <w:t xml:space="preserve">Use a separate seeded uniform permutation for up to 32 importance batches of 256 rows; a smaller shard supplies one batch. Record coverage/sizes with dropout off. New-row importance is zero. Freeze the stored anchor throughout an experience; after final broadcast, active clients update importance/anchor once. A client with no admitted current rows will preserve its previous importance/anchor state and contribute no local update; its model parameters still receive broadcasts. Calibrate </w:t>
      </w:r>
      <m:oMath>
        <m:sSub>
          <m:sSubPr>
            <m:ctrlPr>
              <w:rPr>
                <w:rFonts w:ascii="Cambria Math" w:hAnsi="Cambria Math"/>
              </w:rPr>
            </m:ctrlPr>
          </m:sSubPr>
          <m:e>
            <m:r>
              <w:rPr>
                <w:rFonts w:ascii="Cambria Math" w:hAnsi="Cambria Math"/>
              </w:rPr>
              <m:t>λ</m:t>
            </m:r>
          </m:e>
          <m:sub>
            <m:r>
              <w:rPr>
                <w:rFonts w:ascii="Cambria Math" w:hAnsi="Cambria Math"/>
              </w:rPr>
              <m:t>E</m:t>
            </m:r>
          </m:sub>
        </m:sSub>
      </m:oMath>
      <w:r>
        <w:t xml:space="preserve"> </w:t>
      </w:r>
      <w:r>
        <w:t>on development data.</w:t>
      </w:r>
    </w:p>
    <w:p w14:paraId="18FE3F56" w14:textId="77777777" w:rsidR="00AF5C7A" w:rsidRDefault="00FB1870">
      <w:pPr>
        <w:pStyle w:val="BodyText"/>
      </w:pPr>
      <w:r>
        <w:t xml:space="preserve">For DER++, stored teachers have width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at storage, with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up>
        </m:sSup>
      </m:oMath>
      <w:r>
        <w:t xml:space="preserve"> selecting their coordinates:</w:t>
      </w:r>
    </w:p>
    <w:p w14:paraId="6CD09524" w14:textId="77777777" w:rsidR="00AF5C7A" w:rsidRDefault="00FB1870">
      <w:pPr>
        <w:pStyle w:val="BodyText"/>
        <w:keepNext/>
        <w:keepLines/>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z</m:t>
              </m:r>
            </m:sub>
          </m:sSub>
          <m:sSub>
            <m:sSubPr>
              <m:ctrlPr>
                <w:rPr>
                  <w:rFonts w:ascii="Cambria Math" w:hAnsi="Cambria Math"/>
                </w:rPr>
              </m:ctrlPr>
            </m:sSubPr>
            <m:e>
              <m:r>
                <m:rPr>
                  <m:scr m:val="double-struck"/>
                  <m:sty m:val="p"/>
                </m:rPr>
                <w:rPr>
                  <w:rFonts w:ascii="Cambria Math" w:hAnsi="Cambria Math"/>
                </w:rPr>
                <m:t>E</m:t>
              </m:r>
            </m:e>
            <m:sub>
              <m:r>
                <w:rPr>
                  <w:rFonts w:ascii="Cambria Math" w:hAnsi="Cambria Math"/>
                </w:rPr>
                <m:t>i</m:t>
              </m:r>
              <m:r>
                <m:rPr>
                  <m:scr m:val="script"/>
                  <m:sty m:val="p"/>
                </m:rPr>
                <w:rPr>
                  <w:rFonts w:ascii="Cambria Math" w:hAnsi="Cambria Math"/>
                </w:rPr>
                <m:t>∼B</m:t>
              </m:r>
            </m:sub>
          </m:sSub>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θ</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ω</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y</m:t>
              </m:r>
            </m:sub>
          </m:sSub>
          <m:sSub>
            <m:sSubPr>
              <m:ctrlPr>
                <w:rPr>
                  <w:rFonts w:ascii="Cambria Math" w:hAnsi="Cambria Math"/>
                </w:rPr>
              </m:ctrlPr>
            </m:sSubPr>
            <m:e>
              <m:r>
                <m:rPr>
                  <m:scr m:val="double-struck"/>
                  <m:sty m:val="p"/>
                </m:rPr>
                <w:rPr>
                  <w:rFonts w:ascii="Cambria Math" w:hAnsi="Cambria Math"/>
                </w:rPr>
                <m:t>E</m:t>
              </m:r>
            </m:e>
            <m:sub>
              <m:r>
                <w:rPr>
                  <w:rFonts w:ascii="Cambria Math" w:hAnsi="Cambria Math"/>
                </w:rPr>
                <m:t>i</m:t>
              </m:r>
              <m:r>
                <m:rPr>
                  <m:scr m:val="script"/>
                  <m:sty m:val="p"/>
                </m:rPr>
                <w:rPr>
                  <w:rFonts w:ascii="Cambria Math" w:hAnsi="Cambria Math"/>
                </w:rPr>
                <m:t>∼B</m:t>
              </m:r>
            </m:sub>
          </m:sSub>
          <m:r>
            <m:rPr>
              <m:nor/>
            </m:rPr>
            <m:t>CE</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m:oMathPara>
    </w:p>
    <w:p w14:paraId="18F66A2F" w14:textId="77777777" w:rsidR="00AF5C7A" w:rsidRDefault="00FB1870">
      <w:pPr>
        <w:pStyle w:val="FirstParagraph"/>
        <w:spacing w:after="80"/>
        <w:jc w:val="right"/>
      </w:pPr>
      <w:r>
        <w:t>(6)</w:t>
      </w:r>
    </w:p>
    <w:p w14:paraId="40545A53" w14:textId="77777777" w:rsidR="00AF5C7A" w:rsidRDefault="00FB1870">
      <w:pPr>
        <w:pStyle w:val="BodyText"/>
      </w:pPr>
      <w:r>
        <w:t>Replay will draw from the resident buffer immediately before the current update; insertion follows that update. Thus an E2 example can enter later E2 replay, but cannot replay itself in its first update. Log replay exposures separately for previous-experience and current-experience IDs, so repeated current poison is distinguishable from post-withdrawal persistence. Stored teachers will remain unchanged until eviction; aggregation alone does not refresh them.</w:t>
      </w:r>
    </w:p>
    <w:p w14:paraId="7F1A0667" w14:textId="77777777" w:rsidR="00AF5C7A" w:rsidRDefault="00FB1870">
      <w:pPr>
        <w:pStyle w:val="BodyText"/>
      </w:pPr>
      <w:r>
        <w:t xml:space="preserve">One uniform without-replacement draw supplies both replay terms: </w:t>
      </w:r>
      <m:oMath>
        <m:sSub>
          <m:sSubPr>
            <m:ctrlPr>
              <w:rPr>
                <w:rFonts w:ascii="Cambria Math" w:hAnsi="Cambria Math"/>
              </w:rPr>
            </m:ctrlPr>
          </m:sSubPr>
          <m:e>
            <m:r>
              <w:rPr>
                <w:rFonts w:ascii="Cambria Math" w:hAnsi="Cambria Math"/>
              </w:rPr>
              <m:t>b</m:t>
            </m:r>
          </m:e>
          <m:sub>
            <m:r>
              <m:rPr>
                <m:sty m:val="p"/>
              </m:rPr>
              <w:rPr>
                <w:rFonts w:ascii="Cambria Math" w:hAnsi="Cambria Math"/>
              </w:rPr>
              <m:t>rep</m:t>
            </m:r>
          </m:sub>
        </m:sSub>
        <m:r>
          <m:rPr>
            <m:sty m:val="p"/>
          </m:rPr>
          <w:rPr>
            <w:rFonts w:ascii="Cambria Math" w:hAnsi="Cambria Math"/>
          </w:rPr>
          <m:t>=</m:t>
        </m:r>
        <m:r>
          <m:rPr>
            <m:nor/>
          </m:rPr>
          <m:t>min</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cur</m:t>
            </m:r>
          </m:sub>
        </m:sSub>
        <m:r>
          <m:rPr>
            <m:scr m:val="script"/>
            <m:sty m:val="p"/>
          </m:rPr>
          <w:rPr>
            <w:rFonts w:ascii="Cambria Math" w:hAnsi="Cambria Math"/>
          </w:rPr>
          <m:t>,|B|}</m:t>
        </m:r>
      </m:oMath>
      <w:r>
        <w:t>. Each current minibatch has at most 256 rows and one combined update. Empty replay removes those terms. Evaluation-mode teachers and coordinate masking will preserve the stored-logit semantics of DER++ as the head expands [19].</w:t>
      </w:r>
    </w:p>
    <w:p w14:paraId="24749EF9"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ξ</m:t>
                    </m:r>
                  </m:e>
                  <m:sub>
                    <m:r>
                      <w:rPr>
                        <w:rFonts w:ascii="Cambria Math" w:hAnsi="Cambria Math"/>
                      </w:rPr>
                      <m:t>r</m:t>
                    </m:r>
                  </m:sub>
                </m:sSub>
              </m:e>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
                  <m:sSubPr>
                    <m:ctrlPr>
                      <w:rPr>
                        <w:rFonts w:ascii="Cambria Math" w:hAnsi="Cambria Math"/>
                      </w:rPr>
                    </m:ctrlPr>
                  </m:sSubPr>
                  <m:e>
                    <m:r>
                      <w:rPr>
                        <w:rFonts w:ascii="Cambria Math" w:hAnsi="Cambria Math"/>
                      </w:rPr>
                      <m:t>ν</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r</m:t>
                    </m:r>
                  </m:sub>
                  <m:sup>
                    <m:r>
                      <w:rPr>
                        <w:rFonts w:ascii="Cambria Math" w:hAnsi="Cambria Math"/>
                      </w:rPr>
                      <m:t>2</m:t>
                    </m:r>
                  </m:sup>
                </m:sSubSup>
                <m:r>
                  <m:rPr>
                    <m:sty m:val="p"/>
                  </m:rPr>
                  <w:rPr>
                    <w:rFonts w:ascii="Cambria Math" w:hAnsi="Cambria Math"/>
                  </w:rPr>
                  <m:t>,</m:t>
                </m:r>
              </m:e>
            </m:mr>
            <m:mr>
              <m:e>
                <m:sSub>
                  <m:sSubPr>
                    <m:ctrlPr>
                      <w:rPr>
                        <w:rFonts w:ascii="Cambria Math" w:hAnsi="Cambria Math"/>
                      </w:rPr>
                    </m:ctrlPr>
                  </m:sSubPr>
                  <m:e>
                    <m:r>
                      <w:rPr>
                        <w:rFonts w:ascii="Cambria Math" w:hAnsi="Cambria Math"/>
                      </w:rPr>
                      <m:t>θ</m:t>
                    </m:r>
                  </m:e>
                  <m:sub>
                    <m:r>
                      <w:rPr>
                        <w:rFonts w:ascii="Cambria Math" w:hAnsi="Cambria Math"/>
                      </w:rPr>
                      <m:t>r</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1</m:t>
                        </m:r>
                      </m:sub>
                      <m:sup>
                        <m:r>
                          <w:rPr>
                            <w:rFonts w:ascii="Cambria Math" w:hAnsi="Cambria Math"/>
                          </w:rPr>
                          <m:t>r</m:t>
                        </m:r>
                      </m:sup>
                    </m:sSubSup>
                    <m:r>
                      <m:rPr>
                        <m:sty m:val="p"/>
                      </m:rPr>
                      <w:rPr>
                        <w:rFonts w:ascii="Cambria Math" w:hAnsi="Cambria Math"/>
                      </w:rPr>
                      <m:t>)</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ν</m:t>
                            </m:r>
                          </m:e>
                          <m:sub>
                            <m:r>
                              <w:rPr>
                                <w:rFonts w:ascii="Cambria Math" w:hAnsi="Cambria Math"/>
                              </w:rPr>
                              <m:t>r</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2</m:t>
                            </m:r>
                          </m:sub>
                          <m:sup>
                            <m:r>
                              <w:rPr>
                                <w:rFonts w:ascii="Cambria Math" w:hAnsi="Cambria Math"/>
                              </w:rPr>
                              <m:t>r</m:t>
                            </m:r>
                          </m:sup>
                        </m:sSubSup>
                        <m:r>
                          <m:rPr>
                            <m:sty m:val="p"/>
                          </m:rPr>
                          <w:rPr>
                            <w:rFonts w:ascii="Cambria Math" w:hAnsi="Cambria Math"/>
                          </w:rPr>
                          <m:t>)</m:t>
                        </m:r>
                      </m:e>
                    </m:rad>
                    <m:r>
                      <m:rPr>
                        <m:sty m:val="p"/>
                      </m:rPr>
                      <w:rPr>
                        <w:rFonts w:ascii="Cambria Math" w:hAnsi="Cambria Math"/>
                      </w:rPr>
                      <m:t>+</m:t>
                    </m:r>
                    <m:r>
                      <w:rPr>
                        <w:rFonts w:ascii="Cambria Math" w:hAnsi="Cambria Math"/>
                      </w:rPr>
                      <m:t>ϵ</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r>
                  <w:rPr>
                    <w:rFonts w:ascii="Cambria Math" w:hAnsi="Cambria Math"/>
                  </w:rPr>
                  <m:t>.999</m:t>
                </m:r>
                <m:r>
                  <m:rPr>
                    <m:sty m:val="p"/>
                  </m:rPr>
                  <w:rPr>
                    <w:rFonts w:ascii="Cambria Math" w:hAnsi="Cambria Math"/>
                  </w:rPr>
                  <m:t>,</m:t>
                </m:r>
                <m:r>
                  <w:rPr>
                    <w:rFonts w:ascii="Cambria Math" w:hAnsi="Cambria Math"/>
                  </w:rPr>
                  <m:t> </m:t>
                </m:r>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e>
            </m:mr>
          </m:m>
        </m:oMath>
      </m:oMathPara>
    </w:p>
    <w:p w14:paraId="29036C2F" w14:textId="77777777" w:rsidR="00AF5C7A" w:rsidRDefault="00FB1870">
      <w:pPr>
        <w:pStyle w:val="FirstParagraph"/>
        <w:spacing w:after="80"/>
        <w:jc w:val="right"/>
      </w:pPr>
      <w:r>
        <w:t>(7)</w:t>
      </w:r>
    </w:p>
    <w:p w14:paraId="035A039F" w14:textId="77777777" w:rsidR="00AF5C7A" w:rsidRDefault="00FB1870">
      <w:pPr>
        <w:pStyle w:val="BodyText"/>
      </w:pPr>
      <w:r>
        <w:t>Adam settings are proposed [20]; its step index resets at broadcast. Log all exposures/updates.</w:t>
      </w:r>
    </w:p>
    <w:p w14:paraId="2F49953F" w14:textId="77777777" w:rsidR="00AF5C7A" w:rsidRDefault="00FB1870">
      <w:pPr>
        <w:pStyle w:val="BodyText"/>
      </w:pPr>
      <w:r>
        <w:rPr>
          <w:b/>
          <w:bCs/>
        </w:rPr>
        <w:t>Admission.</w:t>
      </w:r>
      <w:r>
        <w:t xml:space="preserve"> We freeze the pre-experience checkpoint after common expansion and score once. We propose </w:t>
      </w:r>
      <m:oMath>
        <m:r>
          <w:rPr>
            <w:rFonts w:ascii="Cambria Math" w:hAnsi="Cambria Math"/>
          </w:rPr>
          <m:t>q</m:t>
        </m:r>
        <m:r>
          <m:rPr>
            <m:sty m:val="p"/>
          </m:rPr>
          <w:rPr>
            <w:rFonts w:ascii="Cambria Math" w:hAnsi="Cambria Math"/>
          </w:rPr>
          <m:t>=</m:t>
        </m:r>
        <m:r>
          <w:rPr>
            <w:rFonts w:ascii="Cambria Math" w:hAnsi="Cambria Math"/>
          </w:rPr>
          <m:t>.75</m:t>
        </m:r>
      </m:oMath>
      <w:r>
        <w:t xml:space="preserve"> as an initial retention–rejection tradeoff, and </w:t>
      </w:r>
      <m:oMath>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r>
          <w:rPr>
            <w:rFonts w:ascii="Cambria Math" w:hAnsi="Cambria Math"/>
          </w:rPr>
          <m:t>20</m:t>
        </m:r>
      </m:oMath>
      <w:r>
        <w:t xml:space="preserve"> to protect very small local supplied-label groups; sensitivities test these choices.</w:t>
      </w:r>
    </w:p>
    <w:p w14:paraId="34EF6B5A" w14:textId="77777777" w:rsidR="00AF5C7A" w:rsidRDefault="00FB1870">
      <w:pPr>
        <w:pStyle w:val="BodyText"/>
        <w:keepNext/>
        <w:keepLines/>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e>
                  <m:e>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r>
                      <m:rPr>
                        <m:nor/>
                      </m:rPr>
                      <m:t>or</m:t>
                    </m:r>
                    <m:r>
                      <w:rPr>
                        <w:rFonts w:ascii="Cambria Math" w:hAnsi="Cambria Math"/>
                      </w:rPr>
                      <m:t> </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e>
                </m:mr>
                <m:mr>
                  <m:e>
                    <m:r>
                      <m:rPr>
                        <m:nor/>
                      </m:rPr>
                      <m:t>max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r>
                      <m:rPr>
                        <m:sty m:val="p"/>
                      </m:rPr>
                      <w:rPr>
                        <w:rFonts w:ascii="Cambria Math" w:hAnsi="Cambria Math"/>
                      </w:rPr>
                      <m:t>},</m:t>
                    </m:r>
                  </m:e>
                  <m:e>
                    <m:r>
                      <m:rPr>
                        <m:nor/>
                      </m:rPr>
                      <m:t>otherwise</m:t>
                    </m:r>
                    <m:r>
                      <m:rPr>
                        <m:sty m:val="p"/>
                      </m:rPr>
                      <w:rPr>
                        <w:rFonts w:ascii="Cambria Math" w:hAnsi="Cambria Math"/>
                      </w:rPr>
                      <m:t>,</m:t>
                    </m:r>
                  </m:e>
                </m:mr>
              </m:m>
            </m:e>
          </m:d>
          <m:r>
            <w:rPr>
              <w:rFonts w:ascii="Cambria Math" w:hAnsi="Cambria Math"/>
            </w:rPr>
            <m:t>  </m:t>
          </m:r>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t</m:t>
              </m:r>
            </m:sub>
            <m:sup>
              <m:r>
                <m:rPr>
                  <m:sty m:val="p"/>
                </m:rPr>
                <w:rPr>
                  <w:rFonts w:ascii="Cambria Math" w:hAnsi="Cambria Math"/>
                </w:rPr>
                <m:t>adm</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Sub>
            </m:e>
          </m:nary>
          <m:r>
            <m:rPr>
              <m:sty m:val="p"/>
            </m:rPr>
            <w:rPr>
              <w:rFonts w:ascii="Cambria Math" w:hAnsi="Cambria Math"/>
            </w:rPr>
            <m:t>.</m:t>
          </m:r>
        </m:oMath>
      </m:oMathPara>
    </w:p>
    <w:p w14:paraId="5FF630E3" w14:textId="77777777" w:rsidR="00AF5C7A" w:rsidRDefault="00FB1870">
      <w:pPr>
        <w:pStyle w:val="FirstParagraph"/>
        <w:spacing w:after="80"/>
        <w:jc w:val="right"/>
      </w:pPr>
      <w:r>
        <w:t>(8)</w:t>
      </w:r>
    </w:p>
    <w:p w14:paraId="02BE6277" w14:textId="77777777" w:rsidR="00AF5C7A" w:rsidRDefault="00FB1870">
      <w:pPr>
        <w:pStyle w:val="BodyText"/>
      </w:pPr>
      <w:r>
        <w:t xml:space="preserve">Within each class, accept lowest-loss rows with immutable-ID ties. The matched global control derives the same quota from supplied labels and ranks globally. Accepted IDs remain fixed; locally absent established classes use the support rule. DG will admit </w:t>
      </w:r>
      <m:oMath>
        <m:r>
          <m:rPr>
            <m:sty m:val="p"/>
          </m:rPr>
          <w:rPr>
            <w:rFonts w:ascii="Cambria Math" w:hAnsi="Cambria Math"/>
          </w:rPr>
          <m:t>⌊</m:t>
        </m:r>
        <m:r>
          <w:rPr>
            <w:rFonts w:ascii="Cambria Math" w:hAnsi="Cambria Math"/>
          </w:rPr>
          <m:t>.75</m:t>
        </m:r>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.5</m:t>
        </m:r>
        <m:r>
          <m:rPr>
            <m:sty m:val="p"/>
          </m:rPr>
          <w:rPr>
            <w:rFonts w:ascii="Cambria Math" w:hAnsi="Cambria Math"/>
          </w:rPr>
          <m:t>⌋</m:t>
        </m:r>
      </m:oMath>
      <w:r>
        <w:t xml:space="preserve"> globally ranked rows, while DM/DC will use Equation (8); only DM provides the matched-volume comparison.</w:t>
      </w:r>
    </w:p>
    <w:p w14:paraId="5CD41538" w14:textId="77777777" w:rsidR="00AF5C7A" w:rsidRDefault="00FB1870">
      <w:pPr>
        <w:pStyle w:val="BodyText"/>
      </w:pPr>
      <w:r>
        <w:rPr>
          <w:i/>
          <w:iCs/>
        </w:rPr>
        <w:t>Illustrative arithmetic, not data:</w:t>
      </w:r>
      <w:r>
        <w:t xml:space="preserve"> with 100 benign, ten established rare and forty new-family rows, the quotas are </w:t>
      </w:r>
      <m:oMath>
        <m:r>
          <w:rPr>
            <w:rFonts w:ascii="Cambria Math" w:hAnsi="Cambria Math"/>
          </w:rPr>
          <m:t>75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125</m:t>
        </m:r>
      </m:oMath>
      <w:r>
        <w:t>. Both controls admit 125 of 150 rows; their class composition can differ. A changed label can change its quota category, which we audit using evaluator metadata only after selection.</w:t>
      </w:r>
    </w:p>
    <w:p w14:paraId="4F3EE2B5" w14:textId="77777777" w:rsidR="00AF5C7A" w:rsidRDefault="00FB1870">
      <w:pPr>
        <w:pStyle w:val="BodyText"/>
      </w:pPr>
      <w:r>
        <w:rPr>
          <w:b/>
          <w:bCs/>
        </w:rPr>
        <w:t>Unique-ID reservoir.</w:t>
      </w:r>
      <w:r>
        <w:t xml:space="preserve"> We insert only on an ID’s initial admitted processing pass, using post-update teachers. After </w:t>
      </w:r>
      <m:oMath>
        <m:r>
          <w:rPr>
            <w:rFonts w:ascii="Cambria Math" w:hAnsi="Cambria Math"/>
          </w:rPr>
          <m:t>V</m:t>
        </m:r>
      </m:oMath>
      <w:r>
        <w:t xml:space="preserve"> such encounters, the capacity-</w:t>
      </w:r>
      <m:oMath>
        <m:r>
          <w:rPr>
            <w:rFonts w:ascii="Cambria Math" w:hAnsi="Cambria Math"/>
          </w:rPr>
          <m:t>m</m:t>
        </m:r>
      </m:oMath>
      <w:r>
        <w:t xml:space="preserve"> rule is</w:t>
      </w:r>
    </w:p>
    <w:p w14:paraId="3A8C10AC"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cr m:val="script"/>
                    <m:sty m:val="p"/>
                  </m:rPr>
                  <w:rPr>
                    <w:rFonts w:ascii="Cambria Math" w:hAnsi="Cambria Math"/>
                  </w:rPr>
                  <m:t>B</m:t>
                </m:r>
              </m:e>
              <m:e>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cr m:val="script"/>
                              <m:sty m:val="p"/>
                            </m:rP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e>
                        <m:e>
                          <m:r>
                            <w:rPr>
                              <w:rFonts w:ascii="Cambria Math" w:hAnsi="Cambria Math"/>
                            </w:rPr>
                            <m:t>V</m:t>
                          </m:r>
                          <m:r>
                            <m:rPr>
                              <m:sty m:val="p"/>
                            </m:rPr>
                            <w:rPr>
                              <w:rFonts w:ascii="Cambria Math" w:hAnsi="Cambria Math"/>
                            </w:rPr>
                            <m:t>≤</m:t>
                          </m:r>
                          <m:r>
                            <w:rPr>
                              <w:rFonts w:ascii="Cambria Math" w:hAnsi="Cambria Math"/>
                            </w:rPr>
                            <m:t>m</m:t>
                          </m:r>
                          <m:r>
                            <m:rPr>
                              <m:sty m:val="p"/>
                            </m:rPr>
                            <w:rPr>
                              <w:rFonts w:ascii="Cambria Math" w:hAnsi="Cambria Math"/>
                            </w:rPr>
                            <m:t>,</m:t>
                          </m:r>
                        </m:e>
                      </m:mr>
                      <m:mr>
                        <m:e>
                          <m:r>
                            <m:rPr>
                              <m:scr m:val="script"/>
                              <m:sty m:val="p"/>
                            </m:rPr>
                            <w:rPr>
                              <w:rFonts w:ascii="Cambria Math" w:hAnsi="Cambria Math"/>
                            </w:rPr>
                            <m:t>B</m:t>
                          </m:r>
                          <m:r>
                            <m:rPr>
                              <m:nor/>
                            </m:rPr>
                            <m:t xml:space="preserve"> with slot </m:t>
                          </m:r>
                          <m:sSub>
                            <m:sSubPr>
                              <m:ctrlPr>
                                <w:rPr>
                                  <w:rFonts w:ascii="Cambria Math" w:hAnsi="Cambria Math"/>
                                </w:rPr>
                              </m:ctrlPr>
                            </m:sSubPr>
                            <m:e>
                              <m:r>
                                <w:rPr>
                                  <w:rFonts w:ascii="Cambria Math" w:hAnsi="Cambria Math"/>
                                </w:rPr>
                                <m:t>L</m:t>
                              </m:r>
                            </m:e>
                            <m:sub>
                              <m:r>
                                <w:rPr>
                                  <w:rFonts w:ascii="Cambria Math" w:hAnsi="Cambria Math"/>
                                </w:rPr>
                                <m:t>V</m:t>
                              </m:r>
                            </m:sub>
                          </m:sSub>
                          <m:r>
                            <m:rPr>
                              <m:nor/>
                            </m:rPr>
                            <m:t xml:space="preserve"> replaced by </m:t>
                          </m:r>
                          <m:r>
                            <w:rPr>
                              <w:rFonts w:ascii="Cambria Math" w:hAnsi="Cambria Math"/>
                            </w:rPr>
                            <m:t>i</m:t>
                          </m:r>
                          <m:r>
                            <m:rPr>
                              <m:sty m:val="p"/>
                            </m:rPr>
                            <w:rPr>
                              <w:rFonts w:ascii="Cambria Math" w:hAnsi="Cambria Math"/>
                            </w:rPr>
                            <m:t>,</m:t>
                          </m:r>
                        </m:e>
                        <m:e>
                          <m:r>
                            <w:rPr>
                              <w:rFonts w:ascii="Cambria Math" w:hAnsi="Cambria Math"/>
                            </w:rPr>
                            <m:t>V</m:t>
                          </m:r>
                          <m:r>
                            <m:rPr>
                              <m:sty m:val="p"/>
                            </m:rPr>
                            <w:rPr>
                              <w:rFonts w:ascii="Cambria Math" w:hAnsi="Cambria Math"/>
                            </w:rPr>
                            <m:t>&gt;</m:t>
                          </m:r>
                          <m:r>
                            <w:rPr>
                              <w:rFonts w:ascii="Cambria Math" w:hAnsi="Cambria Math"/>
                            </w:rPr>
                            <m:t>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r>
                            <w:rPr>
                              <w:rFonts w:ascii="Cambria Math" w:hAnsi="Cambria Math"/>
                            </w:rPr>
                            <m:t>m</m:t>
                          </m:r>
                          <m:r>
                            <m:rPr>
                              <m:sty m:val="p"/>
                            </m:rPr>
                            <w:rPr>
                              <w:rFonts w:ascii="Cambria Math" w:hAnsi="Cambria Math"/>
                            </w:rPr>
                            <m:t>,</m:t>
                          </m:r>
                        </m:e>
                      </m:mr>
                      <m:mr>
                        <m:e>
                          <m:r>
                            <m:rPr>
                              <m:scr m:val="script"/>
                              <m:sty m:val="p"/>
                            </m:rPr>
                            <w:rPr>
                              <w:rFonts w:ascii="Cambria Math" w:hAnsi="Cambria Math"/>
                            </w:rPr>
                            <m:t>B</m:t>
                          </m:r>
                          <m:r>
                            <m:rPr>
                              <m:sty m:val="p"/>
                            </m:rPr>
                            <w:rPr>
                              <w:rFonts w:ascii="Cambria Math" w:hAnsi="Cambria Math"/>
                            </w:rPr>
                            <m:t>,</m:t>
                          </m:r>
                        </m:e>
                        <m:e>
                          <m:r>
                            <w:rPr>
                              <w:rFonts w:ascii="Cambria Math" w:hAnsi="Cambria Math"/>
                            </w:rPr>
                            <m:t>V</m:t>
                          </m:r>
                          <m:r>
                            <m:rPr>
                              <m:sty m:val="p"/>
                            </m:rPr>
                            <w:rPr>
                              <w:rFonts w:ascii="Cambria Math" w:hAnsi="Cambria Math"/>
                            </w:rPr>
                            <m:t>&gt;</m:t>
                          </m:r>
                          <m:r>
                            <w:rPr>
                              <w:rFonts w:ascii="Cambria Math" w:hAnsi="Cambria Math"/>
                            </w:rPr>
                            <m:t>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&gt;</m:t>
                          </m:r>
                          <m:r>
                            <w:rPr>
                              <w:rFonts w:ascii="Cambria Math" w:hAnsi="Cambria Math"/>
                            </w:rPr>
                            <m:t>m</m:t>
                          </m:r>
                          <m:r>
                            <m:rPr>
                              <m:sty m:val="p"/>
                            </m:rPr>
                            <w:rPr>
                              <w:rFonts w:ascii="Cambria Math" w:hAnsi="Cambria Math"/>
                            </w:rPr>
                            <m:t>,</m:t>
                          </m:r>
                        </m:e>
                      </m:mr>
                    </m:m>
                  </m:e>
                </m:d>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r>
                  <m:rPr>
                    <m:nor/>
                  </m:rPr>
                  <m:t>Uniform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e>
            </m:mr>
            <m:mr>
              <m:e>
                <m:r>
                  <m:rPr>
                    <m:nor/>
                  </m:rPr>
                  <m:t>Pr</m:t>
                </m:r>
                <m:r>
                  <m:rPr>
                    <m:sty m:val="p"/>
                  </m:rPr>
                  <w:rPr>
                    <w:rFonts w:ascii="Cambria Math" w:hAnsi="Cambria Math"/>
                  </w:rPr>
                  <m:t>(</m:t>
                </m:r>
                <m:r>
                  <w:rPr>
                    <w:rFonts w:ascii="Cambria Math" w:hAnsi="Cambria Math"/>
                  </w:rPr>
                  <m:t>i</m:t>
                </m:r>
                <m:r>
                  <m:rPr>
                    <m:scr m:val="script"/>
                    <m:sty m:val="p"/>
                  </m:rPr>
                  <w:rPr>
                    <w:rFonts w:ascii="Cambria Math" w:hAnsi="Cambria Math"/>
                  </w:rPr>
                  <m:t>∈B∣</m:t>
                </m:r>
                <m:r>
                  <w:rPr>
                    <w:rFonts w:ascii="Cambria Math" w:hAnsi="Cambria Math"/>
                  </w:rPr>
                  <m:t>V</m:t>
                </m:r>
                <m:r>
                  <m:rPr>
                    <m:sty m:val="p"/>
                  </m:rPr>
                  <w:rPr>
                    <w:rFonts w:ascii="Cambria Math" w:hAnsi="Cambria Math"/>
                  </w:rPr>
                  <m:t>)</m:t>
                </m:r>
              </m:e>
              <m:e>
                <m:r>
                  <m:rPr>
                    <m:sty m:val="p"/>
                  </m:rPr>
                  <w:rPr>
                    <w:rFonts w:ascii="Cambria Math" w:hAnsi="Cambria Math"/>
                  </w:rPr>
                  <m:t>=</m:t>
                </m:r>
                <m:r>
                  <m:rPr>
                    <m:nor/>
                  </m:rPr>
                  <m:t>min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e>
            </m:mr>
          </m:m>
        </m:oMath>
      </m:oMathPara>
    </w:p>
    <w:p w14:paraId="2A6864F0" w14:textId="77777777" w:rsidR="00AF5C7A" w:rsidRDefault="00FB1870">
      <w:pPr>
        <w:pStyle w:val="FirstParagraph"/>
        <w:spacing w:after="80"/>
        <w:jc w:val="right"/>
      </w:pPr>
      <w:r>
        <w:t>(9)</w:t>
      </w:r>
    </w:p>
    <w:p w14:paraId="01F5057C" w14:textId="77777777" w:rsidR="00AF5C7A" w:rsidRDefault="00FB1870">
      <w:pPr>
        <w:pStyle w:val="BodyText"/>
      </w:pPr>
      <w:r>
        <w:t>The final invariant concerns every previously encountered unique ID, not its insertion-time probability [21]. Experience/client manifests and an initial-pass gate avoid reinsertion across epochs/rounds. Lifetime-uniform replay underrepresents rare families in expectation; the class-balanced eviction ablation probes that tradeoff.</w:t>
      </w:r>
    </w:p>
    <w:p w14:paraId="2FE025AA" w14:textId="77777777" w:rsidR="00AF5C7A" w:rsidRDefault="00FB1870">
      <w:pPr>
        <w:pStyle w:val="BodyText"/>
      </w:pPr>
      <w:r>
        <w:rPr>
          <w:b/>
          <w:bCs/>
        </w:rPr>
        <w:t>Federation.</w:t>
      </w:r>
      <w:r>
        <w:t xml:space="preserve"> For active contributing clients </w:t>
      </w:r>
      <m:oMath>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sub>
        </m:sSub>
      </m:oMath>
      <w:r>
        <w:t xml:space="preserve"> at each round,</w:t>
      </w:r>
    </w:p>
    <w:p w14:paraId="4511A667" w14:textId="77777777" w:rsidR="00AF5C7A" w:rsidRDefault="00FB1870">
      <w:pPr>
        <w:pStyle w:val="BodyText"/>
        <w:keepNext/>
        <w:keepLines/>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t</m:t>
                  </m:r>
                </m:sub>
                <m:sup>
                  <m:r>
                    <m:rPr>
                      <m:sty m:val="p"/>
                    </m:rPr>
                    <w:rPr>
                      <w:rFonts w:ascii="Cambria Math" w:hAnsi="Cambria Math"/>
                    </w:rPr>
                    <m:t>adm</m:t>
                  </m:r>
                </m:sup>
              </m:sSubSup>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sub>
                  </m:sSub>
                </m:sub>
                <m:sup>
                  <m:r>
                    <w:rPr>
                      <w:rFonts w:ascii="Cambria Math" w:hAnsi="Cambria Math"/>
                    </w:rPr>
                    <m:t>​</m:t>
                  </m:r>
                </m:sup>
                <m:e>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t</m:t>
                      </m:r>
                    </m:sub>
                    <m:sup>
                      <m:r>
                        <m:rPr>
                          <m:sty m:val="p"/>
                        </m:rPr>
                        <w:rPr>
                          <w:rFonts w:ascii="Cambria Math" w:hAnsi="Cambria Math"/>
                        </w:rPr>
                        <m:t>adm</m:t>
                      </m:r>
                    </m:sup>
                  </m:sSubSup>
                </m:e>
              </m:nary>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t</m:t>
                  </m:r>
                </m:sub>
              </m:sSub>
            </m:e>
          </m:nary>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51299E60" w14:textId="77777777" w:rsidR="00AF5C7A" w:rsidRDefault="00FB1870">
      <w:pPr>
        <w:pStyle w:val="FirstParagraph"/>
        <w:spacing w:after="80"/>
        <w:jc w:val="right"/>
      </w:pPr>
      <w:r>
        <w:t>(10)</w:t>
      </w:r>
    </w:p>
    <w:p w14:paraId="44ADA45D" w14:textId="77777777" w:rsidR="00AF5C7A" w:rsidRDefault="00FB1870">
      <w:pPr>
        <w:pStyle w:val="BodyText"/>
      </w:pPr>
      <w:r>
        <w:t>Weights use admitted current rows. With no submissions, keep the server model. Matched arms share weights; Algorithm 1 fixes operation order.</w:t>
      </w:r>
    </w:p>
    <w:p w14:paraId="5487554E" w14:textId="77777777" w:rsidR="00AF5C7A" w:rsidRDefault="00FB1870">
      <w:pPr>
        <w:pStyle w:val="BodyText"/>
      </w:pPr>
      <w:r>
        <w:rPr>
          <w:b/>
          <w:bCs/>
        </w:rPr>
        <w:t>Algorithm 1. One proposed supervised experience</w:t>
      </w:r>
    </w:p>
    <w:p w14:paraId="66E08326" w14:textId="77777777" w:rsidR="00AF5C7A" w:rsidRDefault="00FB1870">
      <w:pPr>
        <w:numPr>
          <w:ilvl w:val="0"/>
          <w:numId w:val="2"/>
        </w:numPr>
      </w:pPr>
      <w:r>
        <w:t>Inputs: Shared model, persistent client states, current shards, declared round/epoch budget</w:t>
      </w:r>
    </w:p>
    <w:p w14:paraId="4E1445A2" w14:textId="77777777" w:rsidR="00AF5C7A" w:rsidRDefault="00FB1870">
      <w:pPr>
        <w:numPr>
          <w:ilvl w:val="0"/>
          <w:numId w:val="2"/>
        </w:numPr>
      </w:pPr>
      <w:r>
        <w:t>Apply training-only E2 corruption; collect current supplied identities</w:t>
      </w:r>
    </w:p>
    <w:p w14:paraId="7AC04937" w14:textId="77777777" w:rsidR="00AF5C7A" w:rsidRDefault="00FB1870">
      <w:pPr>
        <w:numPr>
          <w:ilvl w:val="0"/>
          <w:numId w:val="2"/>
        </w:numPr>
      </w:pPr>
      <w:r>
        <w:t>Expand all heads identically; freeze admission checkpoint in evaluation mode</w:t>
      </w:r>
    </w:p>
    <w:p w14:paraId="3DC5BC5D" w14:textId="77777777" w:rsidR="00AF5C7A" w:rsidRDefault="00FB1870">
      <w:pPr>
        <w:numPr>
          <w:ilvl w:val="0"/>
          <w:numId w:val="2"/>
        </w:numPr>
      </w:pPr>
      <w:r>
        <w:t>Compute class-aware or control quotas and accepted ID sets</w:t>
      </w:r>
    </w:p>
    <w:p w14:paraId="65D81F83" w14:textId="77777777" w:rsidR="00AF5C7A" w:rsidRDefault="00FB1870">
      <w:pPr>
        <w:numPr>
          <w:ilvl w:val="0"/>
          <w:numId w:val="2"/>
        </w:numPr>
      </w:pPr>
      <w:r>
        <w:t>For each synchronization round:</w:t>
      </w:r>
    </w:p>
    <w:p w14:paraId="2F3DDBBA" w14:textId="77777777" w:rsidR="00AF5C7A" w:rsidRDefault="00FB1870">
      <w:pPr>
        <w:numPr>
          <w:ilvl w:val="0"/>
          <w:numId w:val="2"/>
        </w:numPr>
      </w:pPr>
      <w:r>
        <w:t>Broadcast shared parameters; reset each active client’s Adam state</w:t>
      </w:r>
    </w:p>
    <w:p w14:paraId="73234110" w14:textId="77777777" w:rsidR="00AF5C7A" w:rsidRDefault="00FB1870">
      <w:pPr>
        <w:numPr>
          <w:ilvl w:val="0"/>
          <w:numId w:val="2"/>
        </w:numPr>
      </w:pPr>
      <w:r>
        <w:t>For each active client and current-data minibatch:</w:t>
      </w:r>
    </w:p>
    <w:p w14:paraId="2A84027E" w14:textId="77777777" w:rsidR="00AF5C7A" w:rsidRDefault="00FB1870">
      <w:pPr>
        <w:numPr>
          <w:ilvl w:val="0"/>
          <w:numId w:val="2"/>
        </w:numPr>
      </w:pPr>
      <w:r>
        <w:t>Draw resident replay uniformly; update using the selected continual objective</w:t>
      </w:r>
    </w:p>
    <w:p w14:paraId="25606308" w14:textId="77777777" w:rsidR="00AF5C7A" w:rsidRDefault="00FB1870">
      <w:pPr>
        <w:numPr>
          <w:ilvl w:val="0"/>
          <w:numId w:val="2"/>
        </w:numPr>
      </w:pPr>
      <w:r>
        <w:t>Capture evaluation-mode teacher; update reservoir only on initial ID pass</w:t>
      </w:r>
    </w:p>
    <w:p w14:paraId="7DC3F9C7" w14:textId="77777777" w:rsidR="00AF5C7A" w:rsidRDefault="00FB1870">
      <w:pPr>
        <w:numPr>
          <w:ilvl w:val="0"/>
          <w:numId w:val="2"/>
        </w:numPr>
      </w:pPr>
      <w:r>
        <w:t>End loop.</w:t>
      </w:r>
    </w:p>
    <w:p w14:paraId="62523942" w14:textId="77777777" w:rsidR="00AF5C7A" w:rsidRDefault="00FB1870">
      <w:pPr>
        <w:numPr>
          <w:ilvl w:val="0"/>
          <w:numId w:val="2"/>
        </w:numPr>
      </w:pPr>
      <w:r>
        <w:t>Aggregate submissions by Equation (10); retain persistent memories</w:t>
      </w:r>
    </w:p>
    <w:p w14:paraId="076B7D76" w14:textId="77777777" w:rsidR="00AF5C7A" w:rsidRDefault="00FB1870">
      <w:pPr>
        <w:numPr>
          <w:ilvl w:val="0"/>
          <w:numId w:val="2"/>
        </w:numPr>
      </w:pPr>
      <w:r>
        <w:t>End loop.</w:t>
      </w:r>
    </w:p>
    <w:p w14:paraId="41B8BB3C" w14:textId="77777777" w:rsidR="00AF5C7A" w:rsidRDefault="00FB1870">
      <w:pPr>
        <w:numPr>
          <w:ilvl w:val="0"/>
          <w:numId w:val="2"/>
        </w:numPr>
      </w:pPr>
      <w:r>
        <w:t>Broadcast final model; update EWC-style importance once on admitted rows if applicable</w:t>
      </w:r>
    </w:p>
    <w:p w14:paraId="66F3BC72" w14:textId="77777777" w:rsidR="00AF5C7A" w:rsidRDefault="00FB1870">
      <w:pPr>
        <w:numPr>
          <w:ilvl w:val="0"/>
          <w:numId w:val="2"/>
        </w:numPr>
      </w:pPr>
      <w:r>
        <w:t>Evaluate fixed banks; save source, acquisition, collateral and cost accounting</w:t>
      </w:r>
    </w:p>
    <w:p w14:paraId="2F913E7A" w14:textId="77777777" w:rsidR="00AF5C7A" w:rsidRDefault="00FB1870">
      <w:pPr>
        <w:pStyle w:val="Heading21"/>
      </w:pPr>
      <w:bookmarkStart w:id="15" w:name="baseline-methods"/>
      <w:bookmarkEnd w:id="14"/>
      <w:r>
        <w:lastRenderedPageBreak/>
        <w:t>Step 6 Baseline Methods</w:t>
      </w:r>
    </w:p>
    <w:p w14:paraId="721698B9" w14:textId="77777777" w:rsidR="00AF5C7A" w:rsidRDefault="00FB1870">
      <w:pPr>
        <w:pStyle w:val="FirstParagraph"/>
      </w:pPr>
      <w:r>
        <w:t>FT/EI/DR compare learners; DR fixes the defense backbone (Table 10). Optional ER/LwF, balanced memory and validation/ensemble gates need declared information and exploratory budgets.</w:t>
      </w:r>
    </w:p>
    <w:p w14:paraId="67EDD935" w14:textId="77777777" w:rsidR="00AF5C7A" w:rsidRDefault="00FB1870">
      <w:pPr>
        <w:pStyle w:val="Heading21"/>
      </w:pPr>
      <w:bookmarkStart w:id="16" w:name="experimental-design"/>
      <w:bookmarkEnd w:id="15"/>
      <w:r>
        <w:t>Step 7 Experimental Design</w:t>
      </w:r>
    </w:p>
    <w:p w14:paraId="2AB2A497" w14:textId="77777777" w:rsidR="00AF5C7A" w:rsidRDefault="00FB1870">
      <w:pPr>
        <w:pStyle w:val="FirstParagraph"/>
      </w:pPr>
      <w:r>
        <w:t xml:space="preserve">Five persistent clients use </w:t>
      </w:r>
      <m:oMath>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m:rPr>
            <m:nor/>
          </m:rPr>
          <m:t>Dirichlet</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w:t>
      </w:r>
      <w:r>
        <w:t>per training-family stratum and whole-session majority labels. Publish realized ownership. Select the attacked client uniformly among clients with at least ten Hulk rows, so the smallest nonzero dose changes a label. Shuffle eligible IDs once with a dedicated RNG; doses take nested prefixes. Reuse client/IDs across arms. Offline allocation labels remain inaccessible to learners.</w:t>
      </w:r>
    </w:p>
    <w:p w14:paraId="226102A2"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2</m:t>
                    </m:r>
                  </m:sub>
                </m:sSub>
              </m:e>
              <m:e>
                <m:r>
                  <m:rPr>
                    <m:sty m:val="p"/>
                  </m:rPr>
                  <w:rPr>
                    <w:rFonts w:ascii="Cambria Math" w:hAnsi="Cambria Math"/>
                  </w:rPr>
                  <m:t>=⌊</m:t>
                </m:r>
                <m:r>
                  <w:rPr>
                    <w:rFonts w:ascii="Cambria Math" w:hAnsi="Cambria Math"/>
                  </w:rPr>
                  <m:t>ρ</m:t>
                </m:r>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2</m:t>
                    </m:r>
                  </m:sub>
                  <m:sup>
                    <m:r>
                      <m:rPr>
                        <m:sty m:val="p"/>
                      </m:rPr>
                      <w:rPr>
                        <w:rFonts w:ascii="Cambria Math" w:hAnsi="Cambria Math"/>
                      </w:rPr>
                      <m:t>elig</m:t>
                    </m:r>
                  </m:sup>
                </m:sSubSup>
                <m:r>
                  <m:rPr>
                    <m:sty m:val="p"/>
                  </m:rPr>
                  <w:rPr>
                    <w:rFonts w:ascii="Cambria Math" w:hAnsi="Cambria Math"/>
                  </w:rPr>
                  <m:t>⌋</m:t>
                </m:r>
                <m:r>
                  <m:rPr>
                    <m:sty m:val="p"/>
                  </m:rPr>
                  <w:rPr>
                    <w:rFonts w:ascii="Cambria Math" w:hAnsi="Cambria Math"/>
                  </w:rPr>
                  <m:t>,</m:t>
                </m:r>
                <m:r>
                  <w:rPr>
                    <w:rFonts w:ascii="Cambria Math" w:hAnsi="Cambria Math"/>
                  </w:rPr>
                  <m:t> </m:t>
                </m:r>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.50</m:t>
                </m:r>
                <m:r>
                  <m:rPr>
                    <m:sty m:val="p"/>
                  </m:rPr>
                  <w:rPr>
                    <w:rFonts w:ascii="Cambria Math" w:hAnsi="Cambria Math"/>
                  </w:rPr>
                  <m:t>},</m:t>
                </m:r>
              </m:e>
            </m:mr>
            <m:mr>
              <m:e>
                <m:sSub>
                  <m:sSubPr>
                    <m:ctrlPr>
                      <w:rPr>
                        <w:rFonts w:ascii="Cambria Math" w:hAnsi="Cambria Math"/>
                      </w:rPr>
                    </m:ctrlPr>
                  </m:sSubPr>
                  <m:e>
                    <m:r>
                      <w:rPr>
                        <w:rFonts w:ascii="Cambria Math" w:hAnsi="Cambria Math"/>
                      </w:rPr>
                      <m:t>G</m:t>
                    </m:r>
                  </m:e>
                  <m:sub>
                    <m:r>
                      <w:rPr>
                        <w:rFonts w:ascii="Cambria Math" w:hAnsi="Cambria Math"/>
                      </w:rPr>
                      <m:t>2</m:t>
                    </m:r>
                  </m:sub>
                </m:sSub>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2</m:t>
                        </m:r>
                      </m:sub>
                    </m:sSub>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2</m:t>
                            </m:r>
                          </m:sub>
                        </m:sSub>
                      </m:e>
                    </m:nary>
                  </m:den>
                </m:f>
                <m:r>
                  <m:rPr>
                    <m:sty m:val="p"/>
                  </m:rPr>
                  <w:rPr>
                    <w:rFonts w:ascii="Cambria Math" w:hAnsi="Cambria Math"/>
                  </w:rPr>
                  <m:t>,</m:t>
                </m:r>
                <m:r>
                  <w:rPr>
                    <w:rFonts w:ascii="Cambria Math" w:hAnsi="Cambria Math"/>
                  </w:rPr>
                  <m:t> </m:t>
                </m:r>
                <m:r>
                  <m:rPr>
                    <m:scr m:val="double-struck"/>
                    <m:sty m:val="p"/>
                  </m:rP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cr m:val="double-struck"/>
                            <m:sty m:val="p"/>
                          </m:rP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ρ</m:t>
                    </m:r>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2</m:t>
                        </m:r>
                      </m:sub>
                      <m:sup>
                        <m:r>
                          <m:rPr>
                            <m:sty m:val="p"/>
                          </m:rPr>
                          <w:rPr>
                            <w:rFonts w:ascii="Cambria Math" w:hAnsi="Cambria Math"/>
                          </w:rPr>
                          <m:t>elig</m:t>
                        </m:r>
                      </m:sup>
                    </m:sSubSup>
                    <m:r>
                      <m:rPr>
                        <m:sty m:val="p"/>
                      </m:rPr>
                      <w:rPr>
                        <w:rFonts w:ascii="Cambria Math" w:hAnsi="Cambria Math"/>
                      </w:rPr>
                      <m:t>⌋</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2</m:t>
                            </m:r>
                          </m:sub>
                        </m:sSub>
                      </m:e>
                    </m:nary>
                  </m:den>
                </m:f>
                <m:r>
                  <m:rPr>
                    <m:sty m:val="p"/>
                  </m:rPr>
                  <w:rPr>
                    <w:rFonts w:ascii="Cambria Math" w:hAnsi="Cambria Math"/>
                  </w:rPr>
                  <m:t>.</m:t>
                </m:r>
              </m:e>
            </m:mr>
          </m:m>
        </m:oMath>
      </m:oMathPara>
    </w:p>
    <w:p w14:paraId="7EAEC927" w14:textId="77777777" w:rsidR="00AF5C7A" w:rsidRDefault="00FB1870">
      <w:pPr>
        <w:pStyle w:val="FirstParagraph"/>
        <w:spacing w:after="80"/>
        <w:jc w:val="right"/>
      </w:pPr>
      <w:r>
        <w:t>(11)</w:t>
      </w:r>
    </w:p>
    <w:p w14:paraId="1267E83D" w14:textId="77777777" w:rsidR="00AF5C7A" w:rsidRDefault="00FB1870">
      <w:pPr>
        <w:pStyle w:val="BodyText"/>
      </w:pPr>
      <w:r>
        <w:t xml:space="preserve">For equal client volumes, </w:t>
      </w:r>
      <m:oMath>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5</m:t>
        </m:r>
      </m:oMath>
      <w:r>
        <w:t xml:space="preserve">; maximum dose is at most 10% globally. Skew requires the actual formula. E3/E4 withdraw corruption without supplying fresh clean Hulk; </w:t>
      </w:r>
      <m:oMath>
        <m:r>
          <w:rPr>
            <w:rFonts w:ascii="Cambria Math" w:hAnsi="Cambria Math"/>
          </w:rPr>
          <m:t>H</m:t>
        </m:r>
      </m:oMath>
      <w:r>
        <w:t xml:space="preserve"> measures persistence without source reacquisition. Log raw/admitted/resident poison. Clone the complete E1 DR server/client-memory states across its dose/defense arms and verify hashes; FT/EI retain learner-specific starts.</w:t>
      </w:r>
    </w:p>
    <w:p w14:paraId="3745246F" w14:textId="77777777" w:rsidR="00AF5C7A" w:rsidRDefault="00FB1870">
      <w:pPr>
        <w:pStyle w:val="BodyText"/>
        <w:keepNext/>
        <w:spacing w:before="140" w:after="80"/>
      </w:pPr>
      <w:r>
        <w:rPr>
          <w:b/>
          <w:bCs/>
        </w:rPr>
        <w:t>Table 10. Primary arms. All admission filters are disabled in E1.</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574"/>
        <w:gridCol w:w="2852"/>
        <w:gridCol w:w="1770"/>
        <w:gridCol w:w="1672"/>
        <w:gridCol w:w="1967"/>
      </w:tblGrid>
      <w:tr w:rsidR="00AF5C7A" w14:paraId="5772E940"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1574" w:type="dxa"/>
            <w:shd w:val="clear" w:color="auto" w:fill="DDE6EC"/>
            <w:tcMar>
              <w:top w:w="65" w:type="dxa"/>
              <w:left w:w="65" w:type="dxa"/>
              <w:bottom w:w="65" w:type="dxa"/>
              <w:right w:w="65" w:type="dxa"/>
            </w:tcMar>
            <w:vAlign w:val="center"/>
          </w:tcPr>
          <w:p w14:paraId="7293799B" w14:textId="77777777" w:rsidR="00AF5C7A" w:rsidRDefault="00FB1870">
            <w:pPr>
              <w:pStyle w:val="Compact"/>
              <w:keepNext/>
              <w:spacing w:before="20" w:after="40" w:line="245" w:lineRule="auto"/>
            </w:pPr>
            <w:r>
              <w:rPr>
                <w:b/>
                <w:sz w:val="19"/>
              </w:rPr>
              <w:t>Code</w:t>
            </w:r>
          </w:p>
        </w:tc>
        <w:tc>
          <w:tcPr>
            <w:tcW w:w="2852" w:type="dxa"/>
            <w:shd w:val="clear" w:color="auto" w:fill="DDE6EC"/>
            <w:tcMar>
              <w:top w:w="65" w:type="dxa"/>
              <w:left w:w="65" w:type="dxa"/>
              <w:bottom w:w="65" w:type="dxa"/>
              <w:right w:w="65" w:type="dxa"/>
            </w:tcMar>
            <w:vAlign w:val="center"/>
          </w:tcPr>
          <w:p w14:paraId="1EAD33DC" w14:textId="77777777" w:rsidR="00AF5C7A" w:rsidRDefault="00FB1870">
            <w:pPr>
              <w:pStyle w:val="Compact"/>
              <w:keepNext/>
              <w:spacing w:before="20" w:after="40" w:line="245" w:lineRule="auto"/>
            </w:pPr>
            <w:r>
              <w:rPr>
                <w:b/>
                <w:sz w:val="19"/>
              </w:rPr>
              <w:t>Learner</w:t>
            </w:r>
          </w:p>
        </w:tc>
        <w:tc>
          <w:tcPr>
            <w:tcW w:w="1770" w:type="dxa"/>
            <w:shd w:val="clear" w:color="auto" w:fill="DDE6EC"/>
            <w:tcMar>
              <w:top w:w="65" w:type="dxa"/>
              <w:left w:w="65" w:type="dxa"/>
              <w:bottom w:w="65" w:type="dxa"/>
              <w:right w:w="65" w:type="dxa"/>
            </w:tcMar>
            <w:vAlign w:val="center"/>
          </w:tcPr>
          <w:p w14:paraId="75AB3ED5" w14:textId="77777777" w:rsidR="00AF5C7A" w:rsidRDefault="00FB1870">
            <w:pPr>
              <w:pStyle w:val="Compact"/>
              <w:keepNext/>
              <w:spacing w:before="20" w:after="40" w:line="245" w:lineRule="auto"/>
            </w:pPr>
            <w:r>
              <w:rPr>
                <w:b/>
                <w:sz w:val="19"/>
              </w:rPr>
              <w:t>Admission</w:t>
            </w:r>
          </w:p>
        </w:tc>
        <w:tc>
          <w:tcPr>
            <w:tcW w:w="1672" w:type="dxa"/>
            <w:shd w:val="clear" w:color="auto" w:fill="DDE6EC"/>
            <w:tcMar>
              <w:top w:w="65" w:type="dxa"/>
              <w:left w:w="65" w:type="dxa"/>
              <w:bottom w:w="65" w:type="dxa"/>
              <w:right w:w="65" w:type="dxa"/>
            </w:tcMar>
            <w:vAlign w:val="center"/>
          </w:tcPr>
          <w:p w14:paraId="45966F42" w14:textId="77777777" w:rsidR="00AF5C7A" w:rsidRDefault="00FB1870">
            <w:pPr>
              <w:pStyle w:val="Compact"/>
              <w:keepNext/>
              <w:spacing w:before="20" w:after="40" w:line="245" w:lineRule="auto"/>
            </w:pPr>
            <w:r>
              <w:rPr>
                <w:b/>
                <w:sz w:val="19"/>
              </w:rPr>
              <w:t>Replay</w:t>
            </w:r>
          </w:p>
        </w:tc>
        <w:tc>
          <w:tcPr>
            <w:tcW w:w="1967" w:type="dxa"/>
            <w:shd w:val="clear" w:color="auto" w:fill="DDE6EC"/>
            <w:tcMar>
              <w:top w:w="65" w:type="dxa"/>
              <w:left w:w="65" w:type="dxa"/>
              <w:bottom w:w="65" w:type="dxa"/>
              <w:right w:w="65" w:type="dxa"/>
            </w:tcMar>
            <w:vAlign w:val="center"/>
          </w:tcPr>
          <w:p w14:paraId="373716D0" w14:textId="77777777" w:rsidR="00AF5C7A" w:rsidRDefault="00FB1870">
            <w:pPr>
              <w:pStyle w:val="Compact"/>
              <w:keepNext/>
              <w:spacing w:before="20" w:after="40" w:line="245" w:lineRule="auto"/>
            </w:pPr>
            <w:r>
              <w:rPr>
                <w:b/>
                <w:sz w:val="19"/>
              </w:rPr>
              <w:t>Role</w:t>
            </w:r>
          </w:p>
        </w:tc>
      </w:tr>
      <w:tr w:rsidR="00AF5C7A" w14:paraId="360B1766" w14:textId="77777777" w:rsidTr="00AF5C7A">
        <w:trPr>
          <w:cantSplit/>
        </w:trPr>
        <w:tc>
          <w:tcPr>
            <w:tcW w:w="1574" w:type="dxa"/>
            <w:shd w:val="clear" w:color="auto" w:fill="FFFFFF"/>
            <w:tcMar>
              <w:top w:w="65" w:type="dxa"/>
              <w:left w:w="65" w:type="dxa"/>
              <w:bottom w:w="65" w:type="dxa"/>
              <w:right w:w="65" w:type="dxa"/>
            </w:tcMar>
            <w:vAlign w:val="center"/>
          </w:tcPr>
          <w:p w14:paraId="6E6B2539" w14:textId="77777777" w:rsidR="00AF5C7A" w:rsidRDefault="00FB1870">
            <w:pPr>
              <w:pStyle w:val="Compact"/>
              <w:keepNext/>
              <w:spacing w:before="20" w:after="40" w:line="245" w:lineRule="auto"/>
            </w:pPr>
            <w:r>
              <w:rPr>
                <w:sz w:val="19"/>
              </w:rPr>
              <w:t>FT</w:t>
            </w:r>
          </w:p>
        </w:tc>
        <w:tc>
          <w:tcPr>
            <w:tcW w:w="2852" w:type="dxa"/>
            <w:shd w:val="clear" w:color="auto" w:fill="FFFFFF"/>
            <w:tcMar>
              <w:top w:w="65" w:type="dxa"/>
              <w:left w:w="65" w:type="dxa"/>
              <w:bottom w:w="65" w:type="dxa"/>
              <w:right w:w="65" w:type="dxa"/>
            </w:tcMar>
            <w:vAlign w:val="center"/>
          </w:tcPr>
          <w:p w14:paraId="1F7FE7E8" w14:textId="77777777" w:rsidR="00AF5C7A" w:rsidRDefault="00FB1870">
            <w:pPr>
              <w:pStyle w:val="Compact"/>
              <w:keepNext/>
              <w:spacing w:before="20" w:after="40" w:line="245" w:lineRule="auto"/>
            </w:pPr>
            <w:r>
              <w:rPr>
                <w:sz w:val="19"/>
              </w:rPr>
              <w:t>Fine-tuning</w:t>
            </w:r>
          </w:p>
        </w:tc>
        <w:tc>
          <w:tcPr>
            <w:tcW w:w="1770" w:type="dxa"/>
            <w:shd w:val="clear" w:color="auto" w:fill="FFFFFF"/>
            <w:tcMar>
              <w:top w:w="65" w:type="dxa"/>
              <w:left w:w="65" w:type="dxa"/>
              <w:bottom w:w="65" w:type="dxa"/>
              <w:right w:w="65" w:type="dxa"/>
            </w:tcMar>
            <w:vAlign w:val="center"/>
          </w:tcPr>
          <w:p w14:paraId="08F06DDA" w14:textId="77777777" w:rsidR="00AF5C7A" w:rsidRDefault="00FB1870">
            <w:pPr>
              <w:pStyle w:val="Compact"/>
              <w:keepNext/>
              <w:spacing w:before="20" w:after="40" w:line="245" w:lineRule="auto"/>
            </w:pPr>
            <w:r>
              <w:rPr>
                <w:sz w:val="19"/>
              </w:rPr>
              <w:t>None</w:t>
            </w:r>
          </w:p>
        </w:tc>
        <w:tc>
          <w:tcPr>
            <w:tcW w:w="1672" w:type="dxa"/>
            <w:shd w:val="clear" w:color="auto" w:fill="FFFFFF"/>
            <w:tcMar>
              <w:top w:w="65" w:type="dxa"/>
              <w:left w:w="65" w:type="dxa"/>
              <w:bottom w:w="65" w:type="dxa"/>
              <w:right w:w="65" w:type="dxa"/>
            </w:tcMar>
            <w:vAlign w:val="center"/>
          </w:tcPr>
          <w:p w14:paraId="0AB2EB03" w14:textId="77777777" w:rsidR="00AF5C7A" w:rsidRDefault="00FB1870">
            <w:pPr>
              <w:pStyle w:val="Compact"/>
              <w:keepNext/>
              <w:spacing w:before="20" w:after="40" w:line="245" w:lineRule="auto"/>
            </w:pPr>
            <w:r>
              <w:rPr>
                <w:sz w:val="19"/>
              </w:rPr>
              <w:t>None</w:t>
            </w:r>
          </w:p>
        </w:tc>
        <w:tc>
          <w:tcPr>
            <w:tcW w:w="1967" w:type="dxa"/>
            <w:shd w:val="clear" w:color="auto" w:fill="FFFFFF"/>
            <w:tcMar>
              <w:top w:w="65" w:type="dxa"/>
              <w:left w:w="65" w:type="dxa"/>
              <w:bottom w:w="65" w:type="dxa"/>
              <w:right w:w="65" w:type="dxa"/>
            </w:tcMar>
            <w:vAlign w:val="center"/>
          </w:tcPr>
          <w:p w14:paraId="0CEE8904" w14:textId="77777777" w:rsidR="00AF5C7A" w:rsidRDefault="00FB1870">
            <w:pPr>
              <w:pStyle w:val="Compact"/>
              <w:keepNext/>
              <w:spacing w:before="20" w:after="40" w:line="245" w:lineRule="auto"/>
            </w:pPr>
            <w:r>
              <w:rPr>
                <w:sz w:val="19"/>
              </w:rPr>
              <w:t>Learner interaction</w:t>
            </w:r>
          </w:p>
        </w:tc>
      </w:tr>
      <w:tr w:rsidR="00AF5C7A" w14:paraId="0309F3C4" w14:textId="77777777" w:rsidTr="00AF5C7A">
        <w:trPr>
          <w:cantSplit/>
        </w:trPr>
        <w:tc>
          <w:tcPr>
            <w:tcW w:w="1574" w:type="dxa"/>
            <w:shd w:val="clear" w:color="auto" w:fill="F5F7F9"/>
            <w:tcMar>
              <w:top w:w="65" w:type="dxa"/>
              <w:left w:w="65" w:type="dxa"/>
              <w:bottom w:w="65" w:type="dxa"/>
              <w:right w:w="65" w:type="dxa"/>
            </w:tcMar>
            <w:vAlign w:val="center"/>
          </w:tcPr>
          <w:p w14:paraId="628D7FB1" w14:textId="77777777" w:rsidR="00AF5C7A" w:rsidRDefault="00FB1870">
            <w:pPr>
              <w:pStyle w:val="Compact"/>
              <w:keepNext/>
              <w:spacing w:before="20" w:after="40" w:line="245" w:lineRule="auto"/>
            </w:pPr>
            <w:r>
              <w:rPr>
                <w:sz w:val="19"/>
              </w:rPr>
              <w:t>EI</w:t>
            </w:r>
          </w:p>
        </w:tc>
        <w:tc>
          <w:tcPr>
            <w:tcW w:w="2852" w:type="dxa"/>
            <w:shd w:val="clear" w:color="auto" w:fill="F5F7F9"/>
            <w:tcMar>
              <w:top w:w="65" w:type="dxa"/>
              <w:left w:w="65" w:type="dxa"/>
              <w:bottom w:w="65" w:type="dxa"/>
              <w:right w:w="65" w:type="dxa"/>
            </w:tcMar>
            <w:vAlign w:val="center"/>
          </w:tcPr>
          <w:p w14:paraId="696888C2" w14:textId="77777777" w:rsidR="00AF5C7A" w:rsidRDefault="00FB1870">
            <w:pPr>
              <w:pStyle w:val="Compact"/>
              <w:keepNext/>
              <w:spacing w:before="20" w:after="40" w:line="245" w:lineRule="auto"/>
            </w:pPr>
            <w:r>
              <w:rPr>
                <w:sz w:val="19"/>
              </w:rPr>
              <w:t>EWC-style</w:t>
            </w:r>
          </w:p>
        </w:tc>
        <w:tc>
          <w:tcPr>
            <w:tcW w:w="1770" w:type="dxa"/>
            <w:shd w:val="clear" w:color="auto" w:fill="F5F7F9"/>
            <w:tcMar>
              <w:top w:w="65" w:type="dxa"/>
              <w:left w:w="65" w:type="dxa"/>
              <w:bottom w:w="65" w:type="dxa"/>
              <w:right w:w="65" w:type="dxa"/>
            </w:tcMar>
            <w:vAlign w:val="center"/>
          </w:tcPr>
          <w:p w14:paraId="6A53640C" w14:textId="77777777" w:rsidR="00AF5C7A" w:rsidRDefault="00FB1870">
            <w:pPr>
              <w:pStyle w:val="Compact"/>
              <w:keepNext/>
              <w:spacing w:before="20" w:after="40" w:line="245" w:lineRule="auto"/>
            </w:pPr>
            <w:r>
              <w:rPr>
                <w:sz w:val="19"/>
              </w:rPr>
              <w:t>None</w:t>
            </w:r>
          </w:p>
        </w:tc>
        <w:tc>
          <w:tcPr>
            <w:tcW w:w="1672" w:type="dxa"/>
            <w:shd w:val="clear" w:color="auto" w:fill="F5F7F9"/>
            <w:tcMar>
              <w:top w:w="65" w:type="dxa"/>
              <w:left w:w="65" w:type="dxa"/>
              <w:bottom w:w="65" w:type="dxa"/>
              <w:right w:w="65" w:type="dxa"/>
            </w:tcMar>
            <w:vAlign w:val="center"/>
          </w:tcPr>
          <w:p w14:paraId="1C321DF1" w14:textId="77777777" w:rsidR="00AF5C7A" w:rsidRDefault="00FB1870">
            <w:pPr>
              <w:pStyle w:val="Compact"/>
              <w:keepNext/>
              <w:spacing w:before="20" w:after="40" w:line="245" w:lineRule="auto"/>
            </w:pPr>
            <w:r>
              <w:rPr>
                <w:sz w:val="19"/>
              </w:rPr>
              <w:t>Importance/anchor only</w:t>
            </w:r>
          </w:p>
        </w:tc>
        <w:tc>
          <w:tcPr>
            <w:tcW w:w="1967" w:type="dxa"/>
            <w:shd w:val="clear" w:color="auto" w:fill="F5F7F9"/>
            <w:tcMar>
              <w:top w:w="65" w:type="dxa"/>
              <w:left w:w="65" w:type="dxa"/>
              <w:bottom w:w="65" w:type="dxa"/>
              <w:right w:w="65" w:type="dxa"/>
            </w:tcMar>
            <w:vAlign w:val="center"/>
          </w:tcPr>
          <w:p w14:paraId="49B36A83" w14:textId="77777777" w:rsidR="00AF5C7A" w:rsidRDefault="00FB1870">
            <w:pPr>
              <w:pStyle w:val="Compact"/>
              <w:keepNext/>
              <w:spacing w:before="20" w:after="40" w:line="245" w:lineRule="auto"/>
            </w:pPr>
            <w:r>
              <w:rPr>
                <w:sz w:val="19"/>
              </w:rPr>
              <w:t>Learner interaction</w:t>
            </w:r>
          </w:p>
        </w:tc>
      </w:tr>
      <w:tr w:rsidR="00AF5C7A" w14:paraId="56EB8250" w14:textId="77777777" w:rsidTr="00AF5C7A">
        <w:trPr>
          <w:cantSplit/>
        </w:trPr>
        <w:tc>
          <w:tcPr>
            <w:tcW w:w="1574" w:type="dxa"/>
            <w:shd w:val="clear" w:color="auto" w:fill="FFFFFF"/>
            <w:tcMar>
              <w:top w:w="65" w:type="dxa"/>
              <w:left w:w="65" w:type="dxa"/>
              <w:bottom w:w="65" w:type="dxa"/>
              <w:right w:w="65" w:type="dxa"/>
            </w:tcMar>
            <w:vAlign w:val="center"/>
          </w:tcPr>
          <w:p w14:paraId="2FD96751" w14:textId="77777777" w:rsidR="00AF5C7A" w:rsidRDefault="00FB1870">
            <w:pPr>
              <w:pStyle w:val="Compact"/>
              <w:keepNext/>
              <w:spacing w:before="20" w:after="40" w:line="245" w:lineRule="auto"/>
            </w:pPr>
            <w:r>
              <w:rPr>
                <w:sz w:val="19"/>
              </w:rPr>
              <w:t>DR</w:t>
            </w:r>
          </w:p>
        </w:tc>
        <w:tc>
          <w:tcPr>
            <w:tcW w:w="2852" w:type="dxa"/>
            <w:shd w:val="clear" w:color="auto" w:fill="FFFFFF"/>
            <w:tcMar>
              <w:top w:w="65" w:type="dxa"/>
              <w:left w:w="65" w:type="dxa"/>
              <w:bottom w:w="65" w:type="dxa"/>
              <w:right w:w="65" w:type="dxa"/>
            </w:tcMar>
            <w:vAlign w:val="center"/>
          </w:tcPr>
          <w:p w14:paraId="425D6259" w14:textId="77777777" w:rsidR="00AF5C7A" w:rsidRDefault="00FB1870">
            <w:pPr>
              <w:pStyle w:val="Compact"/>
              <w:keepNext/>
              <w:spacing w:before="20" w:after="40" w:line="245" w:lineRule="auto"/>
            </w:pPr>
            <w:r>
              <w:rPr>
                <w:sz w:val="19"/>
              </w:rPr>
              <w:t>DER++</w:t>
            </w:r>
          </w:p>
        </w:tc>
        <w:tc>
          <w:tcPr>
            <w:tcW w:w="1770" w:type="dxa"/>
            <w:shd w:val="clear" w:color="auto" w:fill="FFFFFF"/>
            <w:tcMar>
              <w:top w:w="65" w:type="dxa"/>
              <w:left w:w="65" w:type="dxa"/>
              <w:bottom w:w="65" w:type="dxa"/>
              <w:right w:w="65" w:type="dxa"/>
            </w:tcMar>
            <w:vAlign w:val="center"/>
          </w:tcPr>
          <w:p w14:paraId="1392CB99" w14:textId="77777777" w:rsidR="00AF5C7A" w:rsidRDefault="00FB1870">
            <w:pPr>
              <w:pStyle w:val="Compact"/>
              <w:keepNext/>
              <w:spacing w:before="20" w:after="40" w:line="245" w:lineRule="auto"/>
            </w:pPr>
            <w:r>
              <w:rPr>
                <w:sz w:val="19"/>
              </w:rPr>
              <w:t>None</w:t>
            </w:r>
          </w:p>
        </w:tc>
        <w:tc>
          <w:tcPr>
            <w:tcW w:w="1672" w:type="dxa"/>
            <w:shd w:val="clear" w:color="auto" w:fill="FFFFFF"/>
            <w:tcMar>
              <w:top w:w="65" w:type="dxa"/>
              <w:left w:w="65" w:type="dxa"/>
              <w:bottom w:w="65" w:type="dxa"/>
              <w:right w:w="65" w:type="dxa"/>
            </w:tcMar>
            <w:vAlign w:val="center"/>
          </w:tcPr>
          <w:p w14:paraId="01996934" w14:textId="77777777" w:rsidR="00AF5C7A" w:rsidRDefault="00FB1870">
            <w:pPr>
              <w:pStyle w:val="Compact"/>
              <w:keepNext/>
              <w:spacing w:before="20" w:after="40" w:line="245" w:lineRule="auto"/>
            </w:pPr>
            <w:r>
              <w:rPr>
                <w:sz w:val="19"/>
              </w:rPr>
              <w:t>Unique-ID reservoir</w:t>
            </w:r>
          </w:p>
        </w:tc>
        <w:tc>
          <w:tcPr>
            <w:tcW w:w="1967" w:type="dxa"/>
            <w:shd w:val="clear" w:color="auto" w:fill="FFFFFF"/>
            <w:tcMar>
              <w:top w:w="65" w:type="dxa"/>
              <w:left w:w="65" w:type="dxa"/>
              <w:bottom w:w="65" w:type="dxa"/>
              <w:right w:w="65" w:type="dxa"/>
            </w:tcMar>
            <w:vAlign w:val="center"/>
          </w:tcPr>
          <w:p w14:paraId="7565A157" w14:textId="77777777" w:rsidR="00AF5C7A" w:rsidRDefault="00FB1870">
            <w:pPr>
              <w:pStyle w:val="Compact"/>
              <w:keepNext/>
              <w:spacing w:before="20" w:after="40" w:line="245" w:lineRule="auto"/>
            </w:pPr>
            <w:r>
              <w:rPr>
                <w:sz w:val="19"/>
              </w:rPr>
              <w:t>Shared learner/defense reference</w:t>
            </w:r>
          </w:p>
        </w:tc>
      </w:tr>
      <w:tr w:rsidR="00AF5C7A" w14:paraId="00F3DBC5" w14:textId="77777777" w:rsidTr="00AF5C7A">
        <w:trPr>
          <w:cantSplit/>
        </w:trPr>
        <w:tc>
          <w:tcPr>
            <w:tcW w:w="1574" w:type="dxa"/>
            <w:shd w:val="clear" w:color="auto" w:fill="F5F7F9"/>
            <w:tcMar>
              <w:top w:w="65" w:type="dxa"/>
              <w:left w:w="65" w:type="dxa"/>
              <w:bottom w:w="65" w:type="dxa"/>
              <w:right w:w="65" w:type="dxa"/>
            </w:tcMar>
            <w:vAlign w:val="center"/>
          </w:tcPr>
          <w:p w14:paraId="23F3183F" w14:textId="77777777" w:rsidR="00AF5C7A" w:rsidRDefault="00FB1870">
            <w:pPr>
              <w:pStyle w:val="Compact"/>
              <w:keepNext/>
              <w:spacing w:before="20" w:after="40" w:line="245" w:lineRule="auto"/>
            </w:pPr>
            <w:r>
              <w:rPr>
                <w:sz w:val="19"/>
              </w:rPr>
              <w:t>DG</w:t>
            </w:r>
          </w:p>
        </w:tc>
        <w:tc>
          <w:tcPr>
            <w:tcW w:w="2852" w:type="dxa"/>
            <w:shd w:val="clear" w:color="auto" w:fill="F5F7F9"/>
            <w:tcMar>
              <w:top w:w="65" w:type="dxa"/>
              <w:left w:w="65" w:type="dxa"/>
              <w:bottom w:w="65" w:type="dxa"/>
              <w:right w:w="65" w:type="dxa"/>
            </w:tcMar>
            <w:vAlign w:val="center"/>
          </w:tcPr>
          <w:p w14:paraId="3FF5F2EB" w14:textId="77777777" w:rsidR="00AF5C7A" w:rsidRDefault="00FB1870">
            <w:pPr>
              <w:pStyle w:val="Compact"/>
              <w:keepNext/>
              <w:spacing w:before="20" w:after="40" w:line="245" w:lineRule="auto"/>
            </w:pPr>
            <w:r>
              <w:rPr>
                <w:sz w:val="19"/>
              </w:rPr>
              <w:t>DER++</w:t>
            </w:r>
          </w:p>
        </w:tc>
        <w:tc>
          <w:tcPr>
            <w:tcW w:w="1770" w:type="dxa"/>
            <w:shd w:val="clear" w:color="auto" w:fill="F5F7F9"/>
            <w:tcMar>
              <w:top w:w="65" w:type="dxa"/>
              <w:left w:w="65" w:type="dxa"/>
              <w:bottom w:w="65" w:type="dxa"/>
              <w:right w:w="65" w:type="dxa"/>
            </w:tcMar>
            <w:vAlign w:val="center"/>
          </w:tcPr>
          <w:p w14:paraId="5974E687" w14:textId="77777777" w:rsidR="00AF5C7A" w:rsidRDefault="00FB1870">
            <w:pPr>
              <w:pStyle w:val="Compact"/>
              <w:keepNext/>
              <w:spacing w:before="20" w:after="40" w:line="245" w:lineRule="auto"/>
            </w:pPr>
            <w:r>
              <w:rPr>
                <w:sz w:val="19"/>
              </w:rPr>
              <w:t>Global 75%</w:t>
            </w:r>
          </w:p>
        </w:tc>
        <w:tc>
          <w:tcPr>
            <w:tcW w:w="1672" w:type="dxa"/>
            <w:shd w:val="clear" w:color="auto" w:fill="F5F7F9"/>
            <w:tcMar>
              <w:top w:w="65" w:type="dxa"/>
              <w:left w:w="65" w:type="dxa"/>
              <w:bottom w:w="65" w:type="dxa"/>
              <w:right w:w="65" w:type="dxa"/>
            </w:tcMar>
            <w:vAlign w:val="center"/>
          </w:tcPr>
          <w:p w14:paraId="74BCBBFB" w14:textId="77777777" w:rsidR="00AF5C7A" w:rsidRDefault="00FB1870">
            <w:pPr>
              <w:pStyle w:val="Compact"/>
              <w:keepNext/>
              <w:spacing w:before="20" w:after="40" w:line="245" w:lineRule="auto"/>
            </w:pPr>
            <w:r>
              <w:rPr>
                <w:sz w:val="19"/>
              </w:rPr>
              <w:t>Same reservoir</w:t>
            </w:r>
          </w:p>
        </w:tc>
        <w:tc>
          <w:tcPr>
            <w:tcW w:w="1967" w:type="dxa"/>
            <w:shd w:val="clear" w:color="auto" w:fill="F5F7F9"/>
            <w:tcMar>
              <w:top w:w="65" w:type="dxa"/>
              <w:left w:w="65" w:type="dxa"/>
              <w:bottom w:w="65" w:type="dxa"/>
              <w:right w:w="65" w:type="dxa"/>
            </w:tcMar>
            <w:vAlign w:val="center"/>
          </w:tcPr>
          <w:p w14:paraId="07847E74" w14:textId="77777777" w:rsidR="00AF5C7A" w:rsidRDefault="00FB1870">
            <w:pPr>
              <w:pStyle w:val="Compact"/>
              <w:keepNext/>
              <w:spacing w:before="20" w:after="40" w:line="245" w:lineRule="auto"/>
            </w:pPr>
            <w:r>
              <w:rPr>
                <w:sz w:val="19"/>
              </w:rPr>
              <w:t>Unmatched-volume reference</w:t>
            </w:r>
          </w:p>
        </w:tc>
      </w:tr>
      <w:tr w:rsidR="00AF5C7A" w14:paraId="4EB8A70E" w14:textId="77777777" w:rsidTr="00AF5C7A">
        <w:trPr>
          <w:cantSplit/>
        </w:trPr>
        <w:tc>
          <w:tcPr>
            <w:tcW w:w="1574" w:type="dxa"/>
            <w:shd w:val="clear" w:color="auto" w:fill="FFFFFF"/>
            <w:tcMar>
              <w:top w:w="65" w:type="dxa"/>
              <w:left w:w="65" w:type="dxa"/>
              <w:bottom w:w="65" w:type="dxa"/>
              <w:right w:w="65" w:type="dxa"/>
            </w:tcMar>
            <w:vAlign w:val="center"/>
          </w:tcPr>
          <w:p w14:paraId="2642CDD0" w14:textId="77777777" w:rsidR="00AF5C7A" w:rsidRDefault="00FB1870">
            <w:pPr>
              <w:pStyle w:val="Compact"/>
              <w:keepNext/>
              <w:spacing w:before="20" w:after="40" w:line="245" w:lineRule="auto"/>
            </w:pPr>
            <w:r>
              <w:rPr>
                <w:sz w:val="19"/>
              </w:rPr>
              <w:t>DM</w:t>
            </w:r>
          </w:p>
        </w:tc>
        <w:tc>
          <w:tcPr>
            <w:tcW w:w="2852" w:type="dxa"/>
            <w:shd w:val="clear" w:color="auto" w:fill="FFFFFF"/>
            <w:tcMar>
              <w:top w:w="65" w:type="dxa"/>
              <w:left w:w="65" w:type="dxa"/>
              <w:bottom w:w="65" w:type="dxa"/>
              <w:right w:w="65" w:type="dxa"/>
            </w:tcMar>
            <w:vAlign w:val="center"/>
          </w:tcPr>
          <w:p w14:paraId="6BDE75B5" w14:textId="77777777" w:rsidR="00AF5C7A" w:rsidRDefault="00FB1870">
            <w:pPr>
              <w:pStyle w:val="Compact"/>
              <w:keepNext/>
              <w:spacing w:before="20" w:after="40" w:line="245" w:lineRule="auto"/>
            </w:pPr>
            <w:r>
              <w:rPr>
                <w:sz w:val="19"/>
              </w:rPr>
              <w:t>DER++</w:t>
            </w:r>
          </w:p>
        </w:tc>
        <w:tc>
          <w:tcPr>
            <w:tcW w:w="1770" w:type="dxa"/>
            <w:shd w:val="clear" w:color="auto" w:fill="FFFFFF"/>
            <w:tcMar>
              <w:top w:w="65" w:type="dxa"/>
              <w:left w:w="65" w:type="dxa"/>
              <w:bottom w:w="65" w:type="dxa"/>
              <w:right w:w="65" w:type="dxa"/>
            </w:tcMar>
            <w:vAlign w:val="center"/>
          </w:tcPr>
          <w:p w14:paraId="5056A198" w14:textId="77777777" w:rsidR="00AF5C7A" w:rsidRDefault="00FB1870">
            <w:pPr>
              <w:pStyle w:val="Compact"/>
              <w:keepNext/>
              <w:spacing w:before="20" w:after="40" w:line="245" w:lineRule="auto"/>
            </w:pPr>
            <w:r>
              <w:rPr>
                <w:sz w:val="19"/>
              </w:rPr>
              <w:t>Global ranking, matched quota</w:t>
            </w:r>
          </w:p>
        </w:tc>
        <w:tc>
          <w:tcPr>
            <w:tcW w:w="1672" w:type="dxa"/>
            <w:shd w:val="clear" w:color="auto" w:fill="FFFFFF"/>
            <w:tcMar>
              <w:top w:w="65" w:type="dxa"/>
              <w:left w:w="65" w:type="dxa"/>
              <w:bottom w:w="65" w:type="dxa"/>
              <w:right w:w="65" w:type="dxa"/>
            </w:tcMar>
            <w:vAlign w:val="center"/>
          </w:tcPr>
          <w:p w14:paraId="2682179E" w14:textId="77777777" w:rsidR="00AF5C7A" w:rsidRDefault="00FB1870">
            <w:pPr>
              <w:pStyle w:val="Compact"/>
              <w:keepNext/>
              <w:spacing w:before="20" w:after="40" w:line="245" w:lineRule="auto"/>
            </w:pPr>
            <w:r>
              <w:rPr>
                <w:sz w:val="19"/>
              </w:rPr>
              <w:t>Same reservoir</w:t>
            </w:r>
          </w:p>
        </w:tc>
        <w:tc>
          <w:tcPr>
            <w:tcW w:w="1967" w:type="dxa"/>
            <w:shd w:val="clear" w:color="auto" w:fill="FFFFFF"/>
            <w:tcMar>
              <w:top w:w="65" w:type="dxa"/>
              <w:left w:w="65" w:type="dxa"/>
              <w:bottom w:w="65" w:type="dxa"/>
              <w:right w:w="65" w:type="dxa"/>
            </w:tcMar>
            <w:vAlign w:val="center"/>
          </w:tcPr>
          <w:p w14:paraId="67D0C23E" w14:textId="77777777" w:rsidR="00AF5C7A" w:rsidRDefault="00FB1870">
            <w:pPr>
              <w:pStyle w:val="Compact"/>
              <w:keepNext/>
              <w:spacing w:before="20" w:after="40" w:line="245" w:lineRule="auto"/>
            </w:pPr>
            <w:r>
              <w:rPr>
                <w:sz w:val="19"/>
              </w:rPr>
              <w:t>Defense control</w:t>
            </w:r>
          </w:p>
        </w:tc>
      </w:tr>
      <w:tr w:rsidR="00AF5C7A" w14:paraId="0441011F" w14:textId="77777777" w:rsidTr="00AF5C7A">
        <w:trPr>
          <w:cantSplit/>
        </w:trPr>
        <w:tc>
          <w:tcPr>
            <w:tcW w:w="1574" w:type="dxa"/>
            <w:shd w:val="clear" w:color="auto" w:fill="F5F7F9"/>
            <w:tcMar>
              <w:top w:w="65" w:type="dxa"/>
              <w:left w:w="65" w:type="dxa"/>
              <w:bottom w:w="65" w:type="dxa"/>
              <w:right w:w="65" w:type="dxa"/>
            </w:tcMar>
            <w:vAlign w:val="center"/>
          </w:tcPr>
          <w:p w14:paraId="1CED9875" w14:textId="77777777" w:rsidR="00AF5C7A" w:rsidRDefault="00FB1870">
            <w:pPr>
              <w:pStyle w:val="Compact"/>
              <w:spacing w:before="20" w:after="40" w:line="245" w:lineRule="auto"/>
            </w:pPr>
            <w:r>
              <w:rPr>
                <w:sz w:val="19"/>
              </w:rPr>
              <w:t>DC</w:t>
            </w:r>
          </w:p>
        </w:tc>
        <w:tc>
          <w:tcPr>
            <w:tcW w:w="2852" w:type="dxa"/>
            <w:shd w:val="clear" w:color="auto" w:fill="F5F7F9"/>
            <w:tcMar>
              <w:top w:w="65" w:type="dxa"/>
              <w:left w:w="65" w:type="dxa"/>
              <w:bottom w:w="65" w:type="dxa"/>
              <w:right w:w="65" w:type="dxa"/>
            </w:tcMar>
            <w:vAlign w:val="center"/>
          </w:tcPr>
          <w:p w14:paraId="61FE8835" w14:textId="77777777" w:rsidR="00AF5C7A" w:rsidRDefault="00FB1870">
            <w:pPr>
              <w:pStyle w:val="Compact"/>
              <w:spacing w:before="20" w:after="40" w:line="245" w:lineRule="auto"/>
            </w:pPr>
            <w:r>
              <w:rPr>
                <w:sz w:val="19"/>
              </w:rPr>
              <w:t>DER++</w:t>
            </w:r>
          </w:p>
        </w:tc>
        <w:tc>
          <w:tcPr>
            <w:tcW w:w="1770" w:type="dxa"/>
            <w:shd w:val="clear" w:color="auto" w:fill="F5F7F9"/>
            <w:tcMar>
              <w:top w:w="65" w:type="dxa"/>
              <w:left w:w="65" w:type="dxa"/>
              <w:bottom w:w="65" w:type="dxa"/>
              <w:right w:w="65" w:type="dxa"/>
            </w:tcMar>
            <w:vAlign w:val="center"/>
          </w:tcPr>
          <w:p w14:paraId="7CBC52EF" w14:textId="77777777" w:rsidR="00AF5C7A" w:rsidRDefault="00FB1870">
            <w:pPr>
              <w:pStyle w:val="Compact"/>
              <w:spacing w:before="20" w:after="40" w:line="245" w:lineRule="auto"/>
            </w:pPr>
            <w:r>
              <w:rPr>
                <w:sz w:val="19"/>
              </w:rPr>
              <w:t>Class-aware quota</w:t>
            </w:r>
          </w:p>
        </w:tc>
        <w:tc>
          <w:tcPr>
            <w:tcW w:w="1672" w:type="dxa"/>
            <w:shd w:val="clear" w:color="auto" w:fill="F5F7F9"/>
            <w:tcMar>
              <w:top w:w="65" w:type="dxa"/>
              <w:left w:w="65" w:type="dxa"/>
              <w:bottom w:w="65" w:type="dxa"/>
              <w:right w:w="65" w:type="dxa"/>
            </w:tcMar>
            <w:vAlign w:val="center"/>
          </w:tcPr>
          <w:p w14:paraId="5FC69A6D" w14:textId="77777777" w:rsidR="00AF5C7A" w:rsidRDefault="00FB1870">
            <w:pPr>
              <w:pStyle w:val="Compact"/>
              <w:spacing w:before="20" w:after="40" w:line="245" w:lineRule="auto"/>
            </w:pPr>
            <w:r>
              <w:rPr>
                <w:sz w:val="19"/>
              </w:rPr>
              <w:t>Same reservoir</w:t>
            </w:r>
          </w:p>
        </w:tc>
        <w:tc>
          <w:tcPr>
            <w:tcW w:w="1967" w:type="dxa"/>
            <w:shd w:val="clear" w:color="auto" w:fill="F5F7F9"/>
            <w:tcMar>
              <w:top w:w="65" w:type="dxa"/>
              <w:left w:w="65" w:type="dxa"/>
              <w:bottom w:w="65" w:type="dxa"/>
              <w:right w:w="65" w:type="dxa"/>
            </w:tcMar>
            <w:vAlign w:val="center"/>
          </w:tcPr>
          <w:p w14:paraId="611F2E53" w14:textId="77777777" w:rsidR="00AF5C7A" w:rsidRDefault="00FB1870">
            <w:pPr>
              <w:pStyle w:val="Compact"/>
              <w:spacing w:before="20" w:after="40" w:line="245" w:lineRule="auto"/>
            </w:pPr>
            <w:r>
              <w:rPr>
                <w:sz w:val="19"/>
              </w:rPr>
              <w:t>Proposed heuristic</w:t>
            </w:r>
          </w:p>
        </w:tc>
      </w:tr>
    </w:tbl>
    <w:p w14:paraId="4CD4A301" w14:textId="77777777" w:rsidR="00AF5C7A" w:rsidRDefault="00FB1870">
      <w:pPr>
        <w:pStyle w:val="BodyText"/>
      </w:pPr>
      <w:r>
        <w:rPr>
          <w:b/>
          <w:bCs/>
        </w:rPr>
        <w:t>Pilots.</w:t>
      </w:r>
      <w:r>
        <w:t xml:space="preserve"> Development seeds 101–103 compare </w:t>
      </w:r>
      <m:oMath>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rnd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ep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using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E</m:t>
            </m:r>
          </m:sub>
        </m:sSub>
        <m:r>
          <m:rPr>
            <m:sty m:val="p"/>
          </m:rPr>
          <w:rPr>
            <w:rFonts w:ascii="Cambria Math" w:hAnsi="Cambria Math"/>
          </w:rPr>
          <m:t>=</m:t>
        </m:r>
        <m:r>
          <w:rPr>
            <w:rFonts w:ascii="Cambria Math" w:hAnsi="Cambria Math"/>
          </w:rPr>
          <m:t>100</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y</m:t>
            </m:r>
          </m:sub>
        </m:sSub>
        <m:r>
          <m:rPr>
            <m:sty m:val="p"/>
          </m:rPr>
          <w:rPr>
            <w:rFonts w:ascii="Cambria Math" w:hAnsi="Cambria Math"/>
          </w:rPr>
          <m:t>=</m:t>
        </m:r>
        <m:r>
          <w:rPr>
            <w:rFonts w:ascii="Cambria Math" w:hAnsi="Cambria Math"/>
          </w:rPr>
          <m:t>.5</m:t>
        </m:r>
      </m:oMath>
      <w:r>
        <w:t xml:space="preserve">. Equal passes do not equalize optimizer resets or replay exposure. Choose the cheaper setting meeting E1 recall </w:t>
      </w:r>
      <m:oMath>
        <m:r>
          <w:rPr>
            <w:rFonts w:ascii="Cambria Math" w:hAnsi="Cambria Math"/>
          </w:rPr>
          <m:t>.50</m:t>
        </m:r>
      </m:oMath>
      <w:r>
        <w:t xml:space="preserve"> per anchor/learner/seed and clean E2 Hulk recall </w:t>
      </w:r>
      <m:oMath>
        <m:r>
          <w:rPr>
            <w:rFonts w:ascii="Cambria Math" w:hAnsi="Cambria Math"/>
          </w:rPr>
          <m:t>.70</m:t>
        </m:r>
      </m:oMath>
      <w:r>
        <w:t>. These gates establish acquired discrimination, with measurable headroom.</w:t>
      </w:r>
    </w:p>
    <w:p w14:paraId="147E45AB" w14:textId="77777777" w:rsidR="00AF5C7A" w:rsidRDefault="00FB1870">
      <w:pPr>
        <w:pStyle w:val="BodyText"/>
      </w:pPr>
      <w:r>
        <w:t xml:space="preserve">Rates are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FT tests two configurations; EI tests six with </w:t>
      </w:r>
      <m:oMath>
        <m:sSub>
          <m:sSubPr>
            <m:ctrlPr>
              <w:rPr>
                <w:rFonts w:ascii="Cambria Math" w:hAnsi="Cambria Math"/>
              </w:rPr>
            </m:ctrlPr>
          </m:sSubPr>
          <m:e>
            <m:r>
              <w:rPr>
                <w:rFonts w:ascii="Cambria Math" w:hAnsi="Cambria Math"/>
              </w:rPr>
              <m:t>λ</m:t>
            </m:r>
          </m:e>
          <m:sub>
            <m:r>
              <w:rPr>
                <w:rFonts w:ascii="Cambria Math" w:hAnsi="Cambria Math"/>
              </w:rPr>
              <m:t>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DR tests twelve by crossing rates with </w:t>
      </w:r>
      <m:oMath>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y</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Tune only the selected budget using mean development F1 among gate-feasible configurations. Order ties by ascending learning rate, then ascending </w:t>
      </w:r>
      <m:oMath>
        <m:sSub>
          <m:sSubPr>
            <m:ctrlPr>
              <w:rPr>
                <w:rFonts w:ascii="Cambria Math" w:hAnsi="Cambria Math"/>
              </w:rPr>
            </m:ctrlPr>
          </m:sSubPr>
          <m:e>
            <m:r>
              <w:rPr>
                <w:rFonts w:ascii="Cambria Math" w:hAnsi="Cambria Math"/>
              </w:rPr>
              <m:t>λ</m:t>
            </m:r>
          </m:e>
          <m:sub>
            <m:r>
              <w:rPr>
                <w:rFonts w:ascii="Cambria Math" w:hAnsi="Cambria Math"/>
              </w:rPr>
              <m:t>E</m:t>
            </m:r>
          </m:sub>
        </m:sSub>
      </m:oMath>
      <w:r>
        <w:t xml:space="preserve"> or </w:t>
      </w:r>
      <m:oMath>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y</m:t>
            </m:r>
          </m:sub>
        </m:sSub>
        <m:r>
          <m:rPr>
            <m:sty m:val="p"/>
          </m:rPr>
          <w:rPr>
            <w:rFonts w:ascii="Cambria Math" w:hAnsi="Cambria Math"/>
          </w:rPr>
          <m:t>)</m:t>
        </m:r>
      </m:oMath>
      <w:r>
        <w:t xml:space="preserve"> as applicable. Then compare tuned maximum-dose FT against its clean grid control: require mean E2 </w:t>
      </w:r>
      <m:oMath>
        <m:r>
          <w:rPr>
            <w:rFonts w:ascii="Cambria Math" w:hAnsi="Cambria Math"/>
          </w:rPr>
          <m:t>Δ</m:t>
        </m:r>
        <m:r>
          <m:rPr>
            <m:sty m:val="p"/>
          </m:rPr>
          <w:rPr>
            <w:rFonts w:ascii="Cambria Math" w:hAnsi="Cambria Math"/>
          </w:rPr>
          <m:t>ASR≥</m:t>
        </m:r>
        <m:r>
          <w:rPr>
            <w:rFonts w:ascii="Cambria Math" w:hAnsi="Cambria Math"/>
          </w:rPr>
          <m:t>.10</m:t>
        </m:r>
      </m:oMath>
      <w:r>
        <w:t>, nonnegative per seed. Failure requires a new development protocol before final testing. E1 uses that budget without filters; final seeds are 1–11 and 42.</w:t>
      </w:r>
    </w:p>
    <w:p w14:paraId="4B435E9A" w14:textId="77777777" w:rsidR="00AF5C7A" w:rsidRDefault="00FB1870">
      <w:pPr>
        <w:pStyle w:val="BodyText"/>
        <w:keepNext/>
        <w:spacing w:before="140" w:after="80"/>
      </w:pPr>
      <w:r>
        <w:rPr>
          <w:b/>
          <w:bCs/>
        </w:rPr>
        <w:lastRenderedPageBreak/>
        <w:t>Table 11. Enumerated planned budget; identical controls are reused. Full runs span four experiences; continuations span E3/E4.</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65"/>
        <w:gridCol w:w="3934"/>
        <w:gridCol w:w="1180"/>
        <w:gridCol w:w="2656"/>
      </w:tblGrid>
      <w:tr w:rsidR="00AF5C7A" w14:paraId="0FEFF407"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2065" w:type="dxa"/>
            <w:shd w:val="clear" w:color="auto" w:fill="DDE6EC"/>
            <w:tcMar>
              <w:top w:w="65" w:type="dxa"/>
              <w:left w:w="65" w:type="dxa"/>
              <w:bottom w:w="65" w:type="dxa"/>
              <w:right w:w="65" w:type="dxa"/>
            </w:tcMar>
            <w:vAlign w:val="center"/>
          </w:tcPr>
          <w:p w14:paraId="72911D99" w14:textId="77777777" w:rsidR="00AF5C7A" w:rsidRDefault="00FB1870">
            <w:pPr>
              <w:pStyle w:val="Compact"/>
              <w:keepNext/>
              <w:spacing w:before="20" w:after="40" w:line="245" w:lineRule="auto"/>
            </w:pPr>
            <w:r>
              <w:rPr>
                <w:b/>
                <w:sz w:val="19"/>
              </w:rPr>
              <w:t>Tier</w:t>
            </w:r>
          </w:p>
        </w:tc>
        <w:tc>
          <w:tcPr>
            <w:tcW w:w="3934" w:type="dxa"/>
            <w:shd w:val="clear" w:color="auto" w:fill="DDE6EC"/>
            <w:tcMar>
              <w:top w:w="65" w:type="dxa"/>
              <w:left w:w="65" w:type="dxa"/>
              <w:bottom w:w="65" w:type="dxa"/>
              <w:right w:w="65" w:type="dxa"/>
            </w:tcMar>
            <w:vAlign w:val="center"/>
          </w:tcPr>
          <w:p w14:paraId="442966C0" w14:textId="77777777" w:rsidR="00AF5C7A" w:rsidRDefault="00FB1870">
            <w:pPr>
              <w:pStyle w:val="Compact"/>
              <w:keepNext/>
              <w:spacing w:before="20" w:after="40" w:line="245" w:lineRule="auto"/>
            </w:pPr>
            <w:r>
              <w:rPr>
                <w:b/>
                <w:sz w:val="19"/>
              </w:rPr>
              <w:t>Formula</w:t>
            </w:r>
          </w:p>
        </w:tc>
        <w:tc>
          <w:tcPr>
            <w:tcW w:w="1180" w:type="dxa"/>
            <w:shd w:val="clear" w:color="auto" w:fill="DDE6EC"/>
            <w:tcMar>
              <w:top w:w="65" w:type="dxa"/>
              <w:left w:w="65" w:type="dxa"/>
              <w:bottom w:w="65" w:type="dxa"/>
              <w:right w:w="65" w:type="dxa"/>
            </w:tcMar>
            <w:vAlign w:val="center"/>
          </w:tcPr>
          <w:p w14:paraId="0357AA72" w14:textId="77777777" w:rsidR="00AF5C7A" w:rsidRDefault="00FB1870">
            <w:pPr>
              <w:pStyle w:val="Compact"/>
              <w:keepNext/>
              <w:spacing w:before="20" w:after="40" w:line="245" w:lineRule="auto"/>
            </w:pPr>
            <w:r>
              <w:rPr>
                <w:b/>
                <w:sz w:val="19"/>
              </w:rPr>
              <w:t>Runs</w:t>
            </w:r>
          </w:p>
        </w:tc>
        <w:tc>
          <w:tcPr>
            <w:tcW w:w="2656" w:type="dxa"/>
            <w:shd w:val="clear" w:color="auto" w:fill="DDE6EC"/>
            <w:tcMar>
              <w:top w:w="65" w:type="dxa"/>
              <w:left w:w="65" w:type="dxa"/>
              <w:bottom w:w="65" w:type="dxa"/>
              <w:right w:w="65" w:type="dxa"/>
            </w:tcMar>
            <w:vAlign w:val="center"/>
          </w:tcPr>
          <w:p w14:paraId="553290F5" w14:textId="77777777" w:rsidR="00AF5C7A" w:rsidRDefault="00FB1870">
            <w:pPr>
              <w:pStyle w:val="Compact"/>
              <w:keepNext/>
              <w:spacing w:before="20" w:after="40" w:line="245" w:lineRule="auto"/>
            </w:pPr>
            <w:r>
              <w:rPr>
                <w:b/>
                <w:sz w:val="19"/>
              </w:rPr>
              <w:t>Wall time/run</w:t>
            </w:r>
          </w:p>
        </w:tc>
      </w:tr>
      <w:tr w:rsidR="00AF5C7A" w14:paraId="58A0A505" w14:textId="77777777" w:rsidTr="00AF5C7A">
        <w:trPr>
          <w:cantSplit/>
        </w:trPr>
        <w:tc>
          <w:tcPr>
            <w:tcW w:w="2065" w:type="dxa"/>
            <w:shd w:val="clear" w:color="auto" w:fill="FFFFFF"/>
            <w:tcMar>
              <w:top w:w="65" w:type="dxa"/>
              <w:left w:w="65" w:type="dxa"/>
              <w:bottom w:w="65" w:type="dxa"/>
              <w:right w:w="65" w:type="dxa"/>
            </w:tcMar>
            <w:vAlign w:val="center"/>
          </w:tcPr>
          <w:p w14:paraId="03716F0A" w14:textId="77777777" w:rsidR="00AF5C7A" w:rsidRDefault="00FB1870">
            <w:pPr>
              <w:pStyle w:val="Compact"/>
              <w:keepNext/>
              <w:spacing w:before="20" w:after="40" w:line="245" w:lineRule="auto"/>
            </w:pPr>
            <w:r>
              <w:rPr>
                <w:sz w:val="19"/>
              </w:rPr>
              <w:t>Synchronization pilot</w:t>
            </w:r>
          </w:p>
        </w:tc>
        <w:tc>
          <w:tcPr>
            <w:tcW w:w="3934" w:type="dxa"/>
            <w:shd w:val="clear" w:color="auto" w:fill="FFFFFF"/>
            <w:tcMar>
              <w:top w:w="65" w:type="dxa"/>
              <w:left w:w="65" w:type="dxa"/>
              <w:bottom w:w="65" w:type="dxa"/>
              <w:right w:w="65" w:type="dxa"/>
            </w:tcMar>
            <w:vAlign w:val="center"/>
          </w:tcPr>
          <w:p w14:paraId="31BD727B" w14:textId="77777777" w:rsidR="00AF5C7A" w:rsidRDefault="00FB1870">
            <w:pPr>
              <w:pStyle w:val="Compact"/>
              <w:keepNext/>
              <w:spacing w:before="20" w:after="40" w:line="245" w:lineRule="auto"/>
            </w:pPr>
            <m:oMath>
              <m:r>
                <w:rPr>
                  <w:rFonts w:ascii="Cambria Math" w:hAnsi="Cambria Math"/>
                </w:rPr>
                <m:t>3</m:t>
              </m:r>
            </m:oMath>
            <w:r>
              <w:rPr>
                <w:sz w:val="19"/>
              </w:rPr>
              <w:t xml:space="preserve"> learners</w:t>
            </w:r>
            <m:oMath>
              <m:r>
                <m:rPr>
                  <m:sty m:val="p"/>
                </m:rPr>
                <w:rPr>
                  <w:rFonts w:ascii="Cambria Math" w:hAnsi="Cambria Math"/>
                </w:rPr>
                <m:t>×</m:t>
              </m:r>
              <m:r>
                <w:rPr>
                  <w:rFonts w:ascii="Cambria Math" w:hAnsi="Cambria Math"/>
                </w:rPr>
                <m:t>2</m:t>
              </m:r>
            </m:oMath>
            <w:r>
              <w:rPr>
                <w:sz w:val="19"/>
              </w:rPr>
              <w:t xml:space="preserve"> budgets</w:t>
            </w:r>
            <m:oMath>
              <m:r>
                <m:rPr>
                  <m:sty m:val="p"/>
                </m:rPr>
                <w:rPr>
                  <w:rFonts w:ascii="Cambria Math" w:hAnsi="Cambria Math"/>
                </w:rPr>
                <m:t>×</m:t>
              </m:r>
              <m:r>
                <w:rPr>
                  <w:rFonts w:ascii="Cambria Math" w:hAnsi="Cambria Math"/>
                </w:rPr>
                <m:t>3</m:t>
              </m:r>
            </m:oMath>
            <w:r>
              <w:rPr>
                <w:sz w:val="19"/>
              </w:rPr>
              <w:t xml:space="preserve"> development seeds</w:t>
            </w:r>
          </w:p>
        </w:tc>
        <w:tc>
          <w:tcPr>
            <w:tcW w:w="1180" w:type="dxa"/>
            <w:shd w:val="clear" w:color="auto" w:fill="FFFFFF"/>
            <w:tcMar>
              <w:top w:w="65" w:type="dxa"/>
              <w:left w:w="65" w:type="dxa"/>
              <w:bottom w:w="65" w:type="dxa"/>
              <w:right w:w="65" w:type="dxa"/>
            </w:tcMar>
            <w:vAlign w:val="center"/>
          </w:tcPr>
          <w:p w14:paraId="4BDD93BA" w14:textId="77777777" w:rsidR="00AF5C7A" w:rsidRDefault="00FB1870">
            <w:pPr>
              <w:pStyle w:val="Compact"/>
              <w:keepNext/>
              <w:spacing w:before="20" w:after="40" w:line="245" w:lineRule="auto"/>
            </w:pPr>
            <w:r>
              <w:rPr>
                <w:sz w:val="19"/>
              </w:rPr>
              <w:t>18</w:t>
            </w:r>
          </w:p>
        </w:tc>
        <w:tc>
          <w:tcPr>
            <w:tcW w:w="2656" w:type="dxa"/>
            <w:shd w:val="clear" w:color="auto" w:fill="FFFFFF"/>
            <w:tcMar>
              <w:top w:w="65" w:type="dxa"/>
              <w:left w:w="65" w:type="dxa"/>
              <w:bottom w:w="65" w:type="dxa"/>
              <w:right w:w="65" w:type="dxa"/>
            </w:tcMar>
            <w:vAlign w:val="center"/>
          </w:tcPr>
          <w:p w14:paraId="0E792582" w14:textId="77777777" w:rsidR="00AF5C7A" w:rsidRDefault="00FB1870">
            <w:pPr>
              <w:pStyle w:val="Compact"/>
              <w:keepNext/>
              <w:spacing w:before="20" w:after="40" w:line="245" w:lineRule="auto"/>
            </w:pPr>
            <w:r>
              <w:rPr>
                <w:sz w:val="19"/>
              </w:rPr>
              <w:t>To be measured</w:t>
            </w:r>
          </w:p>
        </w:tc>
      </w:tr>
      <w:tr w:rsidR="00AF5C7A" w14:paraId="340C8D01" w14:textId="77777777" w:rsidTr="00AF5C7A">
        <w:trPr>
          <w:cantSplit/>
        </w:trPr>
        <w:tc>
          <w:tcPr>
            <w:tcW w:w="2065" w:type="dxa"/>
            <w:shd w:val="clear" w:color="auto" w:fill="F5F7F9"/>
            <w:tcMar>
              <w:top w:w="65" w:type="dxa"/>
              <w:left w:w="65" w:type="dxa"/>
              <w:bottom w:w="65" w:type="dxa"/>
              <w:right w:w="65" w:type="dxa"/>
            </w:tcMar>
            <w:vAlign w:val="center"/>
          </w:tcPr>
          <w:p w14:paraId="25E7A4E2" w14:textId="77777777" w:rsidR="00AF5C7A" w:rsidRDefault="00FB1870">
            <w:pPr>
              <w:pStyle w:val="Compact"/>
              <w:keepNext/>
              <w:spacing w:before="20" w:after="40" w:line="245" w:lineRule="auto"/>
            </w:pPr>
            <w:r>
              <w:rPr>
                <w:sz w:val="19"/>
              </w:rPr>
              <w:t>Extra viability poison pairs</w:t>
            </w:r>
          </w:p>
        </w:tc>
        <w:tc>
          <w:tcPr>
            <w:tcW w:w="3934" w:type="dxa"/>
            <w:shd w:val="clear" w:color="auto" w:fill="F5F7F9"/>
            <w:tcMar>
              <w:top w:w="65" w:type="dxa"/>
              <w:left w:w="65" w:type="dxa"/>
              <w:bottom w:w="65" w:type="dxa"/>
              <w:right w:w="65" w:type="dxa"/>
            </w:tcMar>
            <w:vAlign w:val="center"/>
          </w:tcPr>
          <w:p w14:paraId="42AD3370" w14:textId="77777777" w:rsidR="00AF5C7A" w:rsidRDefault="00FB1870">
            <w:pPr>
              <w:pStyle w:val="Compact"/>
              <w:keepNext/>
              <w:spacing w:before="20" w:after="40" w:line="245" w:lineRule="auto"/>
            </w:pPr>
            <m:oMath>
              <m:r>
                <w:rPr>
                  <w:rFonts w:ascii="Cambria Math" w:hAnsi="Cambria Math"/>
                </w:rPr>
                <m:t>1</m:t>
              </m:r>
            </m:oMath>
            <w:r>
              <w:rPr>
                <w:sz w:val="19"/>
              </w:rPr>
              <w:t xml:space="preserve"> FT</w:t>
            </w:r>
            <m:oMath>
              <m:r>
                <m:rPr>
                  <m:sty m:val="p"/>
                </m:rPr>
                <w:rPr>
                  <w:rFonts w:ascii="Cambria Math" w:hAnsi="Cambria Math"/>
                </w:rPr>
                <m:t>×</m:t>
              </m:r>
              <m:r>
                <w:rPr>
                  <w:rFonts w:ascii="Cambria Math" w:hAnsi="Cambria Math"/>
                </w:rPr>
                <m:t>1</m:t>
              </m:r>
            </m:oMath>
            <w:r>
              <w:rPr>
                <w:sz w:val="19"/>
              </w:rPr>
              <w:t xml:space="preserve"> maximum dose</w:t>
            </w:r>
            <m:oMath>
              <m:r>
                <m:rPr>
                  <m:sty m:val="p"/>
                </m:rPr>
                <w:rPr>
                  <w:rFonts w:ascii="Cambria Math" w:hAnsi="Cambria Math"/>
                </w:rPr>
                <m:t>×</m:t>
              </m:r>
              <m:r>
                <w:rPr>
                  <w:rFonts w:ascii="Cambria Math" w:hAnsi="Cambria Math"/>
                </w:rPr>
                <m:t>3</m:t>
              </m:r>
            </m:oMath>
            <w:r>
              <w:rPr>
                <w:sz w:val="19"/>
              </w:rPr>
              <w:t xml:space="preserve"> seeds</w:t>
            </w:r>
          </w:p>
        </w:tc>
        <w:tc>
          <w:tcPr>
            <w:tcW w:w="1180" w:type="dxa"/>
            <w:shd w:val="clear" w:color="auto" w:fill="F5F7F9"/>
            <w:tcMar>
              <w:top w:w="65" w:type="dxa"/>
              <w:left w:w="65" w:type="dxa"/>
              <w:bottom w:w="65" w:type="dxa"/>
              <w:right w:w="65" w:type="dxa"/>
            </w:tcMar>
            <w:vAlign w:val="center"/>
          </w:tcPr>
          <w:p w14:paraId="099B3884" w14:textId="77777777" w:rsidR="00AF5C7A" w:rsidRDefault="00FB1870">
            <w:pPr>
              <w:pStyle w:val="Compact"/>
              <w:keepNext/>
              <w:spacing w:before="20" w:after="40" w:line="245" w:lineRule="auto"/>
            </w:pPr>
            <w:r>
              <w:rPr>
                <w:sz w:val="19"/>
              </w:rPr>
              <w:t>3</w:t>
            </w:r>
          </w:p>
        </w:tc>
        <w:tc>
          <w:tcPr>
            <w:tcW w:w="2656" w:type="dxa"/>
            <w:shd w:val="clear" w:color="auto" w:fill="F5F7F9"/>
            <w:tcMar>
              <w:top w:w="65" w:type="dxa"/>
              <w:left w:w="65" w:type="dxa"/>
              <w:bottom w:w="65" w:type="dxa"/>
              <w:right w:w="65" w:type="dxa"/>
            </w:tcMar>
            <w:vAlign w:val="center"/>
          </w:tcPr>
          <w:p w14:paraId="22D3D7DA" w14:textId="77777777" w:rsidR="00AF5C7A" w:rsidRDefault="00FB1870">
            <w:pPr>
              <w:pStyle w:val="Compact"/>
              <w:keepNext/>
              <w:spacing w:before="20" w:after="40" w:line="245" w:lineRule="auto"/>
            </w:pPr>
            <w:r>
              <w:rPr>
                <w:sz w:val="19"/>
              </w:rPr>
              <w:t>To be measured</w:t>
            </w:r>
          </w:p>
        </w:tc>
      </w:tr>
      <w:tr w:rsidR="00AF5C7A" w14:paraId="0C3A571B" w14:textId="77777777" w:rsidTr="00AF5C7A">
        <w:trPr>
          <w:cantSplit/>
        </w:trPr>
        <w:tc>
          <w:tcPr>
            <w:tcW w:w="2065" w:type="dxa"/>
            <w:shd w:val="clear" w:color="auto" w:fill="FFFFFF"/>
            <w:tcMar>
              <w:top w:w="65" w:type="dxa"/>
              <w:left w:w="65" w:type="dxa"/>
              <w:bottom w:w="65" w:type="dxa"/>
              <w:right w:w="65" w:type="dxa"/>
            </w:tcMar>
            <w:vAlign w:val="center"/>
          </w:tcPr>
          <w:p w14:paraId="608A2BCA" w14:textId="77777777" w:rsidR="00AF5C7A" w:rsidRDefault="00FB1870">
            <w:pPr>
              <w:pStyle w:val="Compact"/>
              <w:keepNext/>
              <w:spacing w:before="20" w:after="40" w:line="245" w:lineRule="auto"/>
            </w:pPr>
            <w:r>
              <w:rPr>
                <w:sz w:val="19"/>
              </w:rPr>
              <w:t>Clean hyperparameter search</w:t>
            </w:r>
          </w:p>
        </w:tc>
        <w:tc>
          <w:tcPr>
            <w:tcW w:w="3934" w:type="dxa"/>
            <w:shd w:val="clear" w:color="auto" w:fill="FFFFFF"/>
            <w:tcMar>
              <w:top w:w="65" w:type="dxa"/>
              <w:left w:w="65" w:type="dxa"/>
              <w:bottom w:w="65" w:type="dxa"/>
              <w:right w:w="65" w:type="dxa"/>
            </w:tcMar>
            <w:vAlign w:val="center"/>
          </w:tcPr>
          <w:p w14:paraId="2FBEC8B7" w14:textId="77777777" w:rsidR="00AF5C7A" w:rsidRDefault="00FB1870">
            <w:pPr>
              <w:pStyle w:val="Compact"/>
              <w:keepNext/>
              <w:spacing w:before="20" w:after="40" w:line="245" w:lineRule="auto"/>
            </w:pP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m:t>
              </m:r>
            </m:oMath>
            <w:r>
              <w:rPr>
                <w:sz w:val="19"/>
              </w:rPr>
              <w:t xml:space="preserve"> development seeds</w:t>
            </w:r>
          </w:p>
        </w:tc>
        <w:tc>
          <w:tcPr>
            <w:tcW w:w="1180" w:type="dxa"/>
            <w:shd w:val="clear" w:color="auto" w:fill="FFFFFF"/>
            <w:tcMar>
              <w:top w:w="65" w:type="dxa"/>
              <w:left w:w="65" w:type="dxa"/>
              <w:bottom w:w="65" w:type="dxa"/>
              <w:right w:w="65" w:type="dxa"/>
            </w:tcMar>
            <w:vAlign w:val="center"/>
          </w:tcPr>
          <w:p w14:paraId="4526D046" w14:textId="77777777" w:rsidR="00AF5C7A" w:rsidRDefault="00FB1870">
            <w:pPr>
              <w:pStyle w:val="Compact"/>
              <w:keepNext/>
              <w:spacing w:before="20" w:after="40" w:line="245" w:lineRule="auto"/>
            </w:pPr>
            <w:r>
              <w:rPr>
                <w:sz w:val="19"/>
              </w:rPr>
              <w:t>60</w:t>
            </w:r>
          </w:p>
        </w:tc>
        <w:tc>
          <w:tcPr>
            <w:tcW w:w="2656" w:type="dxa"/>
            <w:shd w:val="clear" w:color="auto" w:fill="FFFFFF"/>
            <w:tcMar>
              <w:top w:w="65" w:type="dxa"/>
              <w:left w:w="65" w:type="dxa"/>
              <w:bottom w:w="65" w:type="dxa"/>
              <w:right w:w="65" w:type="dxa"/>
            </w:tcMar>
            <w:vAlign w:val="center"/>
          </w:tcPr>
          <w:p w14:paraId="7D10E551" w14:textId="77777777" w:rsidR="00AF5C7A" w:rsidRDefault="00FB1870">
            <w:pPr>
              <w:pStyle w:val="Compact"/>
              <w:keepNext/>
              <w:spacing w:before="20" w:after="40" w:line="245" w:lineRule="auto"/>
            </w:pPr>
            <w:r>
              <w:rPr>
                <w:sz w:val="19"/>
              </w:rPr>
              <w:t>To be measured</w:t>
            </w:r>
          </w:p>
        </w:tc>
      </w:tr>
      <w:tr w:rsidR="00AF5C7A" w14:paraId="411F385B" w14:textId="77777777" w:rsidTr="00AF5C7A">
        <w:trPr>
          <w:cantSplit/>
        </w:trPr>
        <w:tc>
          <w:tcPr>
            <w:tcW w:w="2065" w:type="dxa"/>
            <w:shd w:val="clear" w:color="auto" w:fill="F5F7F9"/>
            <w:tcMar>
              <w:top w:w="65" w:type="dxa"/>
              <w:left w:w="65" w:type="dxa"/>
              <w:bottom w:w="65" w:type="dxa"/>
              <w:right w:w="65" w:type="dxa"/>
            </w:tcMar>
            <w:vAlign w:val="center"/>
          </w:tcPr>
          <w:p w14:paraId="352C51E5" w14:textId="77777777" w:rsidR="00AF5C7A" w:rsidRDefault="00FB1870">
            <w:pPr>
              <w:pStyle w:val="Compact"/>
              <w:keepNext/>
              <w:spacing w:before="20" w:after="40" w:line="245" w:lineRule="auto"/>
            </w:pPr>
            <w:r>
              <w:rPr>
                <w:sz w:val="19"/>
              </w:rPr>
              <w:t>Primary learners</w:t>
            </w:r>
          </w:p>
        </w:tc>
        <w:tc>
          <w:tcPr>
            <w:tcW w:w="3934" w:type="dxa"/>
            <w:shd w:val="clear" w:color="auto" w:fill="F5F7F9"/>
            <w:tcMar>
              <w:top w:w="65" w:type="dxa"/>
              <w:left w:w="65" w:type="dxa"/>
              <w:bottom w:w="65" w:type="dxa"/>
              <w:right w:w="65" w:type="dxa"/>
            </w:tcMar>
            <w:vAlign w:val="center"/>
          </w:tcPr>
          <w:p w14:paraId="004E82AE" w14:textId="77777777" w:rsidR="00AF5C7A" w:rsidRDefault="00FB1870">
            <w:pPr>
              <w:pStyle w:val="Compact"/>
              <w:keepNext/>
              <w:spacing w:before="20" w:after="40" w:line="245" w:lineRule="auto"/>
            </w:pPr>
            <m:oMath>
              <m:r>
                <w:rPr>
                  <w:rFonts w:ascii="Cambria Math" w:hAnsi="Cambria Math"/>
                </w:rPr>
                <m:t>3</m:t>
              </m:r>
              <m:r>
                <m:rPr>
                  <m:sty m:val="p"/>
                </m:rPr>
                <w:rPr>
                  <w:rFonts w:ascii="Cambria Math" w:hAnsi="Cambria Math"/>
                </w:rPr>
                <m:t>×</m:t>
              </m:r>
              <m:r>
                <w:rPr>
                  <w:rFonts w:ascii="Cambria Math" w:hAnsi="Cambria Math"/>
                </w:rPr>
                <m:t>4</m:t>
              </m:r>
            </m:oMath>
            <w:r>
              <w:rPr>
                <w:sz w:val="19"/>
              </w:rPr>
              <w:t xml:space="preserve"> doses</w:t>
            </w:r>
            <m:oMath>
              <m:r>
                <m:rPr>
                  <m:sty m:val="p"/>
                </m:rPr>
                <w:rPr>
                  <w:rFonts w:ascii="Cambria Math" w:hAnsi="Cambria Math"/>
                </w:rPr>
                <m:t>×</m:t>
              </m:r>
              <m:r>
                <w:rPr>
                  <w:rFonts w:ascii="Cambria Math" w:hAnsi="Cambria Math"/>
                </w:rPr>
                <m:t>12</m:t>
              </m:r>
            </m:oMath>
            <w:r>
              <w:rPr>
                <w:sz w:val="19"/>
              </w:rPr>
              <w:t xml:space="preserve"> seeds</w:t>
            </w:r>
          </w:p>
        </w:tc>
        <w:tc>
          <w:tcPr>
            <w:tcW w:w="1180" w:type="dxa"/>
            <w:shd w:val="clear" w:color="auto" w:fill="F5F7F9"/>
            <w:tcMar>
              <w:top w:w="65" w:type="dxa"/>
              <w:left w:w="65" w:type="dxa"/>
              <w:bottom w:w="65" w:type="dxa"/>
              <w:right w:w="65" w:type="dxa"/>
            </w:tcMar>
            <w:vAlign w:val="center"/>
          </w:tcPr>
          <w:p w14:paraId="5EF8016F" w14:textId="77777777" w:rsidR="00AF5C7A" w:rsidRDefault="00FB1870">
            <w:pPr>
              <w:pStyle w:val="Compact"/>
              <w:keepNext/>
              <w:spacing w:before="20" w:after="40" w:line="245" w:lineRule="auto"/>
            </w:pPr>
            <w:r>
              <w:rPr>
                <w:sz w:val="19"/>
              </w:rPr>
              <w:t>144</w:t>
            </w:r>
          </w:p>
        </w:tc>
        <w:tc>
          <w:tcPr>
            <w:tcW w:w="2656" w:type="dxa"/>
            <w:shd w:val="clear" w:color="auto" w:fill="F5F7F9"/>
            <w:tcMar>
              <w:top w:w="65" w:type="dxa"/>
              <w:left w:w="65" w:type="dxa"/>
              <w:bottom w:w="65" w:type="dxa"/>
              <w:right w:w="65" w:type="dxa"/>
            </w:tcMar>
            <w:vAlign w:val="center"/>
          </w:tcPr>
          <w:p w14:paraId="6B5BF051" w14:textId="77777777" w:rsidR="00AF5C7A" w:rsidRDefault="00FB1870">
            <w:pPr>
              <w:pStyle w:val="Compact"/>
              <w:keepNext/>
              <w:spacing w:before="20" w:after="40" w:line="245" w:lineRule="auto"/>
            </w:pPr>
            <w:r>
              <w:rPr>
                <w:sz w:val="19"/>
              </w:rPr>
              <w:t>To be measured</w:t>
            </w:r>
          </w:p>
        </w:tc>
      </w:tr>
      <w:tr w:rsidR="00AF5C7A" w14:paraId="766E527A" w14:textId="77777777" w:rsidTr="00AF5C7A">
        <w:trPr>
          <w:cantSplit/>
        </w:trPr>
        <w:tc>
          <w:tcPr>
            <w:tcW w:w="2065" w:type="dxa"/>
            <w:shd w:val="clear" w:color="auto" w:fill="FFFFFF"/>
            <w:tcMar>
              <w:top w:w="65" w:type="dxa"/>
              <w:left w:w="65" w:type="dxa"/>
              <w:bottom w:w="65" w:type="dxa"/>
              <w:right w:w="65" w:type="dxa"/>
            </w:tcMar>
            <w:vAlign w:val="center"/>
          </w:tcPr>
          <w:p w14:paraId="65C1C84F" w14:textId="77777777" w:rsidR="00AF5C7A" w:rsidRDefault="00FB1870">
            <w:pPr>
              <w:pStyle w:val="Compact"/>
              <w:keepNext/>
              <w:spacing w:before="20" w:after="40" w:line="245" w:lineRule="auto"/>
            </w:pPr>
            <w:r>
              <w:rPr>
                <w:sz w:val="19"/>
              </w:rPr>
              <w:t>Additional defense arms</w:t>
            </w:r>
          </w:p>
        </w:tc>
        <w:tc>
          <w:tcPr>
            <w:tcW w:w="3934" w:type="dxa"/>
            <w:shd w:val="clear" w:color="auto" w:fill="FFFFFF"/>
            <w:tcMar>
              <w:top w:w="65" w:type="dxa"/>
              <w:left w:w="65" w:type="dxa"/>
              <w:bottom w:w="65" w:type="dxa"/>
              <w:right w:w="65" w:type="dxa"/>
            </w:tcMar>
            <w:vAlign w:val="center"/>
          </w:tcPr>
          <w:p w14:paraId="562E62F4" w14:textId="77777777" w:rsidR="00AF5C7A" w:rsidRDefault="00FB1870">
            <w:pPr>
              <w:pStyle w:val="Compact"/>
              <w:keepNext/>
              <w:spacing w:before="20" w:after="40" w:line="245" w:lineRule="auto"/>
            </w:pPr>
            <m:oMath>
              <m:r>
                <w:rPr>
                  <w:rFonts w:ascii="Cambria Math" w:hAnsi="Cambria Math"/>
                </w:rPr>
                <m:t>3</m:t>
              </m:r>
            </m:oMath>
            <w:r>
              <w:rPr>
                <w:sz w:val="19"/>
              </w:rPr>
              <w:t xml:space="preserve"> (DG/DM/DC)</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12</m:t>
              </m:r>
            </m:oMath>
          </w:p>
        </w:tc>
        <w:tc>
          <w:tcPr>
            <w:tcW w:w="1180" w:type="dxa"/>
            <w:shd w:val="clear" w:color="auto" w:fill="FFFFFF"/>
            <w:tcMar>
              <w:top w:w="65" w:type="dxa"/>
              <w:left w:w="65" w:type="dxa"/>
              <w:bottom w:w="65" w:type="dxa"/>
              <w:right w:w="65" w:type="dxa"/>
            </w:tcMar>
            <w:vAlign w:val="center"/>
          </w:tcPr>
          <w:p w14:paraId="4C9705D4" w14:textId="77777777" w:rsidR="00AF5C7A" w:rsidRDefault="00FB1870">
            <w:pPr>
              <w:pStyle w:val="Compact"/>
              <w:keepNext/>
              <w:spacing w:before="20" w:after="40" w:line="245" w:lineRule="auto"/>
            </w:pPr>
            <w:r>
              <w:rPr>
                <w:sz w:val="19"/>
              </w:rPr>
              <w:t>144</w:t>
            </w:r>
          </w:p>
        </w:tc>
        <w:tc>
          <w:tcPr>
            <w:tcW w:w="2656" w:type="dxa"/>
            <w:shd w:val="clear" w:color="auto" w:fill="FFFFFF"/>
            <w:tcMar>
              <w:top w:w="65" w:type="dxa"/>
              <w:left w:w="65" w:type="dxa"/>
              <w:bottom w:w="65" w:type="dxa"/>
              <w:right w:w="65" w:type="dxa"/>
            </w:tcMar>
            <w:vAlign w:val="center"/>
          </w:tcPr>
          <w:p w14:paraId="58C77207" w14:textId="77777777" w:rsidR="00AF5C7A" w:rsidRDefault="00FB1870">
            <w:pPr>
              <w:pStyle w:val="Compact"/>
              <w:keepNext/>
              <w:spacing w:before="20" w:after="40" w:line="245" w:lineRule="auto"/>
            </w:pPr>
            <w:r>
              <w:rPr>
                <w:sz w:val="19"/>
              </w:rPr>
              <w:t>To be measured</w:t>
            </w:r>
          </w:p>
        </w:tc>
      </w:tr>
      <w:tr w:rsidR="00AF5C7A" w14:paraId="7CA015BA" w14:textId="77777777" w:rsidTr="00AF5C7A">
        <w:trPr>
          <w:cantSplit/>
        </w:trPr>
        <w:tc>
          <w:tcPr>
            <w:tcW w:w="2065" w:type="dxa"/>
            <w:shd w:val="clear" w:color="auto" w:fill="F5F7F9"/>
            <w:tcMar>
              <w:top w:w="65" w:type="dxa"/>
              <w:left w:w="65" w:type="dxa"/>
              <w:bottom w:w="65" w:type="dxa"/>
              <w:right w:w="65" w:type="dxa"/>
            </w:tcMar>
            <w:vAlign w:val="center"/>
          </w:tcPr>
          <w:p w14:paraId="015F0DA8" w14:textId="77777777" w:rsidR="00AF5C7A" w:rsidRDefault="00FB1870">
            <w:pPr>
              <w:pStyle w:val="Compact"/>
              <w:keepNext/>
              <w:spacing w:before="20" w:after="40" w:line="245" w:lineRule="auto"/>
            </w:pPr>
            <w:r>
              <w:rPr>
                <w:sz w:val="19"/>
              </w:rPr>
              <w:t>External check</w:t>
            </w:r>
          </w:p>
        </w:tc>
        <w:tc>
          <w:tcPr>
            <w:tcW w:w="3934" w:type="dxa"/>
            <w:shd w:val="clear" w:color="auto" w:fill="F5F7F9"/>
            <w:tcMar>
              <w:top w:w="65" w:type="dxa"/>
              <w:left w:w="65" w:type="dxa"/>
              <w:bottom w:w="65" w:type="dxa"/>
              <w:right w:w="65" w:type="dxa"/>
            </w:tcMar>
            <w:vAlign w:val="center"/>
          </w:tcPr>
          <w:p w14:paraId="369B98E9" w14:textId="77777777" w:rsidR="00AF5C7A" w:rsidRDefault="00FB1870">
            <w:pPr>
              <w:pStyle w:val="Compact"/>
              <w:keepNext/>
              <w:spacing w:before="20" w:after="40" w:line="245" w:lineRule="auto"/>
            </w:pPr>
            <m:oMath>
              <m:r>
                <w:rPr>
                  <w:rFonts w:ascii="Cambria Math" w:hAnsi="Cambria Math"/>
                </w:rPr>
                <m:t>3</m:t>
              </m:r>
            </m:oMath>
            <w:r>
              <w:rPr>
                <w:sz w:val="19"/>
              </w:rPr>
              <w:t xml:space="preserve"> (DR/DM/DC)</w:t>
            </w:r>
            <m:oMath>
              <m:r>
                <m:rPr>
                  <m:sty m:val="p"/>
                </m:rPr>
                <w:rPr>
                  <w:rFonts w:ascii="Cambria Math" w:hAnsi="Cambria Math"/>
                </w:rPr>
                <m:t>×</m:t>
              </m:r>
              <m:r>
                <w:rPr>
                  <w:rFonts w:ascii="Cambria Math" w:hAnsi="Cambria Math"/>
                </w:rPr>
                <m:t>2</m:t>
              </m:r>
            </m:oMath>
            <w:r>
              <w:rPr>
                <w:sz w:val="19"/>
              </w:rPr>
              <w:t xml:space="preserve"> doses</w:t>
            </w:r>
            <m:oMath>
              <m:r>
                <m:rPr>
                  <m:sty m:val="p"/>
                </m:rPr>
                <w:rPr>
                  <w:rFonts w:ascii="Cambria Math" w:hAnsi="Cambria Math"/>
                </w:rPr>
                <m:t>×</m:t>
              </m:r>
              <m:r>
                <w:rPr>
                  <w:rFonts w:ascii="Cambria Math" w:hAnsi="Cambria Math"/>
                </w:rPr>
                <m:t>12</m:t>
              </m:r>
            </m:oMath>
          </w:p>
        </w:tc>
        <w:tc>
          <w:tcPr>
            <w:tcW w:w="1180" w:type="dxa"/>
            <w:shd w:val="clear" w:color="auto" w:fill="F5F7F9"/>
            <w:tcMar>
              <w:top w:w="65" w:type="dxa"/>
              <w:left w:w="65" w:type="dxa"/>
              <w:bottom w:w="65" w:type="dxa"/>
              <w:right w:w="65" w:type="dxa"/>
            </w:tcMar>
            <w:vAlign w:val="center"/>
          </w:tcPr>
          <w:p w14:paraId="0A45E2F0" w14:textId="77777777" w:rsidR="00AF5C7A" w:rsidRDefault="00FB1870">
            <w:pPr>
              <w:pStyle w:val="Compact"/>
              <w:keepNext/>
              <w:spacing w:before="20" w:after="40" w:line="245" w:lineRule="auto"/>
            </w:pPr>
            <w:r>
              <w:rPr>
                <w:sz w:val="19"/>
              </w:rPr>
              <w:t>72</w:t>
            </w:r>
          </w:p>
        </w:tc>
        <w:tc>
          <w:tcPr>
            <w:tcW w:w="2656" w:type="dxa"/>
            <w:shd w:val="clear" w:color="auto" w:fill="F5F7F9"/>
            <w:tcMar>
              <w:top w:w="65" w:type="dxa"/>
              <w:left w:w="65" w:type="dxa"/>
              <w:bottom w:w="65" w:type="dxa"/>
              <w:right w:w="65" w:type="dxa"/>
            </w:tcMar>
            <w:vAlign w:val="center"/>
          </w:tcPr>
          <w:p w14:paraId="361FCA49" w14:textId="77777777" w:rsidR="00AF5C7A" w:rsidRDefault="00FB1870">
            <w:pPr>
              <w:pStyle w:val="Compact"/>
              <w:keepNext/>
              <w:spacing w:before="20" w:after="40" w:line="245" w:lineRule="auto"/>
            </w:pPr>
            <w:r>
              <w:rPr>
                <w:sz w:val="19"/>
              </w:rPr>
              <w:t>To be measured</w:t>
            </w:r>
          </w:p>
        </w:tc>
      </w:tr>
      <w:tr w:rsidR="00AF5C7A" w14:paraId="781DA86E" w14:textId="77777777" w:rsidTr="00AF5C7A">
        <w:trPr>
          <w:cantSplit/>
        </w:trPr>
        <w:tc>
          <w:tcPr>
            <w:tcW w:w="2065" w:type="dxa"/>
            <w:shd w:val="clear" w:color="auto" w:fill="FFFFFF"/>
            <w:tcMar>
              <w:top w:w="65" w:type="dxa"/>
              <w:left w:w="65" w:type="dxa"/>
              <w:bottom w:w="65" w:type="dxa"/>
              <w:right w:w="65" w:type="dxa"/>
            </w:tcMar>
            <w:vAlign w:val="center"/>
          </w:tcPr>
          <w:p w14:paraId="246E7E27" w14:textId="77777777" w:rsidR="00AF5C7A" w:rsidRDefault="00FB1870">
            <w:pPr>
              <w:pStyle w:val="Compact"/>
              <w:keepNext/>
              <w:spacing w:before="20" w:after="40" w:line="245" w:lineRule="auto"/>
            </w:pPr>
            <w:r>
              <w:rPr>
                <w:sz w:val="19"/>
              </w:rPr>
              <w:t>Optional ablations</w:t>
            </w:r>
          </w:p>
        </w:tc>
        <w:tc>
          <w:tcPr>
            <w:tcW w:w="3934" w:type="dxa"/>
            <w:shd w:val="clear" w:color="auto" w:fill="FFFFFF"/>
            <w:tcMar>
              <w:top w:w="65" w:type="dxa"/>
              <w:left w:w="65" w:type="dxa"/>
              <w:bottom w:w="65" w:type="dxa"/>
              <w:right w:w="65" w:type="dxa"/>
            </w:tcMar>
            <w:vAlign w:val="center"/>
          </w:tcPr>
          <w:p w14:paraId="3DEA6221" w14:textId="77777777" w:rsidR="00AF5C7A" w:rsidRDefault="00FB1870">
            <w:pPr>
              <w:pStyle w:val="Compact"/>
              <w:keepNext/>
              <w:spacing w:before="20" w:after="40" w:line="245" w:lineRule="auto"/>
            </w:pP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rPr>
                <w:sz w:val="19"/>
              </w:rPr>
              <w:t xml:space="preserve"> changed arm settings</w:t>
            </w:r>
            <m:oMath>
              <m:r>
                <m:rPr>
                  <m:sty m:val="p"/>
                </m:rPr>
                <w:rPr>
                  <w:rFonts w:ascii="Cambria Math" w:hAnsi="Cambria Math"/>
                </w:rPr>
                <m:t>×</m:t>
              </m:r>
              <m:r>
                <w:rPr>
                  <w:rFonts w:ascii="Cambria Math" w:hAnsi="Cambria Math"/>
                </w:rPr>
                <m:t>2</m:t>
              </m:r>
            </m:oMath>
            <w:r>
              <w:rPr>
                <w:sz w:val="19"/>
              </w:rPr>
              <w:t xml:space="preserve"> doses</w:t>
            </w:r>
            <m:oMath>
              <m:r>
                <m:rPr>
                  <m:sty m:val="p"/>
                </m:rPr>
                <w:rPr>
                  <w:rFonts w:ascii="Cambria Math" w:hAnsi="Cambria Math"/>
                </w:rPr>
                <m:t>×</m:t>
              </m:r>
              <m:r>
                <w:rPr>
                  <w:rFonts w:ascii="Cambria Math" w:hAnsi="Cambria Math"/>
                </w:rPr>
                <m:t>12</m:t>
              </m:r>
            </m:oMath>
          </w:p>
        </w:tc>
        <w:tc>
          <w:tcPr>
            <w:tcW w:w="1180" w:type="dxa"/>
            <w:shd w:val="clear" w:color="auto" w:fill="FFFFFF"/>
            <w:tcMar>
              <w:top w:w="65" w:type="dxa"/>
              <w:left w:w="65" w:type="dxa"/>
              <w:bottom w:w="65" w:type="dxa"/>
              <w:right w:w="65" w:type="dxa"/>
            </w:tcMar>
            <w:vAlign w:val="center"/>
          </w:tcPr>
          <w:p w14:paraId="63C35C29" w14:textId="77777777" w:rsidR="00AF5C7A" w:rsidRDefault="00FB1870">
            <w:pPr>
              <w:pStyle w:val="Compact"/>
              <w:keepNext/>
              <w:spacing w:before="20" w:after="40" w:line="245" w:lineRule="auto"/>
            </w:pPr>
            <w:r>
              <w:rPr>
                <w:sz w:val="19"/>
              </w:rPr>
              <w:t>192</w:t>
            </w:r>
          </w:p>
        </w:tc>
        <w:tc>
          <w:tcPr>
            <w:tcW w:w="2656" w:type="dxa"/>
            <w:shd w:val="clear" w:color="auto" w:fill="FFFFFF"/>
            <w:tcMar>
              <w:top w:w="65" w:type="dxa"/>
              <w:left w:w="65" w:type="dxa"/>
              <w:bottom w:w="65" w:type="dxa"/>
              <w:right w:w="65" w:type="dxa"/>
            </w:tcMar>
            <w:vAlign w:val="center"/>
          </w:tcPr>
          <w:p w14:paraId="58B3785F" w14:textId="77777777" w:rsidR="00AF5C7A" w:rsidRDefault="00FB1870">
            <w:pPr>
              <w:pStyle w:val="Compact"/>
              <w:keepNext/>
              <w:spacing w:before="20" w:after="40" w:line="245" w:lineRule="auto"/>
            </w:pPr>
            <w:r>
              <w:rPr>
                <w:sz w:val="19"/>
              </w:rPr>
              <w:t>To be measured</w:t>
            </w:r>
          </w:p>
        </w:tc>
      </w:tr>
      <w:tr w:rsidR="00AF5C7A" w14:paraId="63CA20EB" w14:textId="77777777" w:rsidTr="00AF5C7A">
        <w:trPr>
          <w:cantSplit/>
        </w:trPr>
        <w:tc>
          <w:tcPr>
            <w:tcW w:w="2065" w:type="dxa"/>
            <w:shd w:val="clear" w:color="auto" w:fill="F5F7F9"/>
            <w:tcMar>
              <w:top w:w="65" w:type="dxa"/>
              <w:left w:w="65" w:type="dxa"/>
              <w:bottom w:w="65" w:type="dxa"/>
              <w:right w:w="65" w:type="dxa"/>
            </w:tcMar>
            <w:vAlign w:val="center"/>
          </w:tcPr>
          <w:p w14:paraId="24D36E96" w14:textId="77777777" w:rsidR="00AF5C7A" w:rsidRDefault="00FB1870">
            <w:pPr>
              <w:pStyle w:val="Compact"/>
              <w:spacing w:before="20" w:after="40" w:line="245" w:lineRule="auto"/>
            </w:pPr>
            <w:r>
              <w:rPr>
                <w:sz w:val="19"/>
              </w:rPr>
              <w:t>Oracle memory diagnostic</w:t>
            </w:r>
          </w:p>
        </w:tc>
        <w:tc>
          <w:tcPr>
            <w:tcW w:w="3934" w:type="dxa"/>
            <w:shd w:val="clear" w:color="auto" w:fill="F5F7F9"/>
            <w:tcMar>
              <w:top w:w="65" w:type="dxa"/>
              <w:left w:w="65" w:type="dxa"/>
              <w:bottom w:w="65" w:type="dxa"/>
              <w:right w:w="65" w:type="dxa"/>
            </w:tcMar>
            <w:vAlign w:val="center"/>
          </w:tcPr>
          <w:p w14:paraId="5E463640" w14:textId="77777777" w:rsidR="00AF5C7A" w:rsidRDefault="00FB1870">
            <w:pPr>
              <w:pStyle w:val="Compact"/>
              <w:spacing w:before="20" w:after="40" w:line="245" w:lineRule="auto"/>
            </w:pPr>
            <m:oMath>
              <m:r>
                <w:rPr>
                  <w:rFonts w:ascii="Cambria Math" w:hAnsi="Cambria Math"/>
                </w:rPr>
                <m:t>2</m:t>
              </m:r>
            </m:oMath>
            <w:r>
              <w:rPr>
                <w:sz w:val="19"/>
              </w:rPr>
              <w:t xml:space="preserve"> DR clones</w:t>
            </w:r>
            <m:oMath>
              <m:r>
                <m:rPr>
                  <m:sty m:val="p"/>
                </m:rPr>
                <w:rPr>
                  <w:rFonts w:ascii="Cambria Math" w:hAnsi="Cambria Math"/>
                </w:rPr>
                <m:t>×</m:t>
              </m:r>
              <m:r>
                <w:rPr>
                  <w:rFonts w:ascii="Cambria Math" w:hAnsi="Cambria Math"/>
                </w:rPr>
                <m:t>1</m:t>
              </m:r>
            </m:oMath>
            <w:r>
              <w:rPr>
                <w:sz w:val="19"/>
              </w:rPr>
              <w:t xml:space="preserve"> maximum dose</w:t>
            </w:r>
            <m:oMath>
              <m:r>
                <m:rPr>
                  <m:sty m:val="p"/>
                </m:rPr>
                <w:rPr>
                  <w:rFonts w:ascii="Cambria Math" w:hAnsi="Cambria Math"/>
                </w:rPr>
                <m:t>×</m:t>
              </m:r>
              <m:r>
                <w:rPr>
                  <w:rFonts w:ascii="Cambria Math" w:hAnsi="Cambria Math"/>
                </w:rPr>
                <m:t>12</m:t>
              </m:r>
            </m:oMath>
            <w:r>
              <w:rPr>
                <w:sz w:val="19"/>
              </w:rPr>
              <w:t xml:space="preserve"> continuations</w:t>
            </w:r>
          </w:p>
        </w:tc>
        <w:tc>
          <w:tcPr>
            <w:tcW w:w="1180" w:type="dxa"/>
            <w:shd w:val="clear" w:color="auto" w:fill="F5F7F9"/>
            <w:tcMar>
              <w:top w:w="65" w:type="dxa"/>
              <w:left w:w="65" w:type="dxa"/>
              <w:bottom w:w="65" w:type="dxa"/>
              <w:right w:w="65" w:type="dxa"/>
            </w:tcMar>
            <w:vAlign w:val="center"/>
          </w:tcPr>
          <w:p w14:paraId="469C1336" w14:textId="77777777" w:rsidR="00AF5C7A" w:rsidRDefault="00FB1870">
            <w:pPr>
              <w:pStyle w:val="Compact"/>
              <w:spacing w:before="20" w:after="40" w:line="245" w:lineRule="auto"/>
            </w:pPr>
            <w:r>
              <w:rPr>
                <w:sz w:val="19"/>
              </w:rPr>
              <w:t>24</w:t>
            </w:r>
          </w:p>
        </w:tc>
        <w:tc>
          <w:tcPr>
            <w:tcW w:w="2656" w:type="dxa"/>
            <w:shd w:val="clear" w:color="auto" w:fill="F5F7F9"/>
            <w:tcMar>
              <w:top w:w="65" w:type="dxa"/>
              <w:left w:w="65" w:type="dxa"/>
              <w:bottom w:w="65" w:type="dxa"/>
              <w:right w:w="65" w:type="dxa"/>
            </w:tcMar>
            <w:vAlign w:val="center"/>
          </w:tcPr>
          <w:p w14:paraId="6C99CFE9" w14:textId="77777777" w:rsidR="00AF5C7A" w:rsidRDefault="00FB1870">
            <w:pPr>
              <w:pStyle w:val="Compact"/>
              <w:spacing w:before="20" w:after="40" w:line="245" w:lineRule="auto"/>
            </w:pPr>
            <w:r>
              <w:rPr>
                <w:sz w:val="19"/>
              </w:rPr>
              <w:t>To be measured</w:t>
            </w:r>
          </w:p>
        </w:tc>
      </w:tr>
    </w:tbl>
    <w:p w14:paraId="5C5DBA33" w14:textId="77777777" w:rsidR="00AF5C7A" w:rsidRDefault="00FB1870">
      <w:pPr>
        <w:pStyle w:val="BodyText"/>
      </w:pPr>
      <w:r>
        <w:t>The enumerated total is 633 full runs and 24 continuations, including 81 development and 288 main runs. Reruns and external calibration need separate budgets. The external check will remain an exploratory transfer study, with no new confirmatory family or pooled primary estimate. Its source family, chronology, eligibility floor and corruption mapping must be specified in a separate development-only manifest before external outcomes are inspected; inability to establish those conditions will omit the check r</w:t>
      </w:r>
      <w:r>
        <w:t xml:space="preserve">ather than reuse the CICIDS2017 class schedule. Fallback omits DG/external/optional work, retaining 240 final plus 81 development runs and all twelve seeds. The development decision will use measured median full-run wall time, counting training and communication separately; ties will favor fewer synchronization rounds. Record hardware, versions, two-thread CPU settings and interruptions; sum measured costs. GPU availability is to be confirmed. Inference cost will use the same predeclared clean-input subset </w:t>
      </w:r>
      <w:r>
        <w:t>for every arm, batches of 1 and 256, ten warm-up calls and 100 timed calls; report median and 95th-percentile latency with device synchronization where required. Communication counts will include actual parameter payloads and disclosed metadata overhead; numeric-state formulas alone do not establish deployment cost.</w:t>
      </w:r>
    </w:p>
    <w:p w14:paraId="12BD26C6" w14:textId="77777777" w:rsidR="00AF5C7A" w:rsidRDefault="00FB1870">
      <w:pPr>
        <w:pStyle w:val="BodyText"/>
      </w:pPr>
      <w:r>
        <w:t>Seeds randomize ownership, attack selection, row order, initialization, replay and dropout. Substreams index seed/client/stage/round/minibatch/purpose; fixed files, sessions, exclusions and banks do not change. Freeze the analysis specification before final runs.</w:t>
      </w:r>
    </w:p>
    <w:p w14:paraId="7D853126" w14:textId="77777777" w:rsidR="00AF5C7A" w:rsidRDefault="00FB1870">
      <w:pPr>
        <w:pStyle w:val="Heading21"/>
      </w:pPr>
      <w:bookmarkStart w:id="17" w:name="evaluation-metrics"/>
      <w:bookmarkEnd w:id="16"/>
      <w:r>
        <w:t>Step 8 Evaluation Metrics</w:t>
      </w:r>
    </w:p>
    <w:p w14:paraId="79BB79FC" w14:textId="77777777" w:rsidR="00AF5C7A" w:rsidRDefault="00FB1870">
      <w:pPr>
        <w:pStyle w:val="FirstParagraph"/>
      </w:pPr>
      <w:r>
        <w:t xml:space="preserve">Freeze reference-family support before outcomes. For each cumulative seen bank, </w:t>
      </w:r>
      <m:oMath>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eval,</m:t>
            </m:r>
            <m:r>
              <w:rPr>
                <w:rFonts w:ascii="Cambria Math" w:hAnsi="Cambria Math"/>
              </w:rPr>
              <m:t>t</m:t>
            </m:r>
          </m:sub>
        </m:sSub>
      </m:oMath>
      <w:r>
        <w:t xml:space="preserve"> contains its support-qualified reference classes; evaluator-only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oMath>
      <w:r>
        <w:t xml:space="preserve"> </w:t>
      </w:r>
      <w:r>
        <w:t>lists the scheduled new families independently of supplied labels. Define</w:t>
      </w:r>
    </w:p>
    <w:p w14:paraId="2843AA11"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p"/>
                      </m:rPr>
                      <w:rPr>
                        <w:rFonts w:ascii="Cambria Math" w:hAnsi="Cambria Math"/>
                      </w:rPr>
                      <m:t>Prec</m:t>
                    </m:r>
                  </m:e>
                  <m:sub>
                    <m:r>
                      <w:rPr>
                        <w:rFonts w:ascii="Cambria Math" w:hAnsi="Cambria Math"/>
                      </w:rPr>
                      <m:t>c</m:t>
                    </m:r>
                  </m:sub>
                </m:sSub>
              </m:e>
              <m:e>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Rec</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den>
                </m:f>
                <m:r>
                  <m:rPr>
                    <m:sty m:val="p"/>
                  </m:rPr>
                  <w:rPr>
                    <w:rFonts w:ascii="Cambria Math" w:hAnsi="Cambria Math"/>
                  </w:rPr>
                  <m:t>,</m:t>
                </m:r>
                <m:r>
                  <w:rPr>
                    <w:rFonts w:ascii="Cambria Math" w:hAnsi="Cambria Math"/>
                  </w:rPr>
                  <m:t> </m:t>
                </m:r>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2</m:t>
                    </m:r>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den>
                </m:f>
                <m:r>
                  <m:rPr>
                    <m:sty m:val="p"/>
                  </m:rPr>
                  <w:rPr>
                    <w:rFonts w:ascii="Cambria Math" w:hAnsi="Cambria Math"/>
                  </w:rPr>
                  <m:t>,</m:t>
                </m:r>
              </m:e>
            </m:mr>
            <m:mr>
              <m:e>
                <m:r>
                  <w:rPr>
                    <w:rFonts w:ascii="Cambria Math" w:hAnsi="Cambria Math"/>
                  </w:rPr>
                  <m:t>F</m:t>
                </m:r>
                <m:sSub>
                  <m:sSubPr>
                    <m:ctrlPr>
                      <w:rPr>
                        <w:rFonts w:ascii="Cambria Math" w:hAnsi="Cambria Math"/>
                      </w:rPr>
                    </m:ctrlPr>
                  </m:sSubPr>
                  <m:e>
                    <m:r>
                      <w:rPr>
                        <w:rFonts w:ascii="Cambria Math" w:hAnsi="Cambria Math"/>
                      </w:rPr>
                      <m:t>1</m:t>
                    </m:r>
                  </m:e>
                  <m:sub>
                    <m:r>
                      <m:rPr>
                        <m:sty m:val="p"/>
                      </m:rPr>
                      <w:rPr>
                        <w:rFonts w:ascii="Cambria Math" w:hAnsi="Cambria Math"/>
                      </w:rPr>
                      <m:t>macro,</m:t>
                    </m:r>
                    <m:r>
                      <w:rPr>
                        <w:rFonts w:ascii="Cambria Math" w:hAnsi="Cambria Math"/>
                      </w:rPr>
                      <m:t>t</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eval,</m:t>
                        </m:r>
                        <m:r>
                          <w:rPr>
                            <w:rFonts w:ascii="Cambria Math" w:hAnsi="Cambria Math"/>
                          </w:rPr>
                          <m:t>t</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eval,</m:t>
                        </m:r>
                        <m:r>
                          <w:rPr>
                            <w:rFonts w:ascii="Cambria Math" w:hAnsi="Cambria Math"/>
                          </w:rPr>
                          <m:t>t</m:t>
                        </m:r>
                      </m:sub>
                    </m:sSub>
                  </m:sub>
                  <m:sup>
                    <m:r>
                      <w:rPr>
                        <w:rFonts w:ascii="Cambria Math" w:hAnsi="Cambria Math"/>
                      </w:rPr>
                      <m:t>​</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FAR</m:t>
                    </m:r>
                  </m:e>
                  <m:sub>
                    <m:r>
                      <w:rPr>
                        <w:rFonts w:ascii="Cambria Math" w:hAnsi="Cambria Math"/>
                      </w:rPr>
                      <m:t>B</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e>
            </m:mr>
          </m:m>
        </m:oMath>
      </m:oMathPara>
    </w:p>
    <w:p w14:paraId="46E008D8" w14:textId="77777777" w:rsidR="00AF5C7A" w:rsidRDefault="00FB1870">
      <w:pPr>
        <w:pStyle w:val="FirstParagraph"/>
        <w:spacing w:after="80"/>
        <w:jc w:val="right"/>
      </w:pPr>
      <w:r>
        <w:t>(12)</w:t>
      </w:r>
    </w:p>
    <w:p w14:paraId="1BC028ED" w14:textId="77777777" w:rsidR="00AF5C7A" w:rsidRDefault="00FB1870">
      <w:pPr>
        <w:pStyle w:val="BodyText"/>
      </w:pPr>
      <w:r>
        <w:t xml:space="preserve">An unpredicted supported class has F1 zero; precision is </w:t>
      </w:r>
      <m:oMath>
        <m:r>
          <m:rPr>
            <m:sty m:val="p"/>
          </m:rPr>
          <w:rPr>
            <w:rFonts w:ascii="Cambria Math" w:hAnsi="Cambria Math"/>
          </w:rPr>
          <m:t>N/A</m:t>
        </m:r>
      </m:oMath>
      <w:r>
        <w:t xml:space="preserve"> when </w:t>
      </w:r>
      <m:oMath>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0</m:t>
        </m:r>
      </m:oMath>
      <w:r>
        <w:t xml:space="preserve">. Empty support gives </w:t>
      </w:r>
      <m:oMath>
        <m:r>
          <m:rPr>
            <m:sty m:val="p"/>
          </m:rPr>
          <w:rPr>
            <w:rFonts w:ascii="Cambria Math" w:hAnsi="Cambria Math"/>
          </w:rPr>
          <m:t>N/A</m:t>
        </m:r>
      </m:oMath>
      <w:r>
        <w:t>. Acquisition uses immediate scheduled-family F1:</w:t>
      </w:r>
    </w:p>
    <w:p w14:paraId="35EED980" w14:textId="77777777" w:rsidR="00AF5C7A" w:rsidRDefault="00FB1870">
      <w:pPr>
        <w:pStyle w:val="BodyText"/>
        <w:keepNext/>
        <w:keepLines/>
      </w:pPr>
      <m:oMathPara>
        <m:oMathParaPr>
          <m:jc m:val="center"/>
        </m:oMathParaP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4</m:t>
              </m:r>
            </m:sup>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eval,</m:t>
                          </m:r>
                          <m:r>
                            <w:rPr>
                              <w:rFonts w:ascii="Cambria Math" w:hAnsi="Cambria Math"/>
                            </w:rPr>
                            <m:t>t</m:t>
                          </m:r>
                        </m:sub>
                      </m:sSub>
                    </m:sub>
                    <m:sup>
                      <m:r>
                        <w:rPr>
                          <w:rFonts w:ascii="Cambria Math" w:hAnsi="Cambria Math"/>
                        </w:rPr>
                        <m:t>​</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c</m:t>
                      </m:r>
                      <m:r>
                        <m:rPr>
                          <m:sty m:val="p"/>
                        </m:rPr>
                        <w:rPr>
                          <w:rFonts w:ascii="Cambria Math" w:hAnsi="Cambria Math"/>
                        </w:rPr>
                        <m:t>,</m:t>
                      </m:r>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eval,</m:t>
                      </m:r>
                      <m:r>
                        <w:rPr>
                          <w:rFonts w:ascii="Cambria Math" w:hAnsi="Cambria Math"/>
                        </w:rPr>
                        <m:t>t</m:t>
                      </m:r>
                    </m:sub>
                  </m:sSub>
                  <m:r>
                    <m:rPr>
                      <m:sty m:val="p"/>
                    </m:rPr>
                    <w:rPr>
                      <w:rFonts w:ascii="Cambria Math" w:hAnsi="Cambria Math"/>
                    </w:rPr>
                    <m:t>|</m:t>
                  </m:r>
                </m:den>
              </m:f>
            </m:e>
          </m:nary>
          <m:r>
            <m:rPr>
              <m:sty m:val="p"/>
            </m:rPr>
            <w:rPr>
              <w:rFonts w:ascii="Cambria Math" w:hAnsi="Cambria Math"/>
            </w:rPr>
            <m:t>.</m:t>
          </m:r>
        </m:oMath>
      </m:oMathPara>
    </w:p>
    <w:p w14:paraId="271ACF54" w14:textId="77777777" w:rsidR="00AF5C7A" w:rsidRDefault="00FB1870">
      <w:pPr>
        <w:pStyle w:val="FirstParagraph"/>
        <w:spacing w:after="80"/>
        <w:jc w:val="right"/>
      </w:pPr>
      <w:r>
        <w:t>(13)</w:t>
      </w:r>
    </w:p>
    <w:p w14:paraId="4A909C76" w14:textId="77777777" w:rsidR="00AF5C7A" w:rsidRDefault="00FB1870">
      <w:pPr>
        <w:pStyle w:val="BodyText"/>
      </w:pPr>
      <w:r>
        <w:lastRenderedPageBreak/>
        <w:t xml:space="preserve">Missing true-family head outputs score zero; empty scoring sets give </w:t>
      </w:r>
      <m:oMath>
        <m:r>
          <m:rPr>
            <m:sty m:val="p"/>
          </m:rPr>
          <w:rPr>
            <w:rFonts w:ascii="Cambria Math" w:hAnsi="Cambria Math"/>
          </w:rPr>
          <m:t>N/A</m:t>
        </m:r>
      </m:oMath>
      <w:r>
        <w:t>. Report acquisition at each experience alongside the equally weighted summary, because stages contain different numbers of qualified families. Require a nonempty scored new-family set at E2–E4 before lock. These evaluator manifests never create learner head rows.</w:t>
      </w:r>
    </w:p>
    <w:p w14:paraId="28CF37A1"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ASR</m:t>
                    </m:r>
                  </m:e>
                  <m:sub>
                    <m:r>
                      <w:rPr>
                        <w:rFonts w:ascii="Cambria Math" w:hAnsi="Cambria Math"/>
                      </w:rPr>
                      <m:t>t</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num>
                  <m:den>
                    <m:sSub>
                      <m:sSubPr>
                        <m:ctrlPr>
                          <w:rPr>
                            <w:rFonts w:ascii="Cambria Math" w:hAnsi="Cambria Math"/>
                          </w:rPr>
                        </m:ctrlPr>
                      </m:sSubPr>
                      <m:e>
                        <m:r>
                          <w:rPr>
                            <w:rFonts w:ascii="Cambria Math" w:hAnsi="Cambria Math"/>
                          </w:rPr>
                          <m:t>N</m:t>
                        </m:r>
                      </m:e>
                      <m:sub>
                        <m:r>
                          <m:rPr>
                            <m:sty m:val="p"/>
                          </m:rPr>
                          <w:rPr>
                            <w:rFonts w:ascii="Cambria Math" w:hAnsi="Cambria Math"/>
                          </w:rPr>
                          <m:t>⋆</m:t>
                        </m:r>
                      </m:sub>
                    </m:sSub>
                  </m:den>
                </m:f>
                <m:r>
                  <m:rPr>
                    <m:sty m:val="p"/>
                  </m:rPr>
                  <w:rPr>
                    <w:rFonts w:ascii="Cambria Math" w:hAnsi="Cambria Math"/>
                  </w:rPr>
                  <m:t>,</m:t>
                </m:r>
                <m:r>
                  <w:rPr>
                    <w:rFonts w:ascii="Cambria Math" w:hAnsi="Cambria Math"/>
                  </w:rPr>
                  <m:t> </m:t>
                </m:r>
                <m:r>
                  <w:rPr>
                    <w:rFonts w:ascii="Cambria Math" w:hAnsi="Cambria Math"/>
                  </w:rPr>
                  <m:t>Δ</m:t>
                </m:r>
                <m:sSub>
                  <m:sSubPr>
                    <m:ctrlPr>
                      <w:rPr>
                        <w:rFonts w:ascii="Cambria Math" w:hAnsi="Cambria Math"/>
                      </w:rPr>
                    </m:ctrlPr>
                  </m:sSubPr>
                  <m:e>
                    <m:r>
                      <m:rPr>
                        <m:sty m:val="p"/>
                      </m:rPr>
                      <w:rPr>
                        <w:rFonts w:ascii="Cambria Math" w:hAnsi="Cambria Math"/>
                      </w:rPr>
                      <m:t>ASR</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ASR</m:t>
                    </m:r>
                  </m:e>
                  <m:sub>
                    <m:r>
                      <w:rPr>
                        <w:rFonts w:ascii="Cambria Math" w:hAnsi="Cambria Math"/>
                      </w:rPr>
                      <m:t>t</m:t>
                    </m:r>
                  </m:sub>
                  <m:sup>
                    <m:r>
                      <w:rPr>
                        <w:rFonts w:ascii="Cambria Math" w:hAnsi="Cambria Math"/>
                      </w:rPr>
                      <m:t>ρ</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ASR</m:t>
                    </m:r>
                  </m:e>
                  <m:sub>
                    <m:r>
                      <w:rPr>
                        <w:rFonts w:ascii="Cambria Math" w:hAnsi="Cambria Math"/>
                      </w:rPr>
                      <m:t>t</m:t>
                    </m:r>
                  </m:sub>
                  <m:sup>
                    <m:r>
                      <w:rPr>
                        <w:rFonts w:ascii="Cambria Math" w:hAnsi="Cambria Math"/>
                      </w:rPr>
                      <m:t>0</m:t>
                    </m:r>
                  </m:sup>
                </m:sSubSup>
                <m:r>
                  <m:rPr>
                    <m:sty m:val="p"/>
                  </m:rPr>
                  <w:rPr>
                    <w:rFonts w:ascii="Cambria Math" w:hAnsi="Cambria Math"/>
                  </w:rPr>
                  <m:t>,</m:t>
                </m:r>
              </m:e>
            </m:mr>
            <m:mr>
              <m:e>
                <m:r>
                  <w:rPr>
                    <w:rFonts w:ascii="Cambria Math" w:hAnsi="Cambria Math"/>
                  </w:rPr>
                  <m:t>H</m:t>
                </m:r>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Δ</m:t>
                </m:r>
                <m:sSub>
                  <m:sSubPr>
                    <m:ctrlPr>
                      <w:rPr>
                        <w:rFonts w:ascii="Cambria Math" w:hAnsi="Cambria Math"/>
                      </w:rPr>
                    </m:ctrlPr>
                  </m:sSubPr>
                  <m:e>
                    <m:r>
                      <m:rPr>
                        <m:sty m:val="p"/>
                      </m:rPr>
                      <w:rPr>
                        <w:rFonts w:ascii="Cambria Math" w:hAnsi="Cambria Math"/>
                      </w:rPr>
                      <m:t>ASR</m:t>
                    </m:r>
                  </m:e>
                  <m:sub>
                    <m:r>
                      <w:rPr>
                        <w:rFonts w:ascii="Cambria Math" w:hAnsi="Cambria Math"/>
                      </w:rPr>
                      <m:t>3</m:t>
                    </m:r>
                  </m:sub>
                </m:sSub>
                <m:r>
                  <m:rPr>
                    <m:sty m:val="p"/>
                  </m:rPr>
                  <w:rPr>
                    <w:rFonts w:ascii="Cambria Math" w:hAnsi="Cambria Math"/>
                  </w:rPr>
                  <m:t>+</m:t>
                </m:r>
                <m:r>
                  <w:rPr>
                    <w:rFonts w:ascii="Cambria Math" w:hAnsi="Cambria Math"/>
                  </w:rPr>
                  <m:t>Δ</m:t>
                </m:r>
                <m:sSub>
                  <m:sSubPr>
                    <m:ctrlPr>
                      <w:rPr>
                        <w:rFonts w:ascii="Cambria Math" w:hAnsi="Cambria Math"/>
                      </w:rPr>
                    </m:ctrlPr>
                  </m:sSubPr>
                  <m:e>
                    <m:r>
                      <m:rPr>
                        <m:sty m:val="p"/>
                      </m:rPr>
                      <w:rPr>
                        <w:rFonts w:ascii="Cambria Math" w:hAnsi="Cambria Math"/>
                      </w:rPr>
                      <m:t>ASR</m:t>
                    </m:r>
                  </m:e>
                  <m:sub>
                    <m:r>
                      <w:rPr>
                        <w:rFonts w:ascii="Cambria Math" w:hAnsi="Cambria Math"/>
                      </w:rPr>
                      <m:t>4</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m:rPr>
                        <m:sty m:val="p"/>
                      </m:rPr>
                      <w:rPr>
                        <w:rFonts w:ascii="Cambria Math" w:hAnsi="Cambria Math"/>
                      </w:rPr>
                      <m:t>rec</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Rec</m:t>
                    </m:r>
                  </m:e>
                  <m:sub>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r>
                      <w:rPr>
                        <w:rFonts w:ascii="Cambria Math" w:hAnsi="Cambria Math"/>
                      </w:rPr>
                      <m:t>2</m:t>
                    </m:r>
                  </m:sub>
                  <m:sup>
                    <m:r>
                      <w:rPr>
                        <w:rFonts w:ascii="Cambria Math" w:hAnsi="Cambria Math"/>
                      </w:rPr>
                      <m:t>ρ</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Rec</m:t>
                    </m:r>
                  </m:e>
                  <m:sub>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r>
                      <w:rPr>
                        <w:rFonts w:ascii="Cambria Math" w:hAnsi="Cambria Math"/>
                      </w:rPr>
                      <m:t>2</m:t>
                    </m:r>
                  </m:sub>
                  <m:sup>
                    <m:r>
                      <w:rPr>
                        <w:rFonts w:ascii="Cambria Math" w:hAnsi="Cambria Math"/>
                      </w:rPr>
                      <m:t>0</m:t>
                    </m:r>
                  </m:sup>
                </m:sSubSup>
                <m:r>
                  <m:rPr>
                    <m:sty m:val="p"/>
                  </m:rPr>
                  <w:rPr>
                    <w:rFonts w:ascii="Cambria Math" w:hAnsi="Cambria Math"/>
                  </w:rPr>
                  <m:t>.</m:t>
                </m:r>
              </m:e>
            </m:mr>
          </m:m>
        </m:oMath>
      </m:oMathPara>
    </w:p>
    <w:p w14:paraId="3095F062" w14:textId="77777777" w:rsidR="00AF5C7A" w:rsidRDefault="00FB1870">
      <w:pPr>
        <w:pStyle w:val="FirstParagraph"/>
        <w:spacing w:after="80"/>
        <w:jc w:val="right"/>
      </w:pPr>
      <w:r>
        <w:t>(14)</w:t>
      </w:r>
    </w:p>
    <w:p w14:paraId="0333B1BA" w14:textId="77777777" w:rsidR="00AF5C7A" w:rsidRDefault="00FB1870">
      <w:pPr>
        <w:pStyle w:val="BodyText"/>
      </w:pPr>
      <m:oMath>
        <m:r>
          <w:rPr>
            <w:rFonts w:ascii="Cambria Math" w:hAnsi="Cambria Math"/>
          </w:rPr>
          <m:t>H</m:t>
        </m:r>
        <m:r>
          <m:rPr>
            <m:sty m:val="p"/>
          </m:rPr>
          <w:rPr>
            <w:rFonts w:ascii="Cambria Math" w:hAnsi="Cambria Math"/>
          </w:rPr>
          <m:t>&gt;</m:t>
        </m:r>
        <m:r>
          <w:rPr>
            <w:rFonts w:ascii="Cambria Math" w:hAnsi="Cambria Math"/>
          </w:rPr>
          <m:t>0</m:t>
        </m:r>
      </m:oMath>
      <w:r>
        <w:t xml:space="preserve"> means harmful persistent error; </w:t>
      </w:r>
      <m:oMath>
        <m:sSub>
          <m:sSubPr>
            <m:ctrlPr>
              <w:rPr>
                <w:rFonts w:ascii="Cambria Math" w:hAnsi="Cambria Math"/>
              </w:rPr>
            </m:ctrlPr>
          </m:sSubPr>
          <m:e>
            <m:r>
              <w:rPr>
                <w:rFonts w:ascii="Cambria Math" w:hAnsi="Cambria Math"/>
              </w:rPr>
              <m:t>Δ</m:t>
            </m:r>
          </m:e>
          <m:sub>
            <m:r>
              <m:rPr>
                <m:sty m:val="p"/>
              </m:rPr>
              <w:rPr>
                <w:rFonts w:ascii="Cambria Math" w:hAnsi="Cambria Math"/>
              </w:rPr>
              <m:t>rec</m:t>
            </m:r>
          </m:sub>
        </m:sSub>
        <m:r>
          <m:rPr>
            <m:sty m:val="p"/>
          </m:rPr>
          <w:rPr>
            <w:rFonts w:ascii="Cambria Math" w:hAnsi="Cambria Math"/>
          </w:rPr>
          <m:t>&lt;</m:t>
        </m:r>
        <m:r>
          <w:rPr>
            <w:rFonts w:ascii="Cambria Math" w:hAnsi="Cambria Math"/>
          </w:rPr>
          <m:t>0</m:t>
        </m:r>
      </m:oMath>
      <w:r>
        <w:t xml:space="preserve"> </w:t>
      </w:r>
      <w:r>
        <w:t xml:space="preserve">means lost source acquisition. Recall includes other-attack errors and is not ASR’s complement. Match each arm to its own clean run. Favorable DC–DM effects are higher acquisition </w:t>
      </w:r>
      <m:oMath>
        <m:r>
          <w:rPr>
            <w:rFonts w:ascii="Cambria Math" w:hAnsi="Cambria Math"/>
          </w:rPr>
          <m:t>A</m:t>
        </m:r>
      </m:oMath>
      <w:r>
        <w:t xml:space="preserve">, a less negative recall change </w:t>
      </w:r>
      <m:oMath>
        <m:sSub>
          <m:sSubPr>
            <m:ctrlPr>
              <w:rPr>
                <w:rFonts w:ascii="Cambria Math" w:hAnsi="Cambria Math"/>
              </w:rPr>
            </m:ctrlPr>
          </m:sSubPr>
          <m:e>
            <m:r>
              <w:rPr>
                <w:rFonts w:ascii="Cambria Math" w:hAnsi="Cambria Math"/>
              </w:rPr>
              <m:t>Δ</m:t>
            </m:r>
          </m:e>
          <m:sub>
            <m:r>
              <m:rPr>
                <m:sty m:val="p"/>
              </m:rPr>
              <w:rPr>
                <w:rFonts w:ascii="Cambria Math" w:hAnsi="Cambria Math"/>
              </w:rPr>
              <m:t>rec</m:t>
            </m:r>
          </m:sub>
        </m:sSub>
      </m:oMath>
      <w:r>
        <w:t xml:space="preserve">, lower persistence </w:t>
      </w:r>
      <m:oMath>
        <m:r>
          <w:rPr>
            <w:rFonts w:ascii="Cambria Math" w:hAnsi="Cambria Math"/>
          </w:rPr>
          <m:t>H</m:t>
        </m:r>
      </m:oMath>
      <w:r>
        <w:t xml:space="preserve">, and lower benign false-alarm rate </w:t>
      </w:r>
      <m:oMath>
        <m:sSub>
          <m:sSubPr>
            <m:ctrlPr>
              <w:rPr>
                <w:rFonts w:ascii="Cambria Math" w:hAnsi="Cambria Math"/>
              </w:rPr>
            </m:ctrlPr>
          </m:sSubPr>
          <m:e>
            <m:r>
              <m:rPr>
                <m:sty m:val="p"/>
              </m:rPr>
              <w:rPr>
                <w:rFonts w:ascii="Cambria Math" w:hAnsi="Cambria Math"/>
              </w:rPr>
              <m:t>FAR</m:t>
            </m:r>
          </m:e>
          <m:sub>
            <m:r>
              <w:rPr>
                <w:rFonts w:ascii="Cambria Math" w:hAnsi="Cambria Math"/>
              </w:rPr>
              <m:t>B</m:t>
            </m:r>
          </m:sub>
        </m:sSub>
      </m:oMath>
      <w:r>
        <w:t>. These are separate endpoints, not ratios; improvement in one does not establish joint improvement.</w:t>
      </w:r>
    </w:p>
    <w:p w14:paraId="7135E30A" w14:textId="77777777" w:rsidR="00AF5C7A" w:rsidRDefault="00FB1870">
      <w:pPr>
        <w:pStyle w:val="BodyText"/>
      </w:pPr>
      <w:r>
        <w:t>Anchor F1/recall are secondary collateral endpoints on the fixed E1 bank. Later-family predictions into anchors are absent from its precision denominator; we additionally report cumulative-bank anchor precision/F1. Two anchor families yield a coarse, potentially ceiling-prone mean. Per-family trajectories remain visible.</w:t>
      </w:r>
    </w:p>
    <w:p w14:paraId="3B53F8DC" w14:textId="77777777" w:rsidR="00AF5C7A" w:rsidRDefault="00FB1870">
      <w:pPr>
        <w:pStyle w:val="BodyText"/>
      </w:pPr>
      <w:r>
        <w:t xml:space="preserve">For accuracy matrix </w:t>
      </w:r>
      <m:oMath>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m:rPr>
                <m:sty m:val="p"/>
              </m:rPr>
              <w:rPr>
                <w:rFonts w:ascii="Cambria Math" w:hAnsi="Cambria Math"/>
              </w:rPr>
              <m:t>acc</m:t>
            </m:r>
          </m:sup>
        </m:sSubSup>
      </m:oMath>
      <w:r>
        <w:t xml:space="preserve">, and separately named macro-F1 matrix </w:t>
      </w:r>
      <m:oMath>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w:rPr>
                <w:rFonts w:ascii="Cambria Math" w:hAnsi="Cambria Math"/>
              </w:rPr>
              <m:t>F</m:t>
            </m:r>
            <m:r>
              <w:rPr>
                <w:rFonts w:ascii="Cambria Math" w:hAnsi="Cambria Math"/>
              </w:rPr>
              <m:t>1</m:t>
            </m:r>
          </m:sup>
        </m:sSubSup>
      </m:oMath>
      <w:r>
        <w:t>, we follow ACC/BWT conventions [29, 30]:</w:t>
      </w:r>
    </w:p>
    <w:p w14:paraId="1F7EF501"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ACC</m:t>
                </m:r>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T</m:t>
                    </m:r>
                  </m:sup>
                  <m:e>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m:rPr>
                            <m:sty m:val="p"/>
                          </m:rPr>
                          <w:rPr>
                            <w:rFonts w:ascii="Cambria Math" w:hAnsi="Cambria Math"/>
                          </w:rPr>
                          <m:t>acc</m:t>
                        </m:r>
                      </m:sup>
                    </m:sSubSup>
                  </m:e>
                </m:nary>
                <m:r>
                  <m:rPr>
                    <m:sty m:val="p"/>
                  </m:rPr>
                  <w:rPr>
                    <w:rFonts w:ascii="Cambria Math" w:hAnsi="Cambria Math"/>
                  </w:rPr>
                  <m:t>,</m:t>
                </m:r>
                <m:r>
                  <w:rPr>
                    <w:rFonts w:ascii="Cambria Math" w:hAnsi="Cambria Math"/>
                  </w:rPr>
                  <m:t> </m:t>
                </m:r>
                <m:r>
                  <m:rPr>
                    <m:sty m:val="p"/>
                  </m:rPr>
                  <w:rPr>
                    <w:rFonts w:ascii="Cambria Math" w:hAnsi="Cambria Math"/>
                  </w:rPr>
                  <m:t>BWT=</m:t>
                </m:r>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T</m:t>
                    </m:r>
                  </m:sub>
                  <m:sup>
                    <m:r>
                      <w:rPr>
                        <w:rFonts w:ascii="Cambria Math" w:hAnsi="Cambria Math"/>
                      </w:rPr>
                      <m:t>​</m:t>
                    </m:r>
                  </m:sup>
                  <m:e>
                    <m:r>
                      <m:rPr>
                        <m:sty m:val="p"/>
                      </m:rPr>
                      <w:rPr>
                        <w:rFonts w:ascii="Cambria Math" w:hAnsi="Cambria Math"/>
                      </w:rPr>
                      <m:t>(</m:t>
                    </m:r>
                  </m:e>
                </m:nary>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m:rPr>
                        <m:sty m:val="p"/>
                      </m:rPr>
                      <w:rPr>
                        <w:rFonts w:ascii="Cambria Math" w:hAnsi="Cambria Math"/>
                      </w:rPr>
                      <m:t>acc</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j</m:t>
                    </m:r>
                  </m:sub>
                  <m:sup>
                    <m:r>
                      <m:rPr>
                        <m:sty m:val="p"/>
                      </m:rPr>
                      <w:rPr>
                        <w:rFonts w:ascii="Cambria Math" w:hAnsi="Cambria Math"/>
                      </w:rPr>
                      <m:t>acc</m:t>
                    </m:r>
                  </m:sup>
                </m:sSubSup>
                <m:r>
                  <m:rPr>
                    <m:sty m:val="p"/>
                  </m:rPr>
                  <w:rPr>
                    <w:rFonts w:ascii="Cambria Math" w:hAnsi="Cambria Math"/>
                  </w:rPr>
                  <m:t>),</m:t>
                </m:r>
              </m:e>
            </m:mr>
            <m:mr>
              <m:e>
                <m:r>
                  <w:rPr>
                    <w:rFonts w:ascii="Cambria Math" w:hAnsi="Cambria Math"/>
                  </w:rPr>
                  <m:t>F</m:t>
                </m:r>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T</m:t>
                    </m:r>
                  </m:sub>
                  <m:sup>
                    <m:r>
                      <w:rPr>
                        <w:rFonts w:ascii="Cambria Math" w:hAnsi="Cambria Math"/>
                      </w:rPr>
                      <m:t>​</m:t>
                    </m:r>
                  </m:sup>
                  <m:e>
                    <m:d>
                      <m:dPr>
                        <m:ctrlPr>
                          <w:rPr>
                            <w:rFonts w:ascii="Cambria Math" w:hAnsi="Cambria Math"/>
                          </w:rPr>
                        </m:ctrlPr>
                      </m:dPr>
                      <m:e>
                        <m:limLow>
                          <m:limLowPr>
                            <m:ctrlPr>
                              <w:rPr>
                                <w:rFonts w:ascii="Cambria Math" w:hAnsi="Cambria Math"/>
                              </w:rPr>
                            </m:ctrlPr>
                          </m:limLowPr>
                          <m:e>
                            <m:r>
                              <m:rPr>
                                <m:nor/>
                              </m:rPr>
                              <m:t>max</m:t>
                            </m:r>
                          </m:e>
                          <m:lim>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lim>
                        </m:limLow>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m:rPr>
                                <m:sty m:val="p"/>
                              </m:rPr>
                              <w:rPr>
                                <w:rFonts w:ascii="Cambria Math" w:hAnsi="Cambria Math"/>
                              </w:rPr>
                              <m:t>acc</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m:rPr>
                                <m:sty m:val="p"/>
                              </m:rPr>
                              <w:rPr>
                                <w:rFonts w:ascii="Cambria Math" w:hAnsi="Cambria Math"/>
                              </w:rPr>
                              <m:t>acc</m:t>
                            </m:r>
                          </m:sup>
                        </m:sSubSup>
                      </m:e>
                    </m:d>
                  </m:e>
                </m:nary>
                <m:r>
                  <m:rPr>
                    <m:sty m:val="p"/>
                  </m:rPr>
                  <w:rPr>
                    <w:rFonts w:ascii="Cambria Math" w:hAnsi="Cambria Math"/>
                  </w:rPr>
                  <m:t>,</m:t>
                </m:r>
                <m:r>
                  <w:rPr>
                    <w:rFonts w:ascii="Cambria Math" w:hAnsi="Cambria Math"/>
                  </w:rPr>
                  <m:t> </m:t>
                </m:r>
                <m:r>
                  <m:rPr>
                    <m:sty m:val="p"/>
                  </m:rPr>
                  <w:rPr>
                    <w:rFonts w:ascii="Cambria Math" w:hAnsi="Cambria Math"/>
                  </w:rPr>
                  <m:t>FWT=</m:t>
                </m:r>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2</m:t>
                    </m:r>
                  </m:sub>
                  <m:sup>
                    <m:r>
                      <w:rPr>
                        <w:rFonts w:ascii="Cambria Math" w:hAnsi="Cambria Math"/>
                      </w:rPr>
                      <m:t>T</m:t>
                    </m:r>
                  </m:sup>
                  <m:e>
                    <m:r>
                      <m:rPr>
                        <m:sty m:val="p"/>
                      </m:rPr>
                      <w:rPr>
                        <w:rFonts w:ascii="Cambria Math" w:hAnsi="Cambria Math"/>
                      </w:rPr>
                      <m:t>(</m:t>
                    </m:r>
                  </m:e>
                </m:nary>
                <m:sSubSup>
                  <m:sSubSupPr>
                    <m:ctrlPr>
                      <w:rPr>
                        <w:rFonts w:ascii="Cambria Math" w:hAnsi="Cambria Math"/>
                      </w:rPr>
                    </m:ctrlPr>
                  </m:sSubSup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sub>
                  <m:sup>
                    <m:r>
                      <m:rPr>
                        <m:sty m:val="p"/>
                      </m:rPr>
                      <w:rPr>
                        <w:rFonts w:ascii="Cambria Math" w:hAnsi="Cambria Math"/>
                      </w:rPr>
                      <m:t>acc</m:t>
                    </m:r>
                  </m:sup>
                </m:sSubSup>
                <m:r>
                  <m:rPr>
                    <m:sty m:val="p"/>
                  </m:rPr>
                  <w:rPr>
                    <w:rFonts w:ascii="Cambria Math" w:hAnsi="Cambria Math"/>
                  </w:rPr>
                  <m:t>-</m:t>
                </m:r>
                <m:sSub>
                  <m:sSubPr>
                    <m:ctrlPr>
                      <w:rPr>
                        <w:rFonts w:ascii="Cambria Math" w:hAnsi="Cambria Math"/>
                      </w:rPr>
                    </m:ctrlPr>
                  </m:sSubPr>
                  <m:e>
                    <m:r>
                      <w:rPr>
                        <w:rFonts w:ascii="Cambria Math" w:hAnsi="Cambria Math"/>
                      </w:rPr>
                      <m:t>υ</m:t>
                    </m:r>
                  </m:e>
                  <m:sub>
                    <m:r>
                      <w:rPr>
                        <w:rFonts w:ascii="Cambria Math" w:hAnsi="Cambria Math"/>
                      </w:rPr>
                      <m:t>j</m:t>
                    </m:r>
                  </m:sub>
                </m:sSub>
                <m:r>
                  <m:rPr>
                    <m:sty m:val="p"/>
                  </m:rPr>
                  <w:rPr>
                    <w:rFonts w:ascii="Cambria Math" w:hAnsi="Cambria Math"/>
                  </w:rPr>
                  <m:t>).</m:t>
                </m:r>
              </m:e>
            </m:mr>
          </m:m>
        </m:oMath>
      </m:oMathPara>
    </w:p>
    <w:p w14:paraId="6489DC1C" w14:textId="77777777" w:rsidR="00AF5C7A" w:rsidRDefault="00FB1870">
      <w:pPr>
        <w:pStyle w:val="FirstParagraph"/>
        <w:spacing w:after="80"/>
        <w:jc w:val="right"/>
      </w:pPr>
      <w:r>
        <w:t>(15)</w:t>
      </w:r>
    </w:p>
    <w:p w14:paraId="17CE1995" w14:textId="77777777" w:rsidR="00AF5C7A" w:rsidRDefault="00FB1870">
      <w:pPr>
        <w:pStyle w:val="BodyText"/>
      </w:pPr>
      <w:r>
        <w:t xml:space="preserve">Forgetting averages old stages with an inclusive maximum through </w:t>
      </w:r>
      <m:oMath>
        <m:r>
          <w:rPr>
            <w:rFonts w:ascii="Cambria Math" w:hAnsi="Cambria Math"/>
          </w:rPr>
          <m:t>T</m:t>
        </m:r>
      </m:oMath>
      <w:r>
        <w:t xml:space="preserve">. In a head that introduces outputs only when labels arrive, FWT will be </w:t>
      </w:r>
      <m:oMath>
        <m:r>
          <m:rPr>
            <m:sty m:val="p"/>
          </m:rPr>
          <w:rPr>
            <w:rFonts w:ascii="Cambria Math" w:hAnsi="Cambria Math"/>
          </w:rPr>
          <m:t>N/A</m:t>
        </m:r>
      </m:oMath>
      <w:r>
        <w:t xml:space="preserve"> unless a separate predeclared compatible-head reference experiment supplies both pre-learning scores and </w:t>
      </w:r>
      <m:oMath>
        <m:sSub>
          <m:sSubPr>
            <m:ctrlPr>
              <w:rPr>
                <w:rFonts w:ascii="Cambria Math" w:hAnsi="Cambria Math"/>
              </w:rPr>
            </m:ctrlPr>
          </m:sSubPr>
          <m:e>
            <m:r>
              <w:rPr>
                <w:rFonts w:ascii="Cambria Math" w:hAnsi="Cambria Math"/>
              </w:rPr>
              <m:t>υ</m:t>
            </m:r>
          </m:e>
          <m:sub>
            <m:r>
              <w:rPr>
                <w:rFonts w:ascii="Cambria Math" w:hAnsi="Cambria Math"/>
              </w:rPr>
              <m:t>j</m:t>
            </m:r>
          </m:sub>
        </m:sSub>
      </m:oMath>
      <w:r>
        <w:t>; no unavailable score will be replaced by zero. Sparse-family, admission, memory and cost endpoints are exploratory; Table 12 contains all confirmatory tests.</w:t>
      </w:r>
    </w:p>
    <w:p w14:paraId="58B822D3" w14:textId="77777777" w:rsidR="00AF5C7A" w:rsidRDefault="00FB1870">
      <w:pPr>
        <w:pStyle w:val="BodyText"/>
        <w:keepNext/>
        <w:keepLines/>
      </w:pPr>
      <m:oMathPara>
        <m:oMathParaPr>
          <m:jc m:val="center"/>
        </m:oMathParaPr>
        <m:oMath>
          <m:sSub>
            <m:sSubPr>
              <m:ctrlPr>
                <w:rPr>
                  <w:rFonts w:ascii="Cambria Math" w:hAnsi="Cambria Math"/>
                </w:rPr>
              </m:ctrlPr>
            </m:sSubPr>
            <m:e>
              <m:r>
                <m:rPr>
                  <m:sty m:val="p"/>
                </m:rPr>
                <w:rPr>
                  <w:rFonts w:ascii="Cambria Math" w:hAnsi="Cambria Math"/>
                </w:rPr>
                <m:t>Ret</m:t>
              </m:r>
            </m:e>
            <m:sub>
              <m:r>
                <m:rPr>
                  <m:sty m:val="p"/>
                </m:rPr>
                <w:rPr>
                  <w:rFonts w:ascii="Cambria Math" w:hAnsi="Cambria Math"/>
                </w:rPr>
                <m:t>hon,new</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N</m:t>
                  </m:r>
                </m:e>
                <m:sup>
                  <m:r>
                    <m:rPr>
                      <m:sty m:val="p"/>
                    </m:rPr>
                    <w:rPr>
                      <w:rFonts w:ascii="Cambria Math" w:hAnsi="Cambria Math"/>
                    </w:rPr>
                    <m:t>adm,hon,new</m:t>
                  </m:r>
                </m:sup>
              </m:sSup>
            </m:num>
            <m:den>
              <m:sSup>
                <m:sSupPr>
                  <m:ctrlPr>
                    <w:rPr>
                      <w:rFonts w:ascii="Cambria Math" w:hAnsi="Cambria Math"/>
                    </w:rPr>
                  </m:ctrlPr>
                </m:sSupPr>
                <m:e>
                  <m:r>
                    <w:rPr>
                      <w:rFonts w:ascii="Cambria Math" w:hAnsi="Cambria Math"/>
                    </w:rPr>
                    <m:t>N</m:t>
                  </m:r>
                </m:e>
                <m:sup>
                  <m:r>
                    <m:rPr>
                      <m:sty m:val="p"/>
                    </m:rPr>
                    <w:rPr>
                      <w:rFonts w:ascii="Cambria Math" w:hAnsi="Cambria Math"/>
                    </w:rPr>
                    <m:t>elig,hon,new</m:t>
                  </m:r>
                </m:sup>
              </m:sSup>
            </m:den>
          </m:f>
          <m:r>
            <m:rPr>
              <m:sty m:val="p"/>
            </m:rPr>
            <w:rPr>
              <w:rFonts w:ascii="Cambria Math" w:hAnsi="Cambria Math"/>
            </w:rPr>
            <m:t>,</m:t>
          </m:r>
          <m:r>
            <w:rPr>
              <w:rFonts w:ascii="Cambria Math" w:hAnsi="Cambria Math"/>
            </w:rPr>
            <m:t> </m:t>
          </m:r>
          <m:r>
            <m:rPr>
              <m:sty m:val="p"/>
            </m:rPr>
            <w:rPr>
              <w:rFonts w:ascii="Cambria Math" w:hAnsi="Cambria Math"/>
            </w:rPr>
            <m:t>Cont=</m:t>
          </m:r>
          <m:f>
            <m:fPr>
              <m:ctrlPr>
                <w:rPr>
                  <w:rFonts w:ascii="Cambria Math" w:hAnsi="Cambria Math"/>
                </w:rPr>
              </m:ctrlPr>
            </m:fPr>
            <m:num>
              <m:sSup>
                <m:sSupPr>
                  <m:ctrlPr>
                    <w:rPr>
                      <w:rFonts w:ascii="Cambria Math" w:hAnsi="Cambria Math"/>
                    </w:rPr>
                  </m:ctrlPr>
                </m:sSupPr>
                <m:e>
                  <m:r>
                    <w:rPr>
                      <w:rFonts w:ascii="Cambria Math" w:hAnsi="Cambria Math"/>
                    </w:rPr>
                    <m:t>N</m:t>
                  </m:r>
                </m:e>
                <m:sup>
                  <m:r>
                    <m:rPr>
                      <m:sty m:val="p"/>
                    </m:rPr>
                    <w:rPr>
                      <w:rFonts w:ascii="Cambria Math" w:hAnsi="Cambria Math"/>
                    </w:rPr>
                    <m:t>poison,replay</m:t>
                  </m:r>
                </m:sup>
              </m:sSup>
            </m:num>
            <m:den>
              <m:r>
                <m:rPr>
                  <m:scr m:val="script"/>
                  <m:sty m:val="p"/>
                </m:rPr>
                <w:rPr>
                  <w:rFonts w:ascii="Cambria Math" w:hAnsi="Cambria Math"/>
                </w:rPr>
                <m:t>|B|</m:t>
              </m:r>
            </m:den>
          </m:f>
          <m:r>
            <m:rPr>
              <m:sty m:val="p"/>
            </m:rPr>
            <w:rPr>
              <w:rFonts w:ascii="Cambria Math" w:hAnsi="Cambria Math"/>
            </w:rPr>
            <m:t>,</m:t>
          </m:r>
          <m:r>
            <w:rPr>
              <w:rFonts w:ascii="Cambria Math" w:hAnsi="Cambria Math"/>
            </w:rPr>
            <m:t> </m:t>
          </m:r>
          <m:r>
            <m:rPr>
              <m:sty m:val="p"/>
            </m:rPr>
            <w:rPr>
              <w:rFonts w:ascii="Cambria Math" w:hAnsi="Cambria Math"/>
            </w:rPr>
            <m:t>AP=</m:t>
          </m:r>
          <m:nary>
            <m:naryPr>
              <m:chr m:val="∑"/>
              <m:limLoc m:val="undOvr"/>
              <m:supHide m:val="1"/>
              <m:ctrlPr>
                <w:rPr>
                  <w:rFonts w:ascii="Cambria Math" w:hAnsi="Cambria Math"/>
                </w:rPr>
              </m:ctrlPr>
            </m:naryPr>
            <m:sub>
              <m:r>
                <w:rPr>
                  <w:rFonts w:ascii="Cambria Math" w:hAnsi="Cambria Math"/>
                </w:rPr>
                <m:t>ϑ</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ty m:val="p"/>
                </m:rPr>
                <w:rPr>
                  <w:rFonts w:ascii="Cambria Math" w:hAnsi="Cambria Math"/>
                </w:rPr>
                <m:t>Rec</m:t>
              </m:r>
            </m:e>
            <m:sub>
              <m:r>
                <w:rPr>
                  <w:rFonts w:ascii="Cambria Math" w:hAnsi="Cambria Math"/>
                </w:rPr>
                <m:t>ϑ</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Rec</m:t>
              </m:r>
            </m:e>
            <m:sub>
              <m:r>
                <w:rPr>
                  <w:rFonts w:ascii="Cambria Math" w:hAnsi="Cambria Math"/>
                </w:rPr>
                <m:t>ϑ</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Prec</m:t>
              </m:r>
            </m:e>
            <m:sub>
              <m:r>
                <w:rPr>
                  <w:rFonts w:ascii="Cambria Math" w:hAnsi="Cambria Math"/>
                </w:rPr>
                <m:t>ϑ</m:t>
              </m:r>
            </m:sub>
          </m:sSub>
          <m:r>
            <m:rPr>
              <m:sty m:val="p"/>
            </m:rPr>
            <w:rPr>
              <w:rFonts w:ascii="Cambria Math" w:hAnsi="Cambria Math"/>
            </w:rPr>
            <m:t>.</m:t>
          </m:r>
        </m:oMath>
      </m:oMathPara>
    </w:p>
    <w:p w14:paraId="2B1CCD3F" w14:textId="77777777" w:rsidR="00AF5C7A" w:rsidRDefault="00FB1870">
      <w:pPr>
        <w:pStyle w:val="FirstParagraph"/>
        <w:spacing w:after="80"/>
        <w:jc w:val="right"/>
      </w:pPr>
      <w:r>
        <w:t>(16)</w:t>
      </w:r>
    </w:p>
    <w:p w14:paraId="0AFAC680" w14:textId="77777777" w:rsidR="00AF5C7A" w:rsidRDefault="00FB1870">
      <w:pPr>
        <w:pStyle w:val="BodyText"/>
      </w:pPr>
      <w:r>
        <w:t xml:space="preserve">For AP, </w:t>
      </w:r>
      <m:oMath>
        <m:r>
          <w:rPr>
            <w:rFonts w:ascii="Cambria Math" w:hAnsi="Cambria Math"/>
          </w:rPr>
          <m:t>ϑ</m:t>
        </m:r>
      </m:oMath>
      <w:r>
        <w:t xml:space="preserve"> indexes distinct score thresholds with tied scores grouped, using </w:t>
      </w:r>
      <m:oMath>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oMath>
      <w:r>
        <w:t xml:space="preserve"> and binary precision/recall. AP differs from trapezoidal PR-AUC. Hidden masks supply diagnostics after decisions. Measure trained batch-1/256 latency and throughput, process bytes and serialized uplink/downlink/control traffic. Weight bytes alone omit communication overhead.</w:t>
      </w:r>
    </w:p>
    <w:p w14:paraId="519DE375" w14:textId="77777777" w:rsidR="00AF5C7A" w:rsidRDefault="00FB1870">
      <w:pPr>
        <w:pStyle w:val="Heading21"/>
      </w:pPr>
      <w:bookmarkStart w:id="18" w:name="statistical-and-comparative-analysis"/>
      <w:bookmarkEnd w:id="17"/>
      <w:r>
        <w:t>Step 9 Statistical and Comparative Analysis</w:t>
      </w:r>
    </w:p>
    <w:p w14:paraId="312BD9DE" w14:textId="77777777" w:rsidR="00AF5C7A" w:rsidRDefault="00FB1870">
      <w:pPr>
        <w:pStyle w:val="FirstParagraph"/>
      </w:pPr>
      <w:r>
        <w:t xml:space="preserve">The experimental unit is a complete seeded run. For a declared endpoint </w:t>
      </w:r>
      <m:oMath>
        <m:r>
          <w:rPr>
            <w:rFonts w:ascii="Cambria Math" w:hAnsi="Cambria Math"/>
          </w:rPr>
          <m:t>U</m:t>
        </m:r>
      </m:oMath>
      <w:r>
        <w:t xml:space="preserve">, let </w:t>
      </w:r>
      <m:oMath>
        <m:sSub>
          <m:sSubPr>
            <m:ctrlPr>
              <w:rPr>
                <w:rFonts w:ascii="Cambria Math" w:hAnsi="Cambria Math"/>
              </w:rPr>
            </m:ctrlPr>
          </m:sSubPr>
          <m:e>
            <m:r>
              <w:rPr>
                <w:rFonts w:ascii="Cambria Math" w:hAnsi="Cambria Math"/>
              </w:rPr>
              <m:t>δ</m:t>
            </m:r>
          </m:e>
          <m:sub>
            <m:r>
              <w:rPr>
                <w:rFonts w:ascii="Cambria Math" w:hAnsi="Cambria Math"/>
              </w:rPr>
              <m:t>s</m:t>
            </m:r>
          </m:sub>
        </m:sSub>
      </m:oMath>
      <w:r>
        <w:t xml:space="preserve"> be its paired arm difference. Learner interaction is</w:t>
      </w:r>
    </w:p>
    <w:p w14:paraId="7A51F5BB"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J</m:t>
                    </m:r>
                  </m:e>
                  <m:sub>
                    <m:r>
                      <w:rPr>
                        <w:rFonts w:ascii="Cambria Math" w:hAnsi="Cambria Math"/>
                      </w:rPr>
                      <m:t>s</m:t>
                    </m:r>
                  </m:sub>
                  <m:sup>
                    <m:r>
                      <m:rPr>
                        <m:scr m:val="sans-serif"/>
                        <m:sty m:val="p"/>
                      </m:rPr>
                      <w:rPr>
                        <w:rFonts w:ascii="Cambria Math" w:hAnsi="Cambria Math"/>
                      </w:rPr>
                      <m:t>A</m:t>
                    </m:r>
                    <m:r>
                      <m:rPr>
                        <m:sty m:val="p"/>
                      </m:rPr>
                      <w:rPr>
                        <w:rFonts w:ascii="Cambria Math" w:hAnsi="Cambria Math"/>
                      </w:rPr>
                      <m:t>,</m:t>
                    </m:r>
                    <m:r>
                      <m:rPr>
                        <m:scr m:val="sans-serif"/>
                        <m:sty m:val="p"/>
                      </m:rPr>
                      <w:rPr>
                        <w:rFonts w:ascii="Cambria Math" w:hAnsi="Cambria Math"/>
                      </w:rPr>
                      <m:t>B</m:t>
                    </m:r>
                  </m:sup>
                </m:sSubSup>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U</m:t>
                </m:r>
                <m:r>
                  <m:rPr>
                    <m:sty m:val="p"/>
                  </m:rPr>
                  <w:rPr>
                    <w:rFonts w:ascii="Cambria Math" w:hAnsi="Cambria Math"/>
                  </w:rPr>
                  <m:t>)</m:t>
                </m:r>
              </m:e>
              <m:e>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m:rPr>
                        <m:scr m:val="sans-serif"/>
                        <m:sty m:val="p"/>
                      </m:rPr>
                      <w:rPr>
                        <w:rFonts w:ascii="Cambria Math" w:hAnsi="Cambria Math"/>
                      </w:rPr>
                      <m:t>A</m:t>
                    </m:r>
                    <m:r>
                      <m:rPr>
                        <m:sty m:val="p"/>
                      </m:rPr>
                      <w:rPr>
                        <w:rFonts w:ascii="Cambria Math" w:hAnsi="Cambria Math"/>
                      </w:rPr>
                      <m:t>,</m:t>
                    </m:r>
                    <m:r>
                      <w:rPr>
                        <w:rFonts w:ascii="Cambria Math" w:hAnsi="Cambria Math"/>
                      </w:rPr>
                      <m:t>ρ</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m:rPr>
                        <m:scr m:val="sans-serif"/>
                        <m:sty m:val="p"/>
                      </m:rPr>
                      <w:rPr>
                        <w:rFonts w:ascii="Cambria Math" w:hAnsi="Cambria Math"/>
                      </w:rPr>
                      <m:t>A</m:t>
                    </m:r>
                    <m:r>
                      <m:rPr>
                        <m:sty m:val="p"/>
                      </m:rPr>
                      <w:rPr>
                        <w:rFonts w:ascii="Cambria Math" w:hAnsi="Cambria Math"/>
                      </w:rPr>
                      <m:t>,</m:t>
                    </m:r>
                    <m: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m:rPr>
                        <m:scr m:val="sans-serif"/>
                        <m:sty m:val="p"/>
                      </m:rPr>
                      <w:rPr>
                        <w:rFonts w:ascii="Cambria Math" w:hAnsi="Cambria Math"/>
                      </w:rPr>
                      <m:t>B</m:t>
                    </m:r>
                    <m:r>
                      <m:rPr>
                        <m:sty m:val="p"/>
                      </m:rPr>
                      <w:rPr>
                        <w:rFonts w:ascii="Cambria Math" w:hAnsi="Cambria Math"/>
                      </w:rPr>
                      <m:t>,</m:t>
                    </m:r>
                    <m:r>
                      <w:rPr>
                        <w:rFonts w:ascii="Cambria Math" w:hAnsi="Cambria Math"/>
                      </w:rPr>
                      <m:t>ρ</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m:rPr>
                        <m:scr m:val="sans-serif"/>
                        <m:sty m:val="p"/>
                      </m:rPr>
                      <w:rPr>
                        <w:rFonts w:ascii="Cambria Math" w:hAnsi="Cambria Math"/>
                      </w:rPr>
                      <m:t>B</m:t>
                    </m:r>
                    <m:r>
                      <m:rPr>
                        <m:sty m:val="p"/>
                      </m:rPr>
                      <w:rPr>
                        <w:rFonts w:ascii="Cambria Math" w:hAnsi="Cambria Math"/>
                      </w:rPr>
                      <m:t>,</m:t>
                    </m:r>
                    <m:r>
                      <w:rPr>
                        <w:rFonts w:ascii="Cambria Math" w:hAnsi="Cambria Math"/>
                      </w:rPr>
                      <m:t>0</m:t>
                    </m:r>
                  </m:sup>
                </m:sSubSup>
                <m:r>
                  <m:rPr>
                    <m:sty m:val="p"/>
                  </m:rPr>
                  <w:rPr>
                    <w:rFonts w:ascii="Cambria Math" w:hAnsi="Cambria Math"/>
                  </w:rPr>
                  <m:t>],</m:t>
                </m:r>
              </m:e>
            </m:mr>
            <m:mr>
              <m:e>
                <m:acc>
                  <m:accPr>
                    <m:chr m:val="‾"/>
                    <m:ctrlPr>
                      <w:rPr>
                        <w:rFonts w:ascii="Cambria Math" w:hAnsi="Cambria Math"/>
                      </w:rPr>
                    </m:ctrlPr>
                  </m:accPr>
                  <m:e>
                    <m:r>
                      <w:rPr>
                        <w:rFonts w:ascii="Cambria Math" w:hAnsi="Cambria Math"/>
                      </w:rPr>
                      <m:t>δ</m:t>
                    </m:r>
                  </m:e>
                </m:acc>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δ</m:t>
                        </m:r>
                      </m:e>
                      <m:sub>
                        <m:r>
                          <w:rPr>
                            <w:rFonts w:ascii="Cambria Math" w:hAnsi="Cambria Math"/>
                          </w:rPr>
                          <m:t>s</m:t>
                        </m:r>
                      </m:sub>
                    </m:sSub>
                  </m:e>
                </m:nary>
                <m:r>
                  <m:rPr>
                    <m:sty m:val="p"/>
                  </m:rPr>
                  <w:rPr>
                    <w:rFonts w:ascii="Cambria Math" w:hAnsi="Cambria Math"/>
                  </w:rPr>
                  <m:t>.</m:t>
                </m:r>
              </m:e>
            </m:mr>
          </m:m>
        </m:oMath>
      </m:oMathPara>
    </w:p>
    <w:p w14:paraId="354D1034" w14:textId="77777777" w:rsidR="00AF5C7A" w:rsidRDefault="00FB1870">
      <w:pPr>
        <w:pStyle w:val="FirstParagraph"/>
        <w:spacing w:after="80"/>
        <w:jc w:val="right"/>
      </w:pPr>
      <w:r>
        <w:t>(17)</w:t>
      </w:r>
    </w:p>
    <w:p w14:paraId="68736BBC" w14:textId="77777777" w:rsidR="00AF5C7A" w:rsidRDefault="00FB1870">
      <w:pPr>
        <w:pStyle w:val="BodyText"/>
      </w:pPr>
      <w:r>
        <w:t xml:space="preserve">For </w:t>
      </w:r>
      <m:oMath>
        <m:r>
          <w:rPr>
            <w:rFonts w:ascii="Cambria Math" w:hAnsi="Cambria Math"/>
          </w:rPr>
          <m:t>U</m:t>
        </m:r>
        <m:r>
          <m:rPr>
            <m:sty m:val="p"/>
          </m:rPr>
          <w:rPr>
            <w:rFonts w:ascii="Cambria Math" w:hAnsi="Cambria Math"/>
          </w:rPr>
          <m:t>=</m:t>
        </m:r>
        <m:r>
          <w:rPr>
            <w:rFonts w:ascii="Cambria Math" w:hAnsi="Cambria Math"/>
          </w:rPr>
          <m:t>H</m:t>
        </m:r>
      </m:oMath>
      <w:r>
        <w:t xml:space="preserve"> or recall damage, use the corresponding already-clean-matched endpoint consistently; its zero-dose value is zero. We test symmetric paired-location effects, not independent-flow accuracy. Table 12 predeclares the confirmatory endpoint families.</w:t>
      </w:r>
    </w:p>
    <w:p w14:paraId="2EF90B20" w14:textId="77777777" w:rsidR="00AF5C7A" w:rsidRDefault="00FB1870">
      <w:pPr>
        <w:pStyle w:val="BodyText"/>
        <w:keepNext/>
        <w:spacing w:before="140" w:after="80"/>
      </w:pPr>
      <w:r>
        <w:rPr>
          <w:b/>
          <w:bCs/>
        </w:rPr>
        <w:lastRenderedPageBreak/>
        <w:t xml:space="preserve">Table 12. Confirmatory hypotheses. All tests are two-sided at </w:t>
      </w:r>
      <m:oMath>
        <m:r>
          <w:rPr>
            <w:rFonts w:ascii="Cambria Math" w:hAnsi="Cambria Math"/>
          </w:rPr>
          <m:t>α</m:t>
        </m:r>
        <m:r>
          <m:rPr>
            <m:sty m:val="p"/>
          </m:rPr>
          <w:rPr>
            <w:rFonts w:ascii="Cambria Math" w:hAnsi="Cambria Math"/>
          </w:rPr>
          <m:t>=</m:t>
        </m:r>
        <m:r>
          <w:rPr>
            <w:rFonts w:ascii="Cambria Math" w:hAnsi="Cambria Math"/>
          </w:rPr>
          <m:t>.05</m:t>
        </m:r>
      </m:oMath>
      <w:r>
        <w:rPr>
          <w:b/>
          <w:bCs/>
        </w:rPr>
        <w:t xml:space="preserve">; Holm acts within each named family. </w:t>
      </w:r>
      <m:oMath>
        <m:sSub>
          <m:sSubPr>
            <m:ctrlPr>
              <w:rPr>
                <w:rFonts w:ascii="Cambria Math" w:hAnsi="Cambria Math"/>
              </w:rPr>
            </m:ctrlPr>
          </m:sSubPr>
          <m:e>
            <m:r>
              <w:rPr>
                <w:rFonts w:ascii="Cambria Math" w:hAnsi="Cambria Math"/>
              </w:rPr>
              <m:t>δ</m:t>
            </m:r>
          </m:e>
          <m:sub>
            <m:r>
              <w:rPr>
                <w:rFonts w:ascii="Cambria Math" w:hAnsi="Cambria Math"/>
              </w:rPr>
              <m:t>0</m:t>
            </m:r>
          </m:sub>
        </m:sSub>
      </m:oMath>
      <w:r>
        <w:rPr>
          <w:b/>
          <w:bCs/>
        </w:rPr>
        <w:t xml:space="preserve"> denotes paired-location effect.</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574"/>
        <w:gridCol w:w="2852"/>
        <w:gridCol w:w="1770"/>
        <w:gridCol w:w="1672"/>
        <w:gridCol w:w="1967"/>
      </w:tblGrid>
      <w:tr w:rsidR="00AF5C7A" w14:paraId="3107DF45"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1574" w:type="dxa"/>
            <w:shd w:val="clear" w:color="auto" w:fill="DDE6EC"/>
            <w:tcMar>
              <w:top w:w="65" w:type="dxa"/>
              <w:left w:w="65" w:type="dxa"/>
              <w:bottom w:w="65" w:type="dxa"/>
              <w:right w:w="65" w:type="dxa"/>
            </w:tcMar>
            <w:vAlign w:val="center"/>
          </w:tcPr>
          <w:p w14:paraId="232C9FD2" w14:textId="77777777" w:rsidR="00AF5C7A" w:rsidRDefault="00FB1870">
            <w:pPr>
              <w:pStyle w:val="Compact"/>
              <w:keepNext/>
              <w:spacing w:before="20" w:after="40" w:line="245" w:lineRule="auto"/>
            </w:pPr>
            <w:r>
              <w:rPr>
                <w:b/>
                <w:sz w:val="19"/>
              </w:rPr>
              <w:t>Family</w:t>
            </w:r>
          </w:p>
        </w:tc>
        <w:tc>
          <w:tcPr>
            <w:tcW w:w="2852" w:type="dxa"/>
            <w:shd w:val="clear" w:color="auto" w:fill="DDE6EC"/>
            <w:tcMar>
              <w:top w:w="65" w:type="dxa"/>
              <w:left w:w="65" w:type="dxa"/>
              <w:bottom w:w="65" w:type="dxa"/>
              <w:right w:w="65" w:type="dxa"/>
            </w:tcMar>
            <w:vAlign w:val="center"/>
          </w:tcPr>
          <w:p w14:paraId="01FC02ED" w14:textId="77777777" w:rsidR="00AF5C7A" w:rsidRDefault="00FB1870">
            <w:pPr>
              <w:pStyle w:val="Compact"/>
              <w:keepNext/>
              <w:spacing w:before="20" w:after="40" w:line="245" w:lineRule="auto"/>
            </w:pPr>
            <w:r>
              <w:rPr>
                <w:b/>
                <w:sz w:val="19"/>
              </w:rPr>
              <w:t>Estimand/endpoint</w:t>
            </w:r>
          </w:p>
        </w:tc>
        <w:tc>
          <w:tcPr>
            <w:tcW w:w="1770" w:type="dxa"/>
            <w:shd w:val="clear" w:color="auto" w:fill="DDE6EC"/>
            <w:tcMar>
              <w:top w:w="65" w:type="dxa"/>
              <w:left w:w="65" w:type="dxa"/>
              <w:bottom w:w="65" w:type="dxa"/>
              <w:right w:w="65" w:type="dxa"/>
            </w:tcMar>
            <w:vAlign w:val="center"/>
          </w:tcPr>
          <w:p w14:paraId="3C08E416" w14:textId="77777777" w:rsidR="00AF5C7A" w:rsidRDefault="00FB1870">
            <w:pPr>
              <w:pStyle w:val="Compact"/>
              <w:keepNext/>
              <w:spacing w:before="20" w:after="40" w:line="245" w:lineRule="auto"/>
            </w:pPr>
            <w:r>
              <w:rPr>
                <w:b/>
                <w:sz w:val="19"/>
              </w:rPr>
              <w:t>Comparisons</w:t>
            </w:r>
          </w:p>
        </w:tc>
        <w:tc>
          <w:tcPr>
            <w:tcW w:w="1672" w:type="dxa"/>
            <w:shd w:val="clear" w:color="auto" w:fill="DDE6EC"/>
            <w:tcMar>
              <w:top w:w="65" w:type="dxa"/>
              <w:left w:w="65" w:type="dxa"/>
              <w:bottom w:w="65" w:type="dxa"/>
              <w:right w:w="65" w:type="dxa"/>
            </w:tcMar>
            <w:vAlign w:val="center"/>
          </w:tcPr>
          <w:p w14:paraId="3C22FD5B" w14:textId="77777777" w:rsidR="00AF5C7A" w:rsidRDefault="00FB1870">
            <w:pPr>
              <w:pStyle w:val="Compact"/>
              <w:keepNext/>
              <w:spacing w:before="20" w:after="40" w:line="245" w:lineRule="auto"/>
            </w:pPr>
            <w:r>
              <w:rPr>
                <w:b/>
                <w:sz w:val="19"/>
              </w:rPr>
              <w:t>Null / alternative</w:t>
            </w:r>
          </w:p>
        </w:tc>
        <w:tc>
          <w:tcPr>
            <w:tcW w:w="1967" w:type="dxa"/>
            <w:shd w:val="clear" w:color="auto" w:fill="DDE6EC"/>
            <w:tcMar>
              <w:top w:w="65" w:type="dxa"/>
              <w:left w:w="65" w:type="dxa"/>
              <w:bottom w:w="65" w:type="dxa"/>
              <w:right w:w="65" w:type="dxa"/>
            </w:tcMar>
            <w:vAlign w:val="center"/>
          </w:tcPr>
          <w:p w14:paraId="255E62FA" w14:textId="77777777" w:rsidR="00AF5C7A" w:rsidRDefault="00FB1870">
            <w:pPr>
              <w:pStyle w:val="Compact"/>
              <w:keepNext/>
              <w:spacing w:before="20" w:after="40" w:line="245" w:lineRule="auto"/>
            </w:pPr>
            <w:r>
              <w:rPr>
                <w:b/>
                <w:sz w:val="19"/>
              </w:rPr>
              <w:t>Count; role</w:t>
            </w:r>
          </w:p>
        </w:tc>
      </w:tr>
      <w:tr w:rsidR="00AF5C7A" w14:paraId="65BD2B45" w14:textId="77777777" w:rsidTr="00AF5C7A">
        <w:trPr>
          <w:cantSplit/>
        </w:trPr>
        <w:tc>
          <w:tcPr>
            <w:tcW w:w="1574" w:type="dxa"/>
            <w:shd w:val="clear" w:color="auto" w:fill="FFFFFF"/>
            <w:tcMar>
              <w:top w:w="65" w:type="dxa"/>
              <w:left w:w="65" w:type="dxa"/>
              <w:bottom w:w="65" w:type="dxa"/>
              <w:right w:w="65" w:type="dxa"/>
            </w:tcMar>
            <w:vAlign w:val="center"/>
          </w:tcPr>
          <w:p w14:paraId="160D3ABA" w14:textId="77777777" w:rsidR="00AF5C7A" w:rsidRDefault="00FB1870">
            <w:pPr>
              <w:pStyle w:val="Compact"/>
              <w:keepNext/>
              <w:spacing w:before="20" w:after="40" w:line="245" w:lineRule="auto"/>
            </w:pPr>
            <w:r>
              <w:rPr>
                <w:sz w:val="19"/>
              </w:rPr>
              <w:t>C1</w:t>
            </w:r>
          </w:p>
        </w:tc>
        <w:tc>
          <w:tcPr>
            <w:tcW w:w="2852" w:type="dxa"/>
            <w:shd w:val="clear" w:color="auto" w:fill="FFFFFF"/>
            <w:tcMar>
              <w:top w:w="65" w:type="dxa"/>
              <w:left w:w="65" w:type="dxa"/>
              <w:bottom w:w="65" w:type="dxa"/>
              <w:right w:w="65" w:type="dxa"/>
            </w:tcMar>
            <w:vAlign w:val="center"/>
          </w:tcPr>
          <w:p w14:paraId="1492B130" w14:textId="77777777" w:rsidR="00AF5C7A" w:rsidRDefault="00FB1870">
            <w:pPr>
              <w:pStyle w:val="Compact"/>
              <w:keepNext/>
              <w:spacing w:before="20" w:after="40" w:line="245" w:lineRule="auto"/>
            </w:pPr>
            <w:r>
              <w:rPr>
                <w:sz w:val="19"/>
              </w:rPr>
              <w:t xml:space="preserve">Location of learner interaction in </w:t>
            </w:r>
            <m:oMath>
              <m:r>
                <w:rPr>
                  <w:rFonts w:ascii="Cambria Math" w:hAnsi="Cambria Math"/>
                </w:rPr>
                <m:t>H</m:t>
              </m:r>
            </m:oMath>
            <w:r>
              <w:rPr>
                <w:sz w:val="19"/>
              </w:rPr>
              <w:t xml:space="preserve"> and </w:t>
            </w:r>
            <m:oMath>
              <m:sSub>
                <m:sSubPr>
                  <m:ctrlPr>
                    <w:rPr>
                      <w:rFonts w:ascii="Cambria Math" w:hAnsi="Cambria Math"/>
                    </w:rPr>
                  </m:ctrlPr>
                </m:sSubPr>
                <m:e>
                  <m:r>
                    <w:rPr>
                      <w:rFonts w:ascii="Cambria Math" w:hAnsi="Cambria Math"/>
                    </w:rPr>
                    <m:t>Δ</m:t>
                  </m:r>
                </m:e>
                <m:sub>
                  <m:r>
                    <m:rPr>
                      <m:sty m:val="p"/>
                    </m:rPr>
                    <w:rPr>
                      <w:rFonts w:ascii="Cambria Math" w:hAnsi="Cambria Math"/>
                    </w:rPr>
                    <m:t>rec</m:t>
                  </m:r>
                </m:sub>
              </m:sSub>
            </m:oMath>
          </w:p>
        </w:tc>
        <w:tc>
          <w:tcPr>
            <w:tcW w:w="1770" w:type="dxa"/>
            <w:shd w:val="clear" w:color="auto" w:fill="FFFFFF"/>
            <w:tcMar>
              <w:top w:w="65" w:type="dxa"/>
              <w:left w:w="65" w:type="dxa"/>
              <w:bottom w:w="65" w:type="dxa"/>
              <w:right w:w="65" w:type="dxa"/>
            </w:tcMar>
            <w:vAlign w:val="center"/>
          </w:tcPr>
          <w:p w14:paraId="5AA43A14" w14:textId="77777777" w:rsidR="00AF5C7A" w:rsidRDefault="00FB1870">
            <w:pPr>
              <w:pStyle w:val="Compact"/>
              <w:keepNext/>
              <w:spacing w:before="20" w:after="40" w:line="245" w:lineRule="auto"/>
            </w:pPr>
            <w:r>
              <w:rPr>
                <w:sz w:val="19"/>
              </w:rPr>
              <w:t>Three learner pairs at three nonzero doses, for each endpoint</w:t>
            </w:r>
          </w:p>
        </w:tc>
        <w:tc>
          <w:tcPr>
            <w:tcW w:w="1672" w:type="dxa"/>
            <w:shd w:val="clear" w:color="auto" w:fill="FFFFFF"/>
            <w:tcMar>
              <w:top w:w="65" w:type="dxa"/>
              <w:left w:w="65" w:type="dxa"/>
              <w:bottom w:w="65" w:type="dxa"/>
              <w:right w:w="65" w:type="dxa"/>
            </w:tcMar>
            <w:vAlign w:val="center"/>
          </w:tcPr>
          <w:p w14:paraId="69550195" w14:textId="77777777" w:rsidR="00AF5C7A" w:rsidRDefault="00FB1870">
            <w:pPr>
              <w:pStyle w:val="Compact"/>
              <w:keepNext/>
              <w:spacing w:before="20" w:after="40" w:line="245" w:lineRule="auto"/>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0</m:t>
              </m:r>
            </m:oMath>
            <w:r>
              <w:rPr>
                <w:sz w:val="19"/>
              </w:rP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0</m:t>
              </m:r>
            </m:oMath>
          </w:p>
        </w:tc>
        <w:tc>
          <w:tcPr>
            <w:tcW w:w="1967" w:type="dxa"/>
            <w:shd w:val="clear" w:color="auto" w:fill="FFFFFF"/>
            <w:tcMar>
              <w:top w:w="65" w:type="dxa"/>
              <w:left w:w="65" w:type="dxa"/>
              <w:bottom w:w="65" w:type="dxa"/>
              <w:right w:w="65" w:type="dxa"/>
            </w:tcMar>
            <w:vAlign w:val="center"/>
          </w:tcPr>
          <w:p w14:paraId="7D2A95AE" w14:textId="77777777" w:rsidR="00AF5C7A" w:rsidRDefault="00FB1870">
            <w:pPr>
              <w:pStyle w:val="Compact"/>
              <w:keepNext/>
              <w:spacing w:before="20" w:after="40" w:line="245" w:lineRule="auto"/>
            </w:pPr>
            <w:r>
              <w:rPr>
                <w:sz w:val="19"/>
              </w:rPr>
              <w:t>18; poisoning susceptibility</w:t>
            </w:r>
          </w:p>
        </w:tc>
      </w:tr>
      <w:tr w:rsidR="00AF5C7A" w14:paraId="2977F6A9" w14:textId="77777777" w:rsidTr="00AF5C7A">
        <w:trPr>
          <w:cantSplit/>
        </w:trPr>
        <w:tc>
          <w:tcPr>
            <w:tcW w:w="1574" w:type="dxa"/>
            <w:shd w:val="clear" w:color="auto" w:fill="F5F7F9"/>
            <w:tcMar>
              <w:top w:w="65" w:type="dxa"/>
              <w:left w:w="65" w:type="dxa"/>
              <w:bottom w:w="65" w:type="dxa"/>
              <w:right w:w="65" w:type="dxa"/>
            </w:tcMar>
            <w:vAlign w:val="center"/>
          </w:tcPr>
          <w:p w14:paraId="2531E809" w14:textId="77777777" w:rsidR="00AF5C7A" w:rsidRDefault="00FB1870">
            <w:pPr>
              <w:pStyle w:val="Compact"/>
              <w:keepNext/>
              <w:spacing w:before="20" w:after="40" w:line="245" w:lineRule="auto"/>
            </w:pPr>
            <w:r>
              <w:rPr>
                <w:sz w:val="19"/>
              </w:rPr>
              <w:t>C2</w:t>
            </w:r>
          </w:p>
        </w:tc>
        <w:tc>
          <w:tcPr>
            <w:tcW w:w="2852" w:type="dxa"/>
            <w:shd w:val="clear" w:color="auto" w:fill="F5F7F9"/>
            <w:tcMar>
              <w:top w:w="65" w:type="dxa"/>
              <w:left w:w="65" w:type="dxa"/>
              <w:bottom w:w="65" w:type="dxa"/>
              <w:right w:w="65" w:type="dxa"/>
            </w:tcMar>
            <w:vAlign w:val="center"/>
          </w:tcPr>
          <w:p w14:paraId="069F5F50" w14:textId="77777777" w:rsidR="00AF5C7A" w:rsidRDefault="00FB1870">
            <w:pPr>
              <w:pStyle w:val="Compact"/>
              <w:keepNext/>
              <w:spacing w:before="20" w:after="40" w:line="245" w:lineRule="auto"/>
            </w:pPr>
            <w:r>
              <w:rPr>
                <w:sz w:val="19"/>
              </w:rPr>
              <w:t xml:space="preserve">DC minus DM in acquisition </w:t>
            </w:r>
            <m:oMath>
              <m:r>
                <w:rPr>
                  <w:rFonts w:ascii="Cambria Math" w:hAnsi="Cambria Math"/>
                </w:rPr>
                <m:t>A</m:t>
              </m:r>
            </m:oMath>
          </w:p>
        </w:tc>
        <w:tc>
          <w:tcPr>
            <w:tcW w:w="1770" w:type="dxa"/>
            <w:shd w:val="clear" w:color="auto" w:fill="F5F7F9"/>
            <w:tcMar>
              <w:top w:w="65" w:type="dxa"/>
              <w:left w:w="65" w:type="dxa"/>
              <w:bottom w:w="65" w:type="dxa"/>
              <w:right w:w="65" w:type="dxa"/>
            </w:tcMar>
            <w:vAlign w:val="center"/>
          </w:tcPr>
          <w:p w14:paraId="2B1842D3" w14:textId="77777777" w:rsidR="00AF5C7A" w:rsidRDefault="00FB1870">
            <w:pPr>
              <w:pStyle w:val="Compact"/>
              <w:keepNext/>
              <w:spacing w:before="20" w:after="40" w:line="245" w:lineRule="auto"/>
            </w:pPr>
            <w:r>
              <w:rPr>
                <w:sz w:val="19"/>
              </w:rPr>
              <w:t>Four doses</w:t>
            </w:r>
          </w:p>
        </w:tc>
        <w:tc>
          <w:tcPr>
            <w:tcW w:w="1672" w:type="dxa"/>
            <w:shd w:val="clear" w:color="auto" w:fill="F5F7F9"/>
            <w:tcMar>
              <w:top w:w="65" w:type="dxa"/>
              <w:left w:w="65" w:type="dxa"/>
              <w:bottom w:w="65" w:type="dxa"/>
              <w:right w:w="65" w:type="dxa"/>
            </w:tcMar>
            <w:vAlign w:val="center"/>
          </w:tcPr>
          <w:p w14:paraId="5CC86C6C" w14:textId="77777777" w:rsidR="00AF5C7A" w:rsidRDefault="00FB1870">
            <w:pPr>
              <w:pStyle w:val="Compact"/>
              <w:keepNext/>
              <w:spacing w:before="20" w:after="40" w:line="245" w:lineRule="auto"/>
            </w:pPr>
            <w:r>
              <w:rPr>
                <w:sz w:val="19"/>
              </w:rPr>
              <w:t xml:space="preserve">Same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oMath>
          </w:p>
        </w:tc>
        <w:tc>
          <w:tcPr>
            <w:tcW w:w="1967" w:type="dxa"/>
            <w:shd w:val="clear" w:color="auto" w:fill="F5F7F9"/>
            <w:tcMar>
              <w:top w:w="65" w:type="dxa"/>
              <w:left w:w="65" w:type="dxa"/>
              <w:bottom w:w="65" w:type="dxa"/>
              <w:right w:w="65" w:type="dxa"/>
            </w:tcMar>
            <w:vAlign w:val="center"/>
          </w:tcPr>
          <w:p w14:paraId="0FF447ED" w14:textId="77777777" w:rsidR="00AF5C7A" w:rsidRDefault="00FB1870">
            <w:pPr>
              <w:pStyle w:val="Compact"/>
              <w:keepNext/>
              <w:spacing w:before="20" w:after="40" w:line="245" w:lineRule="auto"/>
            </w:pPr>
            <w:r>
              <w:rPr>
                <w:sz w:val="19"/>
              </w:rPr>
              <w:t>4; legitimate adaptation</w:t>
            </w:r>
          </w:p>
        </w:tc>
      </w:tr>
      <w:tr w:rsidR="00AF5C7A" w14:paraId="49B70073" w14:textId="77777777" w:rsidTr="00AF5C7A">
        <w:trPr>
          <w:cantSplit/>
        </w:trPr>
        <w:tc>
          <w:tcPr>
            <w:tcW w:w="1574" w:type="dxa"/>
            <w:shd w:val="clear" w:color="auto" w:fill="FFFFFF"/>
            <w:tcMar>
              <w:top w:w="65" w:type="dxa"/>
              <w:left w:w="65" w:type="dxa"/>
              <w:bottom w:w="65" w:type="dxa"/>
              <w:right w:w="65" w:type="dxa"/>
            </w:tcMar>
            <w:vAlign w:val="center"/>
          </w:tcPr>
          <w:p w14:paraId="7A3E87A2" w14:textId="77777777" w:rsidR="00AF5C7A" w:rsidRDefault="00FB1870">
            <w:pPr>
              <w:pStyle w:val="Compact"/>
              <w:keepNext/>
              <w:spacing w:before="20" w:after="40" w:line="245" w:lineRule="auto"/>
            </w:pPr>
            <w:r>
              <w:rPr>
                <w:sz w:val="19"/>
              </w:rPr>
              <w:t>C2</w:t>
            </w:r>
          </w:p>
        </w:tc>
        <w:tc>
          <w:tcPr>
            <w:tcW w:w="2852" w:type="dxa"/>
            <w:shd w:val="clear" w:color="auto" w:fill="FFFFFF"/>
            <w:tcMar>
              <w:top w:w="65" w:type="dxa"/>
              <w:left w:w="65" w:type="dxa"/>
              <w:bottom w:w="65" w:type="dxa"/>
              <w:right w:w="65" w:type="dxa"/>
            </w:tcMar>
            <w:vAlign w:val="center"/>
          </w:tcPr>
          <w:p w14:paraId="4BE654AD" w14:textId="77777777" w:rsidR="00AF5C7A" w:rsidRDefault="00FB1870">
            <w:pPr>
              <w:pStyle w:val="Compact"/>
              <w:keepNext/>
              <w:spacing w:before="20" w:after="40" w:line="245" w:lineRule="auto"/>
            </w:pPr>
            <w:r>
              <w:rPr>
                <w:sz w:val="19"/>
              </w:rPr>
              <w:t xml:space="preserve">DC minus DM in </w:t>
            </w:r>
            <m:oMath>
              <m:r>
                <w:rPr>
                  <w:rFonts w:ascii="Cambria Math" w:hAnsi="Cambria Math"/>
                </w:rPr>
                <m:t>H</m:t>
              </m:r>
            </m:oMath>
            <w:r>
              <w:rPr>
                <w:sz w:val="19"/>
              </w:rPr>
              <w:t xml:space="preserve"> and </w:t>
            </w:r>
            <m:oMath>
              <m:sSub>
                <m:sSubPr>
                  <m:ctrlPr>
                    <w:rPr>
                      <w:rFonts w:ascii="Cambria Math" w:hAnsi="Cambria Math"/>
                    </w:rPr>
                  </m:ctrlPr>
                </m:sSubPr>
                <m:e>
                  <m:r>
                    <w:rPr>
                      <w:rFonts w:ascii="Cambria Math" w:hAnsi="Cambria Math"/>
                    </w:rPr>
                    <m:t>Δ</m:t>
                  </m:r>
                </m:e>
                <m:sub>
                  <m:r>
                    <m:rPr>
                      <m:sty m:val="p"/>
                    </m:rPr>
                    <w:rPr>
                      <w:rFonts w:ascii="Cambria Math" w:hAnsi="Cambria Math"/>
                    </w:rPr>
                    <m:t>rec</m:t>
                  </m:r>
                </m:sub>
              </m:sSub>
            </m:oMath>
          </w:p>
        </w:tc>
        <w:tc>
          <w:tcPr>
            <w:tcW w:w="1770" w:type="dxa"/>
            <w:shd w:val="clear" w:color="auto" w:fill="FFFFFF"/>
            <w:tcMar>
              <w:top w:w="65" w:type="dxa"/>
              <w:left w:w="65" w:type="dxa"/>
              <w:bottom w:w="65" w:type="dxa"/>
              <w:right w:w="65" w:type="dxa"/>
            </w:tcMar>
            <w:vAlign w:val="center"/>
          </w:tcPr>
          <w:p w14:paraId="5E4B5061" w14:textId="77777777" w:rsidR="00AF5C7A" w:rsidRDefault="00FB1870">
            <w:pPr>
              <w:pStyle w:val="Compact"/>
              <w:keepNext/>
              <w:spacing w:before="20" w:after="40" w:line="245" w:lineRule="auto"/>
            </w:pPr>
            <w:r>
              <w:rPr>
                <w:sz w:val="19"/>
              </w:rPr>
              <w:t>Three nonzero doses for each endpoint</w:t>
            </w:r>
          </w:p>
        </w:tc>
        <w:tc>
          <w:tcPr>
            <w:tcW w:w="1672" w:type="dxa"/>
            <w:shd w:val="clear" w:color="auto" w:fill="FFFFFF"/>
            <w:tcMar>
              <w:top w:w="65" w:type="dxa"/>
              <w:left w:w="65" w:type="dxa"/>
              <w:bottom w:w="65" w:type="dxa"/>
              <w:right w:w="65" w:type="dxa"/>
            </w:tcMar>
            <w:vAlign w:val="center"/>
          </w:tcPr>
          <w:p w14:paraId="0A5789C9" w14:textId="77777777" w:rsidR="00AF5C7A" w:rsidRDefault="00FB1870">
            <w:pPr>
              <w:pStyle w:val="Compact"/>
              <w:keepNext/>
              <w:spacing w:before="20" w:after="40" w:line="245" w:lineRule="auto"/>
            </w:pPr>
            <w:r>
              <w:rPr>
                <w:sz w:val="19"/>
              </w:rPr>
              <w:t xml:space="preserve">Same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oMath>
          </w:p>
        </w:tc>
        <w:tc>
          <w:tcPr>
            <w:tcW w:w="1967" w:type="dxa"/>
            <w:shd w:val="clear" w:color="auto" w:fill="FFFFFF"/>
            <w:tcMar>
              <w:top w:w="65" w:type="dxa"/>
              <w:left w:w="65" w:type="dxa"/>
              <w:bottom w:w="65" w:type="dxa"/>
              <w:right w:w="65" w:type="dxa"/>
            </w:tcMar>
            <w:vAlign w:val="center"/>
          </w:tcPr>
          <w:p w14:paraId="5B4D90C0" w14:textId="77777777" w:rsidR="00AF5C7A" w:rsidRDefault="00FB1870">
            <w:pPr>
              <w:pStyle w:val="Compact"/>
              <w:keepNext/>
              <w:spacing w:before="20" w:after="40" w:line="245" w:lineRule="auto"/>
            </w:pPr>
            <w:r>
              <w:rPr>
                <w:sz w:val="19"/>
              </w:rPr>
              <w:t>6; defense security</w:t>
            </w:r>
          </w:p>
        </w:tc>
      </w:tr>
      <w:tr w:rsidR="00AF5C7A" w14:paraId="7C0B00BE" w14:textId="77777777" w:rsidTr="00AF5C7A">
        <w:trPr>
          <w:cantSplit/>
        </w:trPr>
        <w:tc>
          <w:tcPr>
            <w:tcW w:w="1574" w:type="dxa"/>
            <w:shd w:val="clear" w:color="auto" w:fill="F5F7F9"/>
            <w:tcMar>
              <w:top w:w="65" w:type="dxa"/>
              <w:left w:w="65" w:type="dxa"/>
              <w:bottom w:w="65" w:type="dxa"/>
              <w:right w:w="65" w:type="dxa"/>
            </w:tcMar>
            <w:vAlign w:val="center"/>
          </w:tcPr>
          <w:p w14:paraId="0C99086F" w14:textId="77777777" w:rsidR="00AF5C7A" w:rsidRDefault="00FB1870">
            <w:pPr>
              <w:pStyle w:val="Compact"/>
              <w:spacing w:before="20" w:after="40" w:line="245" w:lineRule="auto"/>
            </w:pPr>
            <w:r>
              <w:rPr>
                <w:sz w:val="19"/>
              </w:rPr>
              <w:t>C2</w:t>
            </w:r>
          </w:p>
        </w:tc>
        <w:tc>
          <w:tcPr>
            <w:tcW w:w="2852" w:type="dxa"/>
            <w:shd w:val="clear" w:color="auto" w:fill="F5F7F9"/>
            <w:tcMar>
              <w:top w:w="65" w:type="dxa"/>
              <w:left w:w="65" w:type="dxa"/>
              <w:bottom w:w="65" w:type="dxa"/>
              <w:right w:w="65" w:type="dxa"/>
            </w:tcMar>
            <w:vAlign w:val="center"/>
          </w:tcPr>
          <w:p w14:paraId="65E536D4" w14:textId="77777777" w:rsidR="00AF5C7A" w:rsidRDefault="00FB1870">
            <w:pPr>
              <w:pStyle w:val="Compact"/>
              <w:spacing w:before="20" w:after="40" w:line="245" w:lineRule="auto"/>
            </w:pPr>
            <w:r>
              <w:rPr>
                <w:sz w:val="19"/>
              </w:rPr>
              <w:t xml:space="preserve">DC minus DM in clean </w:t>
            </w:r>
            <m:oMath>
              <m:sSub>
                <m:sSubPr>
                  <m:ctrlPr>
                    <w:rPr>
                      <w:rFonts w:ascii="Cambria Math" w:hAnsi="Cambria Math"/>
                    </w:rPr>
                  </m:ctrlPr>
                </m:sSubPr>
                <m:e>
                  <m:r>
                    <m:rPr>
                      <m:sty m:val="p"/>
                    </m:rPr>
                    <w:rPr>
                      <w:rFonts w:ascii="Cambria Math" w:hAnsi="Cambria Math"/>
                    </w:rPr>
                    <m:t>FAR</m:t>
                  </m:r>
                </m:e>
                <m:sub>
                  <m:r>
                    <w:rPr>
                      <w:rFonts w:ascii="Cambria Math" w:hAnsi="Cambria Math"/>
                    </w:rPr>
                    <m:t>B</m:t>
                  </m:r>
                </m:sub>
              </m:sSub>
            </m:oMath>
          </w:p>
        </w:tc>
        <w:tc>
          <w:tcPr>
            <w:tcW w:w="1770" w:type="dxa"/>
            <w:shd w:val="clear" w:color="auto" w:fill="F5F7F9"/>
            <w:tcMar>
              <w:top w:w="65" w:type="dxa"/>
              <w:left w:w="65" w:type="dxa"/>
              <w:bottom w:w="65" w:type="dxa"/>
              <w:right w:w="65" w:type="dxa"/>
            </w:tcMar>
            <w:vAlign w:val="center"/>
          </w:tcPr>
          <w:p w14:paraId="25755F2C" w14:textId="77777777" w:rsidR="00AF5C7A" w:rsidRDefault="00FB1870">
            <w:pPr>
              <w:pStyle w:val="Compact"/>
              <w:spacing w:before="20" w:after="40" w:line="245" w:lineRule="auto"/>
            </w:pPr>
            <w:r>
              <w:rPr>
                <w:sz w:val="19"/>
              </w:rPr>
              <w:t>Zero dose only</w:t>
            </w:r>
          </w:p>
        </w:tc>
        <w:tc>
          <w:tcPr>
            <w:tcW w:w="1672" w:type="dxa"/>
            <w:shd w:val="clear" w:color="auto" w:fill="F5F7F9"/>
            <w:tcMar>
              <w:top w:w="65" w:type="dxa"/>
              <w:left w:w="65" w:type="dxa"/>
              <w:bottom w:w="65" w:type="dxa"/>
              <w:right w:w="65" w:type="dxa"/>
            </w:tcMar>
            <w:vAlign w:val="center"/>
          </w:tcPr>
          <w:p w14:paraId="22D0F400" w14:textId="77777777" w:rsidR="00AF5C7A" w:rsidRDefault="00FB1870">
            <w:pPr>
              <w:pStyle w:val="Compact"/>
              <w:spacing w:before="20" w:after="40" w:line="245" w:lineRule="auto"/>
            </w:pPr>
            <w:r>
              <w:rPr>
                <w:sz w:val="19"/>
              </w:rPr>
              <w:t xml:space="preserve">Same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oMath>
          </w:p>
        </w:tc>
        <w:tc>
          <w:tcPr>
            <w:tcW w:w="1967" w:type="dxa"/>
            <w:shd w:val="clear" w:color="auto" w:fill="F5F7F9"/>
            <w:tcMar>
              <w:top w:w="65" w:type="dxa"/>
              <w:left w:w="65" w:type="dxa"/>
              <w:bottom w:w="65" w:type="dxa"/>
              <w:right w:w="65" w:type="dxa"/>
            </w:tcMar>
            <w:vAlign w:val="center"/>
          </w:tcPr>
          <w:p w14:paraId="452D75BF" w14:textId="77777777" w:rsidR="00AF5C7A" w:rsidRDefault="00FB1870">
            <w:pPr>
              <w:pStyle w:val="Compact"/>
              <w:spacing w:before="20" w:after="40" w:line="245" w:lineRule="auto"/>
            </w:pPr>
            <w:r>
              <w:rPr>
                <w:sz w:val="19"/>
              </w:rPr>
              <w:t>1; clean collateral alarm</w:t>
            </w:r>
          </w:p>
        </w:tc>
      </w:tr>
    </w:tbl>
    <w:p w14:paraId="4D28697E" w14:textId="77777777" w:rsidR="00AF5C7A" w:rsidRDefault="00FB1870">
      <w:pPr>
        <w:pStyle w:val="BodyText"/>
      </w:pPr>
      <w:r>
        <w:t xml:space="preserve">For each declared comparison, the paired differences will be oriented as shown in Table 12 and kept together across all endpoints when resampling. Wilcoxon removes zeros and averages tied ranks [31]. Enumerated p-values require symmetric effects; severe asymmetry leaves rank/sign summaries exploratory, without automatic test switching. Holm compares ordered </w:t>
      </w:r>
      <m:oMath>
        <m:sSub>
          <m:sSubPr>
            <m:ctrlPr>
              <w:rPr>
                <w:rFonts w:ascii="Cambria Math" w:hAnsi="Cambria Math"/>
              </w:rPr>
            </m:ctrlPr>
          </m:sSubPr>
          <m:e>
            <m:r>
              <w:rPr>
                <w:rFonts w:ascii="Cambria Math" w:hAnsi="Cambria Math"/>
              </w:rPr>
              <m:t>ζ</m:t>
            </m:r>
          </m:e>
          <m:sub>
            <m:r>
              <w:rPr>
                <w:rFonts w:ascii="Cambria Math" w:hAnsi="Cambria Math"/>
              </w:rPr>
              <m:t>h</m:t>
            </m:r>
          </m:sub>
        </m:sSub>
      </m:oMath>
      <w:r>
        <w:t xml:space="preserve"> with </w:t>
      </w:r>
      <m:oMath>
        <m:r>
          <w:rPr>
            <w:rFonts w:ascii="Cambria Math" w:hAnsi="Cambria Math"/>
          </w:rPr>
          <m:t>.05</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[32]. Each family has </w:t>
      </w:r>
      <m:oMath>
        <m:r>
          <w:rPr>
            <w:rFonts w:ascii="Cambria Math" w:hAnsi="Cambria Math"/>
          </w:rPr>
          <m:t>.05</m:t>
        </m:r>
      </m:oMath>
      <w:r>
        <w:t xml:space="preserve"> error control; the two-family union lacks an experiment-wide </w:t>
      </w:r>
      <m:oMath>
        <m:r>
          <w:rPr>
            <w:rFonts w:ascii="Cambria Math" w:hAnsi="Cambria Math"/>
          </w:rPr>
          <m:t>.05</m:t>
        </m:r>
      </m:oMath>
      <w:r>
        <w:t xml:space="preserve"> guarantee. All-zero differences give </w:t>
      </w:r>
      <m:oMath>
        <m:r>
          <m:rPr>
            <m:scr m:val="fraktur"/>
            <m:sty m:val="p"/>
          </m:rPr>
          <w:rPr>
            <w:rFonts w:ascii="Cambria Math" w:hAnsi="Cambria Math"/>
          </w:rPr>
          <m:t>p</m:t>
        </m:r>
        <m:r>
          <m:rPr>
            <m:sty m:val="p"/>
          </m:rPr>
          <w:rPr>
            <w:rFonts w:ascii="Cambria Math" w:hAnsi="Cambria Math"/>
          </w:rPr>
          <m:t>=</m:t>
        </m:r>
        <m:r>
          <w:rPr>
            <w:rFonts w:ascii="Cambria Math" w:hAnsi="Cambria Math"/>
          </w:rPr>
          <m:t>1</m:t>
        </m:r>
      </m:oMath>
      <w:r>
        <w:t xml:space="preserve"> and undefined rank effect. Report mean/median and rank-biserial effects.</w:t>
      </w:r>
    </w:p>
    <w:p w14:paraId="2263D2FA"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δ</m:t>
                    </m:r>
                  </m:e>
                  <m:sub>
                    <m:r>
                      <w:rPr>
                        <w:rFonts w:ascii="Cambria Math" w:hAnsi="Cambria Math"/>
                      </w:rPr>
                      <m:t>b</m:t>
                    </m:r>
                  </m:sub>
                  <m:sup>
                    <m:r>
                      <m:rPr>
                        <m:sty m:val="p"/>
                      </m:rPr>
                      <w:rPr>
                        <w:rFonts w:ascii="Cambria Math" w:hAnsi="Cambria Math"/>
                      </w:rPr>
                      <m:t>*</m:t>
                    </m:r>
                  </m:sup>
                </m:sSubSup>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κ</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δ</m:t>
                        </m:r>
                      </m:e>
                      <m:sub>
                        <m:sSub>
                          <m:sSubPr>
                            <m:ctrlPr>
                              <w:rPr>
                                <w:rFonts w:ascii="Cambria Math" w:hAnsi="Cambria Math"/>
                              </w:rPr>
                            </m:ctrlPr>
                          </m:sSubPr>
                          <m:e>
                            <m:r>
                              <m:rPr>
                                <m:scr m:val="script"/>
                                <m:sty m:val="p"/>
                              </m:rPr>
                              <w:rPr>
                                <w:rFonts w:ascii="Cambria Math" w:hAnsi="Cambria Math"/>
                              </w:rPr>
                              <m:t>I</m:t>
                            </m:r>
                          </m:e>
                          <m:sub>
                            <m:r>
                              <w:rPr>
                                <w:rFonts w:ascii="Cambria Math" w:hAnsi="Cambria Math"/>
                              </w:rPr>
                              <m:t>κ</m:t>
                            </m:r>
                          </m:sub>
                        </m:sSub>
                      </m:sub>
                    </m:sSub>
                  </m:e>
                </m:nary>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I</m:t>
                    </m:r>
                  </m:e>
                  <m:sub>
                    <m:r>
                      <w:rPr>
                        <w:rFonts w:ascii="Cambria Math" w:hAnsi="Cambria Math"/>
                      </w:rPr>
                      <m:t>κ</m:t>
                    </m:r>
                  </m:sub>
                </m:sSub>
                <m:r>
                  <m:rPr>
                    <m:sty m:val="p"/>
                  </m:rPr>
                  <w:rPr>
                    <w:rFonts w:ascii="Cambria Math" w:hAnsi="Cambria Math"/>
                  </w:rPr>
                  <m:t>∼</m:t>
                </m:r>
                <m:r>
                  <m:rPr>
                    <m:nor/>
                  </m:rPr>
                  <m:t>Uniform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CI</m:t>
                    </m:r>
                  </m:e>
                  <m:sub>
                    <m:r>
                      <m:rPr>
                        <m:sty m:val="p"/>
                      </m:rPr>
                      <w:rPr>
                        <w:rFonts w:ascii="Cambria Math" w:hAnsi="Cambria Math"/>
                      </w:rPr>
                      <m:t>boot</m:t>
                    </m:r>
                  </m:sub>
                </m:sSub>
              </m:e>
              <m:e>
                <m:r>
                  <m:rPr>
                    <m:sty m:val="p"/>
                  </m:rPr>
                  <w:rPr>
                    <w:rFonts w:ascii="Cambria Math" w:hAnsi="Cambria Math"/>
                  </w:rPr>
                  <m:t>=[</m:t>
                </m:r>
                <m:sSub>
                  <m:sSubPr>
                    <m:ctrlPr>
                      <w:rPr>
                        <w:rFonts w:ascii="Cambria Math" w:hAnsi="Cambria Math"/>
                      </w:rPr>
                    </m:ctrlPr>
                  </m:sSubPr>
                  <m:e>
                    <m:r>
                      <m:rPr>
                        <m:nor/>
                      </m:rPr>
                      <m:t>Quant</m:t>
                    </m:r>
                  </m:e>
                  <m:sub>
                    <m:r>
                      <w:rPr>
                        <w:rFonts w:ascii="Cambria Math" w:hAnsi="Cambria Math"/>
                      </w:rPr>
                      <m:t>.025</m:t>
                    </m:r>
                  </m:sub>
                </m:sSub>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nor/>
                      </m:rPr>
                      <m:t>Quant</m:t>
                    </m:r>
                  </m:e>
                  <m:sub>
                    <m:r>
                      <w:rPr>
                        <w:rFonts w:ascii="Cambria Math" w:hAnsi="Cambria Math"/>
                      </w:rPr>
                      <m:t>.975</m:t>
                    </m:r>
                  </m:sub>
                </m:sSub>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m:rPr>
                    <m:sty m:val="p"/>
                  </m:rPr>
                  <w:rPr>
                    <w:rFonts w:ascii="Cambria Math" w:hAnsi="Cambria Math"/>
                  </w:rPr>
                  <m:t>)].</m:t>
                </m:r>
              </m:e>
            </m:mr>
          </m:m>
        </m:oMath>
      </m:oMathPara>
    </w:p>
    <w:p w14:paraId="6AA1903E" w14:textId="77777777" w:rsidR="00AF5C7A" w:rsidRDefault="00FB1870">
      <w:pPr>
        <w:pStyle w:val="FirstParagraph"/>
        <w:spacing w:after="80"/>
        <w:jc w:val="right"/>
      </w:pPr>
      <w:r>
        <w:t>(18)</w:t>
      </w:r>
    </w:p>
    <w:p w14:paraId="5327890B" w14:textId="77777777" w:rsidR="00AF5C7A" w:rsidRDefault="00FB1870">
      <w:pPr>
        <w:pStyle w:val="BodyText"/>
      </w:pPr>
      <w:r>
        <w:t>We resample 10,000 whole-seed vectors. Twelve seeds give uncertain percentile coverage; supplementary intervals invert:</w:t>
      </w:r>
    </w:p>
    <w:p w14:paraId="2EC141C4" w14:textId="77777777" w:rsidR="00AF5C7A" w:rsidRDefault="00FB1870">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T</m:t>
                    </m:r>
                  </m:e>
                  <m:sub>
                    <m:sSub>
                      <m:sSubPr>
                        <m:ctrlPr>
                          <w:rPr>
                            <w:rFonts w:ascii="Cambria Math" w:hAnsi="Cambria Math"/>
                          </w:rPr>
                        </m:ctrlPr>
                      </m:sSubPr>
                      <m:e>
                        <m:r>
                          <w:rPr>
                            <w:rFonts w:ascii="Cambria Math" w:hAnsi="Cambria Math"/>
                          </w:rPr>
                          <m:t>δ</m:t>
                        </m:r>
                      </m:e>
                      <m:sub>
                        <m:r>
                          <w:rPr>
                            <w:rFonts w:ascii="Cambria Math" w:hAnsi="Cambria Math"/>
                          </w:rPr>
                          <m:t>0</m:t>
                        </m:r>
                      </m:sub>
                    </m:sSub>
                  </m:sub>
                </m:sSub>
                <m:r>
                  <m:rPr>
                    <m:sty m:val="p"/>
                  </m:rPr>
                  <w:rPr>
                    <w:rFonts w:ascii="Cambria Math" w:hAnsi="Cambria Math"/>
                  </w:rPr>
                  <m:t>(</m:t>
                </m:r>
                <m:r>
                  <w:rPr>
                    <w:rFonts w:ascii="Cambria Math" w:hAnsi="Cambria Math"/>
                  </w:rPr>
                  <m:t>ε</m:t>
                </m:r>
                <m:r>
                  <m:rPr>
                    <m:sty m:val="p"/>
                  </m:rPr>
                  <w:rPr>
                    <w:rFonts w:ascii="Cambria Math" w:hAnsi="Cambria Math"/>
                  </w:rPr>
                  <m:t>)</m:t>
                </m:r>
              </m:e>
              <m:e>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ε</m:t>
                            </m:r>
                          </m:e>
                          <m:sub>
                            <m:r>
                              <w:rPr>
                                <w:rFonts w:ascii="Cambria Math" w:hAnsi="Cambria Math"/>
                              </w:rPr>
                              <m:t>s</m:t>
                            </m:r>
                          </m:sub>
                        </m:sSub>
                      </m:e>
                    </m:nary>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e>
                </m:d>
                <m:r>
                  <m:rPr>
                    <m:sty m:val="p"/>
                  </m:rPr>
                  <w:rPr>
                    <w:rFonts w:ascii="Cambria Math" w:hAnsi="Cambria Math"/>
                  </w:rPr>
                  <m:t>,</m:t>
                </m:r>
              </m:e>
            </m:mr>
            <m:mr>
              <m:e>
                <m:sSub>
                  <m:sSubPr>
                    <m:ctrlPr>
                      <w:rPr>
                        <w:rFonts w:ascii="Cambria Math" w:hAnsi="Cambria Math"/>
                      </w:rPr>
                    </m:ctrlPr>
                  </m:sSubPr>
                  <m:e>
                    <m:r>
                      <m:rPr>
                        <m:scr m:val="fraktur"/>
                        <m:sty m:val="p"/>
                      </m:rPr>
                      <w:rPr>
                        <w:rFonts w:ascii="Cambria Math" w:hAnsi="Cambria Math"/>
                      </w:rPr>
                      <m:t>p</m:t>
                    </m:r>
                  </m:e>
                  <m:sub>
                    <m:sSub>
                      <m:sSubPr>
                        <m:ctrlPr>
                          <w:rPr>
                            <w:rFonts w:ascii="Cambria Math" w:hAnsi="Cambria Math"/>
                          </w:rPr>
                        </m:ctrlPr>
                      </m:sSubPr>
                      <m:e>
                        <m:r>
                          <w:rPr>
                            <w:rFonts w:ascii="Cambria Math" w:hAnsi="Cambria Math"/>
                          </w:rPr>
                          <m:t>δ</m:t>
                        </m:r>
                      </m:e>
                      <m:sub>
                        <m:r>
                          <w:rPr>
                            <w:rFonts w:ascii="Cambria Math" w:hAnsi="Cambria Math"/>
                          </w:rPr>
                          <m:t>0</m:t>
                        </m:r>
                      </m:sub>
                    </m:sSub>
                  </m:sub>
                </m:sSub>
              </m:e>
              <m:e>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n</m:t>
                    </m:r>
                  </m:sup>
                </m:sSup>
                <m:nary>
                  <m:naryPr>
                    <m:chr m:val="∑"/>
                    <m:limLoc m:val="undOvr"/>
                    <m:supHide m:val="1"/>
                    <m:ctrlPr>
                      <w:rPr>
                        <w:rFonts w:ascii="Cambria Math" w:hAnsi="Cambria Math"/>
                      </w:rPr>
                    </m:ctrlPr>
                  </m:naryPr>
                  <m:sub>
                    <m:r>
                      <w:rPr>
                        <w:rFonts w:ascii="Cambria Math" w:hAnsi="Cambria Math"/>
                      </w:rPr>
                      <m:t>ε</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sub>
                  <m:sup>
                    <m:r>
                      <w:rPr>
                        <w:rFonts w:ascii="Cambria Math" w:hAnsi="Cambria Math"/>
                      </w:rPr>
                      <m:t>​</m:t>
                    </m:r>
                  </m:sup>
                  <m:e>
                    <m:r>
                      <m:rPr>
                        <m:sty m:val="b"/>
                      </m:rPr>
                      <w:rPr>
                        <w:rFonts w:ascii="Cambria Math" w:hAnsi="Cambria Math"/>
                      </w:rPr>
                      <m:t>1</m:t>
                    </m:r>
                  </m:e>
                </m:nary>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sSub>
                      <m:sSubPr>
                        <m:ctrlPr>
                          <w:rPr>
                            <w:rFonts w:ascii="Cambria Math" w:hAnsi="Cambria Math"/>
                          </w:rPr>
                        </m:ctrlPr>
                      </m:sSubPr>
                      <m:e>
                        <m:r>
                          <w:rPr>
                            <w:rFonts w:ascii="Cambria Math" w:hAnsi="Cambria Math"/>
                          </w:rPr>
                          <m:t>δ</m:t>
                        </m:r>
                      </m:e>
                      <m:sub>
                        <m:r>
                          <w:rPr>
                            <w:rFonts w:ascii="Cambria Math" w:hAnsi="Cambria Math"/>
                          </w:rPr>
                          <m:t>0</m:t>
                        </m:r>
                      </m:sub>
                    </m:sSub>
                  </m:sub>
                </m:sSub>
                <m:r>
                  <m:rPr>
                    <m:sty m:val="p"/>
                  </m:rPr>
                  <w:rPr>
                    <w:rFonts w:ascii="Cambria Math" w:hAnsi="Cambria Math"/>
                  </w:rPr>
                  <m:t>(</m:t>
                </m:r>
                <m:r>
                  <w:rPr>
                    <w:rFonts w:ascii="Cambria Math" w:hAnsi="Cambria Math"/>
                  </w:rPr>
                  <m:t>ε</m:t>
                </m:r>
                <m:r>
                  <m:rPr>
                    <m:sty m:val="p"/>
                  </m:rPr>
                  <w:rPr>
                    <w:rFonts w:ascii="Cambria Math" w:hAnsi="Cambria Math"/>
                  </w:rPr>
                  <m:t>)≥|</m:t>
                </m:r>
                <m:acc>
                  <m:accPr>
                    <m:chr m:val="‾"/>
                    <m:ctrlPr>
                      <w:rPr>
                        <w:rFonts w:ascii="Cambria Math" w:hAnsi="Cambria Math"/>
                      </w:rPr>
                    </m:ctrlPr>
                  </m:accPr>
                  <m:e>
                    <m:r>
                      <w:rPr>
                        <w:rFonts w:ascii="Cambria Math" w:hAnsi="Cambria Math"/>
                      </w:rPr>
                      <m:t>δ</m:t>
                    </m:r>
                  </m:e>
                </m:acc>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CI</m:t>
                    </m:r>
                  </m:e>
                  <m:sub>
                    <m:r>
                      <m:rPr>
                        <m:sty m:val="p"/>
                      </m:rPr>
                      <w:rPr>
                        <w:rFonts w:ascii="Cambria Math" w:hAnsi="Cambria Math"/>
                      </w:rPr>
                      <m:t>perm</m:t>
                    </m:r>
                  </m:sub>
                </m:sSub>
              </m:e>
              <m:e>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p</m:t>
                    </m:r>
                  </m:e>
                  <m:sub>
                    <m:sSub>
                      <m:sSubPr>
                        <m:ctrlPr>
                          <w:rPr>
                            <w:rFonts w:ascii="Cambria Math" w:hAnsi="Cambria Math"/>
                          </w:rPr>
                        </m:ctrlPr>
                      </m:sSubPr>
                      <m:e>
                        <m:r>
                          <w:rPr>
                            <w:rFonts w:ascii="Cambria Math" w:hAnsi="Cambria Math"/>
                          </w:rPr>
                          <m:t>δ</m:t>
                        </m:r>
                      </m:e>
                      <m:sub>
                        <m:r>
                          <w:rPr>
                            <w:rFonts w:ascii="Cambria Math" w:hAnsi="Cambria Math"/>
                          </w:rPr>
                          <m:t>0</m:t>
                        </m:r>
                      </m:sub>
                    </m:sSub>
                  </m:sub>
                </m:sSub>
                <m:r>
                  <m:rPr>
                    <m:sty m:val="p"/>
                  </m:rPr>
                  <w:rPr>
                    <w:rFonts w:ascii="Cambria Math" w:hAnsi="Cambria Math"/>
                  </w:rPr>
                  <m:t>&gt;</m:t>
                </m:r>
                <m:r>
                  <w:rPr>
                    <w:rFonts w:ascii="Cambria Math" w:hAnsi="Cambria Math"/>
                  </w:rPr>
                  <m:t>.05</m:t>
                </m:r>
                <m:r>
                  <m:rPr>
                    <m:sty m:val="p"/>
                  </m:rPr>
                  <w:rPr>
                    <w:rFonts w:ascii="Cambria Math" w:hAnsi="Cambria Math"/>
                  </w:rPr>
                  <m:t>}.</m:t>
                </m:r>
              </m:e>
            </m:mr>
          </m:m>
        </m:oMath>
      </m:oMathPara>
    </w:p>
    <w:p w14:paraId="4704BCB7" w14:textId="77777777" w:rsidR="00AF5C7A" w:rsidRDefault="00FB1870">
      <w:pPr>
        <w:pStyle w:val="FirstParagraph"/>
        <w:spacing w:after="80"/>
        <w:jc w:val="right"/>
      </w:pPr>
      <w:r>
        <w:t>(19)</w:t>
      </w:r>
    </w:p>
    <w:p w14:paraId="1BC8A162" w14:textId="77777777" w:rsidR="00AF5C7A" w:rsidRDefault="00FB1870">
      <w:pPr>
        <w:pStyle w:val="BodyText"/>
      </w:pPr>
      <w:r>
        <w:t>The bootstrap interval summarizes the mean paired difference; the supplementary sign-flip interval inverts a centered-mean statistic, not the Wilcoxon statistic. Under independent differences symmetric about a common center with finite means, location and mean coincide. Without that assumption, mean intervals and signed-rank location claims will not be treated as interchangeable. Its exact enumeration is conditional on independent, symmetric centered effects; algorithmic pairing does not create randomized t</w:t>
      </w:r>
      <w:r>
        <w:t>reatment assignment. We give interval endpoints as the accepted set’s range, with conservative outer bounds if disconnected. These ordinary intervals are not simultaneous Holm-adjusted intervals.</w:t>
      </w:r>
    </w:p>
    <w:p w14:paraId="7AE3EB77" w14:textId="77777777" w:rsidR="00AF5C7A" w:rsidRDefault="00FB1870">
      <w:pPr>
        <w:pStyle w:val="BodyText"/>
      </w:pPr>
      <w:r>
        <w:rPr>
          <w:b/>
          <w:bCs/>
        </w:rPr>
        <w:t>Resolution.</w:t>
      </w:r>
      <w:r>
        <w:t xml:space="preserve"> Twelve nonzero pairs give minimum </w:t>
      </w:r>
      <m:oMath>
        <m:r>
          <m:rPr>
            <m:scr m:val="fraktur"/>
            <m:sty m:val="p"/>
          </m:rP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m:t>
            </m:r>
          </m:sup>
        </m:sSup>
        <m:r>
          <m:rPr>
            <m:sty m:val="p"/>
          </m:rPr>
          <w:rPr>
            <w:rFonts w:ascii="Cambria Math" w:hAnsi="Cambria Math"/>
          </w:rPr>
          <m:t>=</m:t>
        </m:r>
        <m:r>
          <w:rPr>
            <w:rFonts w:ascii="Cambria Math" w:hAnsi="Cambria Math"/>
          </w:rPr>
          <m:t>.00048828125</m:t>
        </m:r>
      </m:oMath>
      <w:r>
        <w:t xml:space="preserve">. C2 begins at </w:t>
      </w:r>
      <m:oMath>
        <m:r>
          <w:rPr>
            <w:rFonts w:ascii="Cambria Math" w:hAnsi="Cambria Math"/>
          </w:rPr>
          <m:t>.05</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.004545</m:t>
        </m:r>
        <m:r>
          <m:rPr>
            <m:sty m:val="p"/>
          </m:rPr>
          <w:rPr>
            <w:rFonts w:ascii="Cambria Math" w:hAnsi="Cambria Math"/>
          </w:rPr>
          <m:t>…</m:t>
        </m:r>
      </m:oMath>
      <w:r>
        <w:t xml:space="preserve">; eight pairs give minimum .0078125 and nine .00390625. C1 begins at </w:t>
      </w:r>
      <m:oMath>
        <m:r>
          <w:rPr>
            <w:rFonts w:ascii="Cambria Math" w:hAnsi="Cambria Math"/>
          </w:rPr>
          <m:t>.05</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.002777</m:t>
        </m:r>
        <m:r>
          <m:rPr>
            <m:sty m:val="p"/>
          </m:rPr>
          <w:rPr>
            <w:rFonts w:ascii="Cambria Math" w:hAnsi="Cambria Math"/>
          </w:rPr>
          <m:t>…</m:t>
        </m:r>
      </m:oMath>
      <w:r>
        <w:t>, requiring ten nonzero pairs even at the extreme. These are resolution bounds, not power estimates; rank magnitudes matter. Retain twelve seeds, disclose zeros/ties and restore failed complete pairs without imputation.</w:t>
      </w:r>
    </w:p>
    <w:p w14:paraId="14CD1D48" w14:textId="77777777" w:rsidR="00AF5C7A" w:rsidRDefault="00FB1870">
      <w:pPr>
        <w:pStyle w:val="Heading21"/>
      </w:pPr>
      <w:bookmarkStart w:id="19" w:name="ablation-and-component-analysis"/>
      <w:bookmarkEnd w:id="18"/>
      <w:r>
        <w:t>Step 10 Ablation and Component Analysis</w:t>
      </w:r>
    </w:p>
    <w:p w14:paraId="1BE9201C" w14:textId="77777777" w:rsidR="00AF5C7A" w:rsidRDefault="00FB1870">
      <w:pPr>
        <w:pStyle w:val="FirstParagraph"/>
      </w:pPr>
      <w:r>
        <w:t>Four eviction/loss changes on DC plus two keep-fraction changes in both DC and matched DM require 192 optional runs; protection/validation extensions need additional budgets.</w:t>
      </w:r>
    </w:p>
    <w:p w14:paraId="59819A8D" w14:textId="77777777" w:rsidR="00AF5C7A" w:rsidRDefault="00FB1870">
      <w:pPr>
        <w:pStyle w:val="BodyText"/>
        <w:keepNext/>
        <w:spacing w:before="140" w:after="80"/>
      </w:pPr>
      <w:r>
        <w:rPr>
          <w:b/>
          <w:bCs/>
        </w:rPr>
        <w:lastRenderedPageBreak/>
        <w:t>Table 13. Exploratory ablations, with matched pairing and information access.</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65"/>
        <w:gridCol w:w="3934"/>
        <w:gridCol w:w="1180"/>
        <w:gridCol w:w="2656"/>
      </w:tblGrid>
      <w:tr w:rsidR="00AF5C7A" w14:paraId="3CB18295"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2065" w:type="dxa"/>
            <w:shd w:val="clear" w:color="auto" w:fill="DDE6EC"/>
            <w:tcMar>
              <w:top w:w="65" w:type="dxa"/>
              <w:left w:w="65" w:type="dxa"/>
              <w:bottom w:w="65" w:type="dxa"/>
              <w:right w:w="65" w:type="dxa"/>
            </w:tcMar>
            <w:vAlign w:val="center"/>
          </w:tcPr>
          <w:p w14:paraId="5C12FEE5" w14:textId="77777777" w:rsidR="00AF5C7A" w:rsidRDefault="00FB1870">
            <w:pPr>
              <w:pStyle w:val="Compact"/>
              <w:keepNext/>
              <w:spacing w:before="20" w:after="40" w:line="245" w:lineRule="auto"/>
            </w:pPr>
            <w:r>
              <w:rPr>
                <w:b/>
                <w:sz w:val="19"/>
              </w:rPr>
              <w:t>Factor</w:t>
            </w:r>
          </w:p>
        </w:tc>
        <w:tc>
          <w:tcPr>
            <w:tcW w:w="3934" w:type="dxa"/>
            <w:shd w:val="clear" w:color="auto" w:fill="DDE6EC"/>
            <w:tcMar>
              <w:top w:w="65" w:type="dxa"/>
              <w:left w:w="65" w:type="dxa"/>
              <w:bottom w:w="65" w:type="dxa"/>
              <w:right w:w="65" w:type="dxa"/>
            </w:tcMar>
            <w:vAlign w:val="center"/>
          </w:tcPr>
          <w:p w14:paraId="5FC971B4" w14:textId="77777777" w:rsidR="00AF5C7A" w:rsidRDefault="00FB1870">
            <w:pPr>
              <w:pStyle w:val="Compact"/>
              <w:keepNext/>
              <w:spacing w:before="20" w:after="40" w:line="245" w:lineRule="auto"/>
            </w:pPr>
            <w:r>
              <w:rPr>
                <w:b/>
                <w:sz w:val="19"/>
              </w:rPr>
              <w:t>Levels</w:t>
            </w:r>
          </w:p>
        </w:tc>
        <w:tc>
          <w:tcPr>
            <w:tcW w:w="1180" w:type="dxa"/>
            <w:shd w:val="clear" w:color="auto" w:fill="DDE6EC"/>
            <w:tcMar>
              <w:top w:w="65" w:type="dxa"/>
              <w:left w:w="65" w:type="dxa"/>
              <w:bottom w:w="65" w:type="dxa"/>
              <w:right w:w="65" w:type="dxa"/>
            </w:tcMar>
            <w:vAlign w:val="center"/>
          </w:tcPr>
          <w:p w14:paraId="4E1BF06A" w14:textId="77777777" w:rsidR="00AF5C7A" w:rsidRDefault="00FB1870">
            <w:pPr>
              <w:pStyle w:val="Compact"/>
              <w:keepNext/>
              <w:spacing w:before="20" w:after="40" w:line="245" w:lineRule="auto"/>
            </w:pPr>
            <w:r>
              <w:rPr>
                <w:b/>
                <w:sz w:val="19"/>
              </w:rPr>
              <w:t>Held fixed</w:t>
            </w:r>
          </w:p>
        </w:tc>
        <w:tc>
          <w:tcPr>
            <w:tcW w:w="2656" w:type="dxa"/>
            <w:shd w:val="clear" w:color="auto" w:fill="DDE6EC"/>
            <w:tcMar>
              <w:top w:w="65" w:type="dxa"/>
              <w:left w:w="65" w:type="dxa"/>
              <w:bottom w:w="65" w:type="dxa"/>
              <w:right w:w="65" w:type="dxa"/>
            </w:tcMar>
            <w:vAlign w:val="center"/>
          </w:tcPr>
          <w:p w14:paraId="20E2ED2C" w14:textId="77777777" w:rsidR="00AF5C7A" w:rsidRDefault="00FB1870">
            <w:pPr>
              <w:pStyle w:val="Compact"/>
              <w:keepNext/>
              <w:spacing w:before="20" w:after="40" w:line="245" w:lineRule="auto"/>
            </w:pPr>
            <w:r>
              <w:rPr>
                <w:b/>
                <w:sz w:val="19"/>
              </w:rPr>
              <w:t>Endpoint</w:t>
            </w:r>
          </w:p>
        </w:tc>
      </w:tr>
      <w:tr w:rsidR="00AF5C7A" w14:paraId="43DD7AD9" w14:textId="77777777" w:rsidTr="00AF5C7A">
        <w:trPr>
          <w:cantSplit/>
        </w:trPr>
        <w:tc>
          <w:tcPr>
            <w:tcW w:w="2065" w:type="dxa"/>
            <w:shd w:val="clear" w:color="auto" w:fill="FFFFFF"/>
            <w:tcMar>
              <w:top w:w="65" w:type="dxa"/>
              <w:left w:w="65" w:type="dxa"/>
              <w:bottom w:w="65" w:type="dxa"/>
              <w:right w:w="65" w:type="dxa"/>
            </w:tcMar>
            <w:vAlign w:val="center"/>
          </w:tcPr>
          <w:p w14:paraId="00EB608E" w14:textId="77777777" w:rsidR="00AF5C7A" w:rsidRDefault="00FB1870">
            <w:pPr>
              <w:pStyle w:val="Compact"/>
              <w:keepNext/>
              <w:spacing w:before="20" w:after="40" w:line="245" w:lineRule="auto"/>
            </w:pPr>
            <w:r>
              <w:rPr>
                <w:sz w:val="19"/>
              </w:rPr>
              <w:t>Admission composition</w:t>
            </w:r>
          </w:p>
        </w:tc>
        <w:tc>
          <w:tcPr>
            <w:tcW w:w="3934" w:type="dxa"/>
            <w:shd w:val="clear" w:color="auto" w:fill="FFFFFF"/>
            <w:tcMar>
              <w:top w:w="65" w:type="dxa"/>
              <w:left w:w="65" w:type="dxa"/>
              <w:bottom w:w="65" w:type="dxa"/>
              <w:right w:w="65" w:type="dxa"/>
            </w:tcMar>
            <w:vAlign w:val="center"/>
          </w:tcPr>
          <w:p w14:paraId="60E3D391" w14:textId="77777777" w:rsidR="00AF5C7A" w:rsidRDefault="00FB1870">
            <w:pPr>
              <w:pStyle w:val="Compact"/>
              <w:keepNext/>
              <w:spacing w:before="20" w:after="40" w:line="245" w:lineRule="auto"/>
            </w:pPr>
            <w:r>
              <w:rPr>
                <w:sz w:val="19"/>
              </w:rPr>
              <w:t>DC vs DM</w:t>
            </w:r>
          </w:p>
        </w:tc>
        <w:tc>
          <w:tcPr>
            <w:tcW w:w="1180" w:type="dxa"/>
            <w:shd w:val="clear" w:color="auto" w:fill="FFFFFF"/>
            <w:tcMar>
              <w:top w:w="65" w:type="dxa"/>
              <w:left w:w="65" w:type="dxa"/>
              <w:bottom w:w="65" w:type="dxa"/>
              <w:right w:w="65" w:type="dxa"/>
            </w:tcMar>
            <w:vAlign w:val="center"/>
          </w:tcPr>
          <w:p w14:paraId="1F38536C" w14:textId="77777777" w:rsidR="00AF5C7A" w:rsidRDefault="00FB1870">
            <w:pPr>
              <w:pStyle w:val="Compact"/>
              <w:keepNext/>
              <w:spacing w:before="20" w:after="40" w:line="245" w:lineRule="auto"/>
            </w:pPr>
            <w:r>
              <w:rPr>
                <w:sz w:val="19"/>
              </w:rPr>
              <w:t>Quotas, client weights, head, learner</w:t>
            </w:r>
          </w:p>
        </w:tc>
        <w:tc>
          <w:tcPr>
            <w:tcW w:w="2656" w:type="dxa"/>
            <w:shd w:val="clear" w:color="auto" w:fill="FFFFFF"/>
            <w:tcMar>
              <w:top w:w="65" w:type="dxa"/>
              <w:left w:w="65" w:type="dxa"/>
              <w:bottom w:w="65" w:type="dxa"/>
              <w:right w:w="65" w:type="dxa"/>
            </w:tcMar>
            <w:vAlign w:val="center"/>
          </w:tcPr>
          <w:p w14:paraId="4EE50AD5" w14:textId="77777777" w:rsidR="00AF5C7A" w:rsidRDefault="00FB1870">
            <w:pPr>
              <w:pStyle w:val="Compact"/>
              <w:keepNext/>
              <w:spacing w:before="20" w:after="40" w:line="245" w:lineRule="auto"/>
            </w:pPr>
            <m:oMathPara>
              <m:oMath>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rec</m:t>
                    </m:r>
                  </m:sub>
                </m:sSub>
              </m:oMath>
            </m:oMathPara>
          </w:p>
        </w:tc>
      </w:tr>
      <w:tr w:rsidR="00AF5C7A" w14:paraId="41DA1D56" w14:textId="77777777" w:rsidTr="00AF5C7A">
        <w:trPr>
          <w:cantSplit/>
        </w:trPr>
        <w:tc>
          <w:tcPr>
            <w:tcW w:w="2065" w:type="dxa"/>
            <w:shd w:val="clear" w:color="auto" w:fill="F5F7F9"/>
            <w:tcMar>
              <w:top w:w="65" w:type="dxa"/>
              <w:left w:w="65" w:type="dxa"/>
              <w:bottom w:w="65" w:type="dxa"/>
              <w:right w:w="65" w:type="dxa"/>
            </w:tcMar>
            <w:vAlign w:val="center"/>
          </w:tcPr>
          <w:p w14:paraId="22BEBF22" w14:textId="77777777" w:rsidR="00AF5C7A" w:rsidRDefault="00FB1870">
            <w:pPr>
              <w:pStyle w:val="Compact"/>
              <w:keepNext/>
              <w:spacing w:before="20" w:after="40" w:line="245" w:lineRule="auto"/>
            </w:pPr>
            <w:r>
              <w:rPr>
                <w:sz w:val="19"/>
              </w:rPr>
              <w:t>Eviction</w:t>
            </w:r>
          </w:p>
        </w:tc>
        <w:tc>
          <w:tcPr>
            <w:tcW w:w="3934" w:type="dxa"/>
            <w:shd w:val="clear" w:color="auto" w:fill="F5F7F9"/>
            <w:tcMar>
              <w:top w:w="65" w:type="dxa"/>
              <w:left w:w="65" w:type="dxa"/>
              <w:bottom w:w="65" w:type="dxa"/>
              <w:right w:w="65" w:type="dxa"/>
            </w:tcMar>
            <w:vAlign w:val="center"/>
          </w:tcPr>
          <w:p w14:paraId="0AB74F33" w14:textId="77777777" w:rsidR="00AF5C7A" w:rsidRDefault="00FB1870">
            <w:pPr>
              <w:pStyle w:val="Compact"/>
              <w:keepNext/>
              <w:spacing w:before="20" w:after="40" w:line="245" w:lineRule="auto"/>
            </w:pPr>
            <w:r>
              <w:rPr>
                <w:sz w:val="19"/>
              </w:rPr>
              <w:t>Reservoir; unique-ID FIFO; class-balanced</w:t>
            </w:r>
          </w:p>
        </w:tc>
        <w:tc>
          <w:tcPr>
            <w:tcW w:w="1180" w:type="dxa"/>
            <w:shd w:val="clear" w:color="auto" w:fill="F5F7F9"/>
            <w:tcMar>
              <w:top w:w="65" w:type="dxa"/>
              <w:left w:w="65" w:type="dxa"/>
              <w:bottom w:w="65" w:type="dxa"/>
              <w:right w:w="65" w:type="dxa"/>
            </w:tcMar>
            <w:vAlign w:val="center"/>
          </w:tcPr>
          <w:p w14:paraId="356614D2" w14:textId="77777777" w:rsidR="00AF5C7A" w:rsidRDefault="00FB1870">
            <w:pPr>
              <w:pStyle w:val="Compact"/>
              <w:keepNext/>
              <w:spacing w:before="20" w:after="40" w:line="245" w:lineRule="auto"/>
            </w:pPr>
            <w:r>
              <w:rPr>
                <w:sz w:val="19"/>
              </w:rPr>
              <w:t>500 records, initial-ID insertion, loss</w:t>
            </w:r>
          </w:p>
        </w:tc>
        <w:tc>
          <w:tcPr>
            <w:tcW w:w="2656" w:type="dxa"/>
            <w:shd w:val="clear" w:color="auto" w:fill="F5F7F9"/>
            <w:tcMar>
              <w:top w:w="65" w:type="dxa"/>
              <w:left w:w="65" w:type="dxa"/>
              <w:bottom w:w="65" w:type="dxa"/>
              <w:right w:w="65" w:type="dxa"/>
            </w:tcMar>
            <w:vAlign w:val="center"/>
          </w:tcPr>
          <w:p w14:paraId="28398618" w14:textId="77777777" w:rsidR="00AF5C7A" w:rsidRDefault="00FB1870">
            <w:pPr>
              <w:pStyle w:val="Compact"/>
              <w:keepNext/>
              <w:spacing w:before="20" w:after="40" w:line="245" w:lineRule="auto"/>
            </w:pPr>
            <w:r>
              <w:rPr>
                <w:sz w:val="19"/>
              </w:rPr>
              <w:t xml:space="preserve">Class coverage, contamination, </w:t>
            </w:r>
            <m:oMath>
              <m:r>
                <w:rPr>
                  <w:rFonts w:ascii="Cambria Math" w:hAnsi="Cambria Math"/>
                </w:rPr>
                <m:t>H</m:t>
              </m:r>
            </m:oMath>
          </w:p>
        </w:tc>
      </w:tr>
      <w:tr w:rsidR="00AF5C7A" w14:paraId="4B39E06A" w14:textId="77777777" w:rsidTr="00AF5C7A">
        <w:trPr>
          <w:cantSplit/>
        </w:trPr>
        <w:tc>
          <w:tcPr>
            <w:tcW w:w="2065" w:type="dxa"/>
            <w:shd w:val="clear" w:color="auto" w:fill="FFFFFF"/>
            <w:tcMar>
              <w:top w:w="65" w:type="dxa"/>
              <w:left w:w="65" w:type="dxa"/>
              <w:bottom w:w="65" w:type="dxa"/>
              <w:right w:w="65" w:type="dxa"/>
            </w:tcMar>
            <w:vAlign w:val="center"/>
          </w:tcPr>
          <w:p w14:paraId="67A4452E" w14:textId="77777777" w:rsidR="00AF5C7A" w:rsidRDefault="00FB1870">
            <w:pPr>
              <w:pStyle w:val="Compact"/>
              <w:keepNext/>
              <w:spacing w:before="20" w:after="40" w:line="245" w:lineRule="auto"/>
            </w:pPr>
            <w:r>
              <w:rPr>
                <w:sz w:val="19"/>
              </w:rPr>
              <w:t>DER++ terms</w:t>
            </w:r>
          </w:p>
        </w:tc>
        <w:tc>
          <w:tcPr>
            <w:tcW w:w="3934" w:type="dxa"/>
            <w:shd w:val="clear" w:color="auto" w:fill="FFFFFF"/>
            <w:tcMar>
              <w:top w:w="65" w:type="dxa"/>
              <w:left w:w="65" w:type="dxa"/>
              <w:bottom w:w="65" w:type="dxa"/>
              <w:right w:w="65" w:type="dxa"/>
            </w:tcMar>
            <w:vAlign w:val="center"/>
          </w:tcPr>
          <w:p w14:paraId="23FEE6DB" w14:textId="77777777" w:rsidR="00AF5C7A" w:rsidRDefault="00FB1870">
            <w:pPr>
              <w:pStyle w:val="Compact"/>
              <w:keepNext/>
              <w:spacing w:before="20" w:after="40" w:line="245" w:lineRule="auto"/>
            </w:pPr>
            <w:r>
              <w:rPr>
                <w:sz w:val="19"/>
              </w:rPr>
              <w:t xml:space="preserve">Full; </w:t>
            </w:r>
            <m:oMath>
              <m:sSub>
                <m:sSubPr>
                  <m:ctrlPr>
                    <w:rPr>
                      <w:rFonts w:ascii="Cambria Math" w:hAnsi="Cambria Math"/>
                    </w:rPr>
                  </m:ctrlPr>
                </m:sSubPr>
                <m:e>
                  <m:r>
                    <w:rPr>
                      <w:rFonts w:ascii="Cambria Math" w:hAnsi="Cambria Math"/>
                    </w:rPr>
                    <m:t>λ</m:t>
                  </m:r>
                </m:e>
                <m:sub>
                  <m:r>
                    <w:rPr>
                      <w:rFonts w:ascii="Cambria Math" w:hAnsi="Cambria Math"/>
                    </w:rPr>
                    <m:t>z</m:t>
                  </m:r>
                </m:sub>
              </m:sSub>
              <m:r>
                <m:rPr>
                  <m:sty m:val="p"/>
                </m:rPr>
                <w:rPr>
                  <w:rFonts w:ascii="Cambria Math" w:hAnsi="Cambria Math"/>
                </w:rPr>
                <m:t>=</m:t>
              </m:r>
              <m:r>
                <w:rPr>
                  <w:rFonts w:ascii="Cambria Math" w:hAnsi="Cambria Math"/>
                </w:rPr>
                <m:t>0</m:t>
              </m:r>
            </m:oMath>
            <w:r>
              <w:rPr>
                <w:sz w:val="19"/>
              </w:rPr>
              <w:t xml:space="preserve">; </w:t>
            </w:r>
            <m:oMath>
              <m:sSub>
                <m:sSubPr>
                  <m:ctrlPr>
                    <w:rPr>
                      <w:rFonts w:ascii="Cambria Math" w:hAnsi="Cambria Math"/>
                    </w:rPr>
                  </m:ctrlPr>
                </m:sSubPr>
                <m:e>
                  <m:r>
                    <w:rPr>
                      <w:rFonts w:ascii="Cambria Math" w:hAnsi="Cambria Math"/>
                    </w:rPr>
                    <m:t>λ</m:t>
                  </m:r>
                </m:e>
                <m:sub>
                  <m:r>
                    <w:rPr>
                      <w:rFonts w:ascii="Cambria Math" w:hAnsi="Cambria Math"/>
                    </w:rPr>
                    <m:t>y</m:t>
                  </m:r>
                </m:sub>
              </m:sSub>
              <m:r>
                <m:rPr>
                  <m:sty m:val="p"/>
                </m:rPr>
                <w:rPr>
                  <w:rFonts w:ascii="Cambria Math" w:hAnsi="Cambria Math"/>
                </w:rPr>
                <m:t>=</m:t>
              </m:r>
              <m:r>
                <w:rPr>
                  <w:rFonts w:ascii="Cambria Math" w:hAnsi="Cambria Math"/>
                </w:rPr>
                <m:t>0</m:t>
              </m:r>
            </m:oMath>
          </w:p>
        </w:tc>
        <w:tc>
          <w:tcPr>
            <w:tcW w:w="1180" w:type="dxa"/>
            <w:shd w:val="clear" w:color="auto" w:fill="FFFFFF"/>
            <w:tcMar>
              <w:top w:w="65" w:type="dxa"/>
              <w:left w:w="65" w:type="dxa"/>
              <w:bottom w:w="65" w:type="dxa"/>
              <w:right w:w="65" w:type="dxa"/>
            </w:tcMar>
            <w:vAlign w:val="center"/>
          </w:tcPr>
          <w:p w14:paraId="04EB1DAE" w14:textId="77777777" w:rsidR="00AF5C7A" w:rsidRDefault="00FB1870">
            <w:pPr>
              <w:pStyle w:val="Compact"/>
              <w:keepNext/>
              <w:spacing w:before="20" w:after="40" w:line="245" w:lineRule="auto"/>
            </w:pPr>
            <w:r>
              <w:rPr>
                <w:sz w:val="19"/>
              </w:rPr>
              <w:t>Head mask, data, memory, updates</w:t>
            </w:r>
          </w:p>
        </w:tc>
        <w:tc>
          <w:tcPr>
            <w:tcW w:w="2656" w:type="dxa"/>
            <w:shd w:val="clear" w:color="auto" w:fill="FFFFFF"/>
            <w:tcMar>
              <w:top w:w="65" w:type="dxa"/>
              <w:left w:w="65" w:type="dxa"/>
              <w:bottom w:w="65" w:type="dxa"/>
              <w:right w:w="65" w:type="dxa"/>
            </w:tcMar>
            <w:vAlign w:val="center"/>
          </w:tcPr>
          <w:p w14:paraId="4ADE3F94" w14:textId="77777777" w:rsidR="00AF5C7A" w:rsidRDefault="00FB1870">
            <w:pPr>
              <w:pStyle w:val="Compact"/>
              <w:keepNext/>
              <w:spacing w:before="20" w:after="40" w:line="245" w:lineRule="auto"/>
            </w:pPr>
            <w:r>
              <w:rPr>
                <w:sz w:val="19"/>
              </w:rPr>
              <w:t>Source damage and collateral scores</w:t>
            </w:r>
          </w:p>
        </w:tc>
      </w:tr>
      <w:tr w:rsidR="00AF5C7A" w14:paraId="644A6F4C" w14:textId="77777777" w:rsidTr="00AF5C7A">
        <w:trPr>
          <w:cantSplit/>
        </w:trPr>
        <w:tc>
          <w:tcPr>
            <w:tcW w:w="2065" w:type="dxa"/>
            <w:shd w:val="clear" w:color="auto" w:fill="F5F7F9"/>
            <w:tcMar>
              <w:top w:w="65" w:type="dxa"/>
              <w:left w:w="65" w:type="dxa"/>
              <w:bottom w:w="65" w:type="dxa"/>
              <w:right w:w="65" w:type="dxa"/>
            </w:tcMar>
            <w:vAlign w:val="center"/>
          </w:tcPr>
          <w:p w14:paraId="06631F93" w14:textId="77777777" w:rsidR="00AF5C7A" w:rsidRDefault="00FB1870">
            <w:pPr>
              <w:pStyle w:val="Compact"/>
              <w:keepNext/>
              <w:spacing w:before="20" w:after="40" w:line="245" w:lineRule="auto"/>
            </w:pPr>
            <w:r>
              <w:rPr>
                <w:sz w:val="19"/>
              </w:rPr>
              <w:t>Keep fraction</w:t>
            </w:r>
          </w:p>
        </w:tc>
        <w:tc>
          <w:tcPr>
            <w:tcW w:w="3934" w:type="dxa"/>
            <w:shd w:val="clear" w:color="auto" w:fill="F5F7F9"/>
            <w:tcMar>
              <w:top w:w="65" w:type="dxa"/>
              <w:left w:w="65" w:type="dxa"/>
              <w:bottom w:w="65" w:type="dxa"/>
              <w:right w:w="65" w:type="dxa"/>
            </w:tcMar>
            <w:vAlign w:val="center"/>
          </w:tcPr>
          <w:p w14:paraId="23BEEE72" w14:textId="77777777" w:rsidR="00AF5C7A" w:rsidRDefault="00FB1870">
            <w:pPr>
              <w:pStyle w:val="Compact"/>
              <w:keepNext/>
              <w:spacing w:before="20" w:after="40" w:line="245" w:lineRule="auto"/>
            </w:pPr>
            <m:oMathPara>
              <m:oMath>
                <m:r>
                  <w:rPr>
                    <w:rFonts w:ascii="Cambria Math" w:hAnsi="Cambria Math"/>
                  </w:rPr>
                  <m:t>.50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.90</m:t>
                </m:r>
              </m:oMath>
            </m:oMathPara>
          </w:p>
        </w:tc>
        <w:tc>
          <w:tcPr>
            <w:tcW w:w="1180" w:type="dxa"/>
            <w:shd w:val="clear" w:color="auto" w:fill="F5F7F9"/>
            <w:tcMar>
              <w:top w:w="65" w:type="dxa"/>
              <w:left w:w="65" w:type="dxa"/>
              <w:bottom w:w="65" w:type="dxa"/>
              <w:right w:w="65" w:type="dxa"/>
            </w:tcMar>
            <w:vAlign w:val="center"/>
          </w:tcPr>
          <w:p w14:paraId="6ECE4D0C" w14:textId="77777777" w:rsidR="00AF5C7A" w:rsidRDefault="00FB1870">
            <w:pPr>
              <w:pStyle w:val="Compact"/>
              <w:keepNext/>
              <w:spacing w:before="20" w:after="40" w:line="245" w:lineRule="auto"/>
            </w:pPr>
            <w:r>
              <w:rPr>
                <w:sz w:val="19"/>
              </w:rPr>
              <w:t>Class protection, matched quotas</w:t>
            </w:r>
          </w:p>
        </w:tc>
        <w:tc>
          <w:tcPr>
            <w:tcW w:w="2656" w:type="dxa"/>
            <w:shd w:val="clear" w:color="auto" w:fill="F5F7F9"/>
            <w:tcMar>
              <w:top w:w="65" w:type="dxa"/>
              <w:left w:w="65" w:type="dxa"/>
              <w:bottom w:w="65" w:type="dxa"/>
              <w:right w:w="65" w:type="dxa"/>
            </w:tcMar>
            <w:vAlign w:val="center"/>
          </w:tcPr>
          <w:p w14:paraId="7B6ECA0E" w14:textId="77777777" w:rsidR="00AF5C7A" w:rsidRDefault="00FB1870">
            <w:pPr>
              <w:pStyle w:val="Compact"/>
              <w:keepNext/>
              <w:spacing w:before="20" w:after="40" w:line="245" w:lineRule="auto"/>
            </w:pPr>
            <w:r>
              <w:rPr>
                <w:sz w:val="19"/>
              </w:rPr>
              <w:t>Acquisition/security tradeoff</w:t>
            </w:r>
          </w:p>
        </w:tc>
      </w:tr>
      <w:tr w:rsidR="00AF5C7A" w14:paraId="45DD76DA" w14:textId="77777777" w:rsidTr="00AF5C7A">
        <w:trPr>
          <w:cantSplit/>
        </w:trPr>
        <w:tc>
          <w:tcPr>
            <w:tcW w:w="2065" w:type="dxa"/>
            <w:shd w:val="clear" w:color="auto" w:fill="FFFFFF"/>
            <w:tcMar>
              <w:top w:w="65" w:type="dxa"/>
              <w:left w:w="65" w:type="dxa"/>
              <w:bottom w:w="65" w:type="dxa"/>
              <w:right w:w="65" w:type="dxa"/>
            </w:tcMar>
            <w:vAlign w:val="center"/>
          </w:tcPr>
          <w:p w14:paraId="169CAC53" w14:textId="77777777" w:rsidR="00AF5C7A" w:rsidRDefault="00FB1870">
            <w:pPr>
              <w:pStyle w:val="Compact"/>
              <w:spacing w:before="20" w:after="40" w:line="245" w:lineRule="auto"/>
            </w:pPr>
            <w:r>
              <w:rPr>
                <w:sz w:val="19"/>
              </w:rPr>
              <w:t>Protection boundary</w:t>
            </w:r>
          </w:p>
        </w:tc>
        <w:tc>
          <w:tcPr>
            <w:tcW w:w="3934" w:type="dxa"/>
            <w:shd w:val="clear" w:color="auto" w:fill="FFFFFF"/>
            <w:tcMar>
              <w:top w:w="65" w:type="dxa"/>
              <w:left w:w="65" w:type="dxa"/>
              <w:bottom w:w="65" w:type="dxa"/>
              <w:right w:w="65" w:type="dxa"/>
            </w:tcMar>
            <w:vAlign w:val="center"/>
          </w:tcPr>
          <w:p w14:paraId="138BAD58" w14:textId="77777777" w:rsidR="00AF5C7A" w:rsidRDefault="00FB1870">
            <w:pPr>
              <w:pStyle w:val="Compact"/>
              <w:spacing w:before="20" w:after="40" w:line="245" w:lineRule="auto"/>
            </w:pPr>
            <w:r>
              <w:rPr>
                <w:sz w:val="19"/>
              </w:rPr>
              <w:t>10/20/50 (extra budget)</w:t>
            </w:r>
          </w:p>
        </w:tc>
        <w:tc>
          <w:tcPr>
            <w:tcW w:w="1180" w:type="dxa"/>
            <w:shd w:val="clear" w:color="auto" w:fill="FFFFFF"/>
            <w:tcMar>
              <w:top w:w="65" w:type="dxa"/>
              <w:left w:w="65" w:type="dxa"/>
              <w:bottom w:w="65" w:type="dxa"/>
              <w:right w:w="65" w:type="dxa"/>
            </w:tcMar>
            <w:vAlign w:val="center"/>
          </w:tcPr>
          <w:p w14:paraId="7085BD7E" w14:textId="77777777" w:rsidR="00AF5C7A" w:rsidRDefault="00FB1870">
            <w:pPr>
              <w:pStyle w:val="Compact"/>
              <w:spacing w:before="20" w:after="40" w:line="245" w:lineRule="auto"/>
            </w:pPr>
            <w:r>
              <w:rPr>
                <w:sz w:val="19"/>
              </w:rPr>
              <w:t>Keep fraction and local support definition</w:t>
            </w:r>
          </w:p>
        </w:tc>
        <w:tc>
          <w:tcPr>
            <w:tcW w:w="2656" w:type="dxa"/>
            <w:shd w:val="clear" w:color="auto" w:fill="FFFFFF"/>
            <w:tcMar>
              <w:top w:w="65" w:type="dxa"/>
              <w:left w:w="65" w:type="dxa"/>
              <w:bottom w:w="65" w:type="dxa"/>
              <w:right w:w="65" w:type="dxa"/>
            </w:tcMar>
            <w:vAlign w:val="center"/>
          </w:tcPr>
          <w:p w14:paraId="55C37146" w14:textId="77777777" w:rsidR="00AF5C7A" w:rsidRDefault="00FB1870">
            <w:pPr>
              <w:pStyle w:val="Compact"/>
              <w:spacing w:before="20" w:after="40" w:line="245" w:lineRule="auto"/>
            </w:pPr>
            <w:r>
              <w:rPr>
                <w:sz w:val="19"/>
              </w:rPr>
              <w:t>Honest rare admissions and F1</w:t>
            </w:r>
          </w:p>
        </w:tc>
      </w:tr>
    </w:tbl>
    <w:p w14:paraId="5C255CAA" w14:textId="77777777" w:rsidR="00AF5C7A" w:rsidRDefault="00FB1870">
      <w:pPr>
        <w:pStyle w:val="BodyText"/>
      </w:pPr>
      <w:r>
        <w:t>For the FIFO comparator, a newly encountered admitted ID replaces the oldest resident insertion when memory is full; revisiting an ID never refreshes its age. For class-balanced eviction, compute resident supplied-label counts. When full, an incoming ID replaces a uniformly chosen resident of a maximally represented class if the incoming class is less represented; ties among maximal classes use fixed head-coordinate order. Otherwise replace a uniformly chosen resident of the incoming class. This heuristic c</w:t>
      </w:r>
      <w:r>
        <w:t>hanges eviction only, retains the initial-ID gate and capacity, and does not claim uniform sampling over lifetime data. Labels used for balancing are supplied labels, never evaluator reference labels.</w:t>
      </w:r>
    </w:p>
    <w:p w14:paraId="2060CCF0" w14:textId="77777777" w:rsidR="00AF5C7A" w:rsidRDefault="00FB1870">
      <w:pPr>
        <w:pStyle w:val="BodyText"/>
      </w:pPr>
      <w:r>
        <w:t xml:space="preserve">At E2’s end, make purified/unpurified DR clones per maximum-dose seed. Replace poison with nonresident, nonpoison admitted IDs from the same client, without replacement; preserve occupancy. Refresh </w:t>
      </w:r>
      <w:r>
        <w:rPr>
          <w:i/>
          <w:iCs/>
        </w:rPr>
        <w:t>both</w:t>
      </w:r>
      <w:r>
        <w:t xml:space="preserve"> </w:t>
      </w:r>
      <w:r>
        <w:t>clones’ teachers using the same frozen poisoned E2 model; retain coordinate masks and give replacements their removed slot’s mask. Insufficient replacements make the pair unavailable. Pair E3/E4 schedules. The 24 continuations identify content effects conditional on poisoned parameters and refreshed teachers, distinct from standard DER++ history; contamination correlation alone cannot identify causality.</w:t>
      </w:r>
    </w:p>
    <w:p w14:paraId="3CA2CB3C" w14:textId="77777777" w:rsidR="00AF5C7A" w:rsidRDefault="00FB1870">
      <w:pPr>
        <w:pStyle w:val="Heading21"/>
      </w:pPr>
      <w:bookmarkStart w:id="20" w:name="error-and-failure-analysis"/>
      <w:bookmarkEnd w:id="19"/>
      <w:r>
        <w:lastRenderedPageBreak/>
        <w:t>Step 11 Error and Failure Analysis</w:t>
      </w:r>
    </w:p>
    <w:p w14:paraId="4C5B918A" w14:textId="77777777" w:rsidR="00AF5C7A" w:rsidRDefault="00FB1870">
      <w:pPr>
        <w:pStyle w:val="FirstParagraph"/>
        <w:keepNext/>
        <w:spacing w:before="140" w:after="80"/>
      </w:pPr>
      <w:r>
        <w:rPr>
          <w:b/>
          <w:bCs/>
        </w:rPr>
        <w:t>Table 14. Failure taxonomy and diagnostic evidence.</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56"/>
        <w:gridCol w:w="4131"/>
        <w:gridCol w:w="3049"/>
      </w:tblGrid>
      <w:tr w:rsidR="00AF5C7A" w14:paraId="7BDF898C"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2656" w:type="dxa"/>
            <w:shd w:val="clear" w:color="auto" w:fill="DDE6EC"/>
            <w:tcMar>
              <w:top w:w="65" w:type="dxa"/>
              <w:left w:w="65" w:type="dxa"/>
              <w:bottom w:w="65" w:type="dxa"/>
              <w:right w:w="65" w:type="dxa"/>
            </w:tcMar>
            <w:vAlign w:val="center"/>
          </w:tcPr>
          <w:p w14:paraId="6FEB45AE" w14:textId="77777777" w:rsidR="00AF5C7A" w:rsidRDefault="00FB1870">
            <w:pPr>
              <w:pStyle w:val="Compact"/>
              <w:keepNext/>
              <w:spacing w:before="20" w:after="40" w:line="245" w:lineRule="auto"/>
            </w:pPr>
            <w:r>
              <w:rPr>
                <w:b/>
                <w:sz w:val="19"/>
              </w:rPr>
              <w:t>Failure</w:t>
            </w:r>
          </w:p>
        </w:tc>
        <w:tc>
          <w:tcPr>
            <w:tcW w:w="4131" w:type="dxa"/>
            <w:shd w:val="clear" w:color="auto" w:fill="DDE6EC"/>
            <w:tcMar>
              <w:top w:w="65" w:type="dxa"/>
              <w:left w:w="65" w:type="dxa"/>
              <w:bottom w:w="65" w:type="dxa"/>
              <w:right w:w="65" w:type="dxa"/>
            </w:tcMar>
            <w:vAlign w:val="center"/>
          </w:tcPr>
          <w:p w14:paraId="2FDD094A" w14:textId="77777777" w:rsidR="00AF5C7A" w:rsidRDefault="00FB1870">
            <w:pPr>
              <w:pStyle w:val="Compact"/>
              <w:keepNext/>
              <w:spacing w:before="20" w:after="40" w:line="245" w:lineRule="auto"/>
            </w:pPr>
            <w:r>
              <w:rPr>
                <w:b/>
                <w:sz w:val="19"/>
              </w:rPr>
              <w:t>Diagnostic</w:t>
            </w:r>
          </w:p>
        </w:tc>
        <w:tc>
          <w:tcPr>
            <w:tcW w:w="3049" w:type="dxa"/>
            <w:shd w:val="clear" w:color="auto" w:fill="DDE6EC"/>
            <w:tcMar>
              <w:top w:w="65" w:type="dxa"/>
              <w:left w:w="65" w:type="dxa"/>
              <w:bottom w:w="65" w:type="dxa"/>
              <w:right w:w="65" w:type="dxa"/>
            </w:tcMar>
            <w:vAlign w:val="center"/>
          </w:tcPr>
          <w:p w14:paraId="4DBA3712" w14:textId="77777777" w:rsidR="00AF5C7A" w:rsidRDefault="00FB1870">
            <w:pPr>
              <w:pStyle w:val="Compact"/>
              <w:keepNext/>
              <w:spacing w:before="20" w:after="40" w:line="245" w:lineRule="auto"/>
            </w:pPr>
            <w:r>
              <w:rPr>
                <w:b/>
                <w:sz w:val="19"/>
              </w:rPr>
              <w:t>Interpretation/action</w:t>
            </w:r>
          </w:p>
        </w:tc>
      </w:tr>
      <w:tr w:rsidR="00AF5C7A" w14:paraId="1468AB7C" w14:textId="77777777" w:rsidTr="00AF5C7A">
        <w:trPr>
          <w:cantSplit/>
        </w:trPr>
        <w:tc>
          <w:tcPr>
            <w:tcW w:w="2656" w:type="dxa"/>
            <w:shd w:val="clear" w:color="auto" w:fill="FFFFFF"/>
            <w:tcMar>
              <w:top w:w="65" w:type="dxa"/>
              <w:left w:w="65" w:type="dxa"/>
              <w:bottom w:w="65" w:type="dxa"/>
              <w:right w:w="65" w:type="dxa"/>
            </w:tcMar>
            <w:vAlign w:val="center"/>
          </w:tcPr>
          <w:p w14:paraId="49ACC229" w14:textId="77777777" w:rsidR="00AF5C7A" w:rsidRDefault="00FB1870">
            <w:pPr>
              <w:pStyle w:val="Compact"/>
              <w:keepNext/>
              <w:spacing w:before="20" w:after="40" w:line="245" w:lineRule="auto"/>
            </w:pPr>
            <w:r>
              <w:rPr>
                <w:sz w:val="19"/>
              </w:rPr>
              <w:t>Weak intervention</w:t>
            </w:r>
          </w:p>
        </w:tc>
        <w:tc>
          <w:tcPr>
            <w:tcW w:w="4131" w:type="dxa"/>
            <w:shd w:val="clear" w:color="auto" w:fill="FFFFFF"/>
            <w:tcMar>
              <w:top w:w="65" w:type="dxa"/>
              <w:left w:w="65" w:type="dxa"/>
              <w:bottom w:w="65" w:type="dxa"/>
              <w:right w:w="65" w:type="dxa"/>
            </w:tcMar>
            <w:vAlign w:val="center"/>
          </w:tcPr>
          <w:p w14:paraId="03A173F1" w14:textId="77777777" w:rsidR="00AF5C7A" w:rsidRDefault="00FB1870">
            <w:pPr>
              <w:pStyle w:val="Compact"/>
              <w:keepNext/>
              <w:spacing w:before="20" w:after="40" w:line="245" w:lineRule="auto"/>
            </w:pPr>
            <w:r>
              <w:rPr>
                <w:sz w:val="19"/>
              </w:rPr>
              <w:t>FT maximum-dose pilot overlaps clean</w:t>
            </w:r>
          </w:p>
        </w:tc>
        <w:tc>
          <w:tcPr>
            <w:tcW w:w="3049" w:type="dxa"/>
            <w:shd w:val="clear" w:color="auto" w:fill="FFFFFF"/>
            <w:tcMar>
              <w:top w:w="65" w:type="dxa"/>
              <w:left w:w="65" w:type="dxa"/>
              <w:bottom w:w="65" w:type="dxa"/>
              <w:right w:w="65" w:type="dxa"/>
            </w:tcMar>
            <w:vAlign w:val="center"/>
          </w:tcPr>
          <w:p w14:paraId="63E99E3E" w14:textId="77777777" w:rsidR="00AF5C7A" w:rsidRDefault="00FB1870">
            <w:pPr>
              <w:pStyle w:val="Compact"/>
              <w:keepNext/>
              <w:spacing w:before="20" w:after="40" w:line="245" w:lineRule="auto"/>
            </w:pPr>
            <w:r>
              <w:rPr>
                <w:sz w:val="19"/>
              </w:rPr>
              <w:t>Report attack infeasibility; revise before final testing.</w:t>
            </w:r>
          </w:p>
        </w:tc>
      </w:tr>
      <w:tr w:rsidR="00AF5C7A" w14:paraId="7D2C88DE" w14:textId="77777777" w:rsidTr="00AF5C7A">
        <w:trPr>
          <w:cantSplit/>
        </w:trPr>
        <w:tc>
          <w:tcPr>
            <w:tcW w:w="2656" w:type="dxa"/>
            <w:shd w:val="clear" w:color="auto" w:fill="F5F7F9"/>
            <w:tcMar>
              <w:top w:w="65" w:type="dxa"/>
              <w:left w:w="65" w:type="dxa"/>
              <w:bottom w:w="65" w:type="dxa"/>
              <w:right w:w="65" w:type="dxa"/>
            </w:tcMar>
            <w:vAlign w:val="center"/>
          </w:tcPr>
          <w:p w14:paraId="0E876A4C" w14:textId="77777777" w:rsidR="00AF5C7A" w:rsidRDefault="00FB1870">
            <w:pPr>
              <w:pStyle w:val="Compact"/>
              <w:keepNext/>
              <w:spacing w:before="20" w:after="40" w:line="245" w:lineRule="auto"/>
            </w:pPr>
            <w:r>
              <w:rPr>
                <w:sz w:val="19"/>
              </w:rPr>
              <w:t>Acquisition loss</w:t>
            </w:r>
          </w:p>
        </w:tc>
        <w:tc>
          <w:tcPr>
            <w:tcW w:w="4131" w:type="dxa"/>
            <w:shd w:val="clear" w:color="auto" w:fill="F5F7F9"/>
            <w:tcMar>
              <w:top w:w="65" w:type="dxa"/>
              <w:left w:w="65" w:type="dxa"/>
              <w:bottom w:w="65" w:type="dxa"/>
              <w:right w:w="65" w:type="dxa"/>
            </w:tcMar>
            <w:vAlign w:val="center"/>
          </w:tcPr>
          <w:p w14:paraId="7C05AC90" w14:textId="77777777" w:rsidR="00AF5C7A" w:rsidRDefault="00FB1870">
            <w:pPr>
              <w:pStyle w:val="Compact"/>
              <w:keepNext/>
              <w:spacing w:before="20" w:after="40" w:line="245" w:lineRule="auto"/>
            </w:pPr>
            <w:r>
              <w:rPr>
                <w:sz w:val="19"/>
              </w:rPr>
              <w:t>Low E2 source recall; preserved E1 recall</w:t>
            </w:r>
          </w:p>
        </w:tc>
        <w:tc>
          <w:tcPr>
            <w:tcW w:w="3049" w:type="dxa"/>
            <w:shd w:val="clear" w:color="auto" w:fill="F5F7F9"/>
            <w:tcMar>
              <w:top w:w="65" w:type="dxa"/>
              <w:left w:w="65" w:type="dxa"/>
              <w:bottom w:w="65" w:type="dxa"/>
              <w:right w:w="65" w:type="dxa"/>
            </w:tcMar>
            <w:vAlign w:val="center"/>
          </w:tcPr>
          <w:p w14:paraId="00BA110B" w14:textId="77777777" w:rsidR="00AF5C7A" w:rsidRDefault="00FB1870">
            <w:pPr>
              <w:pStyle w:val="Compact"/>
              <w:keepNext/>
              <w:spacing w:before="20" w:after="40" w:line="245" w:lineRule="auto"/>
            </w:pPr>
            <w:r>
              <w:rPr>
                <w:sz w:val="19"/>
              </w:rPr>
              <w:t>Separate learning damage from forgetting.</w:t>
            </w:r>
          </w:p>
        </w:tc>
      </w:tr>
      <w:tr w:rsidR="00AF5C7A" w14:paraId="49DF659A" w14:textId="77777777" w:rsidTr="00AF5C7A">
        <w:trPr>
          <w:cantSplit/>
        </w:trPr>
        <w:tc>
          <w:tcPr>
            <w:tcW w:w="2656" w:type="dxa"/>
            <w:shd w:val="clear" w:color="auto" w:fill="FFFFFF"/>
            <w:tcMar>
              <w:top w:w="65" w:type="dxa"/>
              <w:left w:w="65" w:type="dxa"/>
              <w:bottom w:w="65" w:type="dxa"/>
              <w:right w:w="65" w:type="dxa"/>
            </w:tcMar>
            <w:vAlign w:val="center"/>
          </w:tcPr>
          <w:p w14:paraId="308B9D7E" w14:textId="77777777" w:rsidR="00AF5C7A" w:rsidRDefault="00FB1870">
            <w:pPr>
              <w:pStyle w:val="Compact"/>
              <w:keepNext/>
              <w:spacing w:before="20" w:after="40" w:line="245" w:lineRule="auto"/>
            </w:pPr>
            <w:r>
              <w:rPr>
                <w:sz w:val="19"/>
              </w:rPr>
              <w:t>Replay persistence</w:t>
            </w:r>
          </w:p>
        </w:tc>
        <w:tc>
          <w:tcPr>
            <w:tcW w:w="4131" w:type="dxa"/>
            <w:shd w:val="clear" w:color="auto" w:fill="FFFFFF"/>
            <w:tcMar>
              <w:top w:w="65" w:type="dxa"/>
              <w:left w:w="65" w:type="dxa"/>
              <w:bottom w:w="65" w:type="dxa"/>
              <w:right w:w="65" w:type="dxa"/>
            </w:tcMar>
            <w:vAlign w:val="center"/>
          </w:tcPr>
          <w:p w14:paraId="7725BEEA" w14:textId="77777777" w:rsidR="00AF5C7A" w:rsidRDefault="00FB1870">
            <w:pPr>
              <w:pStyle w:val="Compact"/>
              <w:keepNext/>
              <w:spacing w:before="20" w:after="40" w:line="245" w:lineRule="auto"/>
            </w:pPr>
            <w:r>
              <w:rPr>
                <w:sz w:val="19"/>
              </w:rPr>
              <w:t>E3/E4 error plus resident poison; purification response</w:t>
            </w:r>
          </w:p>
        </w:tc>
        <w:tc>
          <w:tcPr>
            <w:tcW w:w="3049" w:type="dxa"/>
            <w:shd w:val="clear" w:color="auto" w:fill="FFFFFF"/>
            <w:tcMar>
              <w:top w:w="65" w:type="dxa"/>
              <w:left w:w="65" w:type="dxa"/>
              <w:bottom w:w="65" w:type="dxa"/>
              <w:right w:w="65" w:type="dxa"/>
            </w:tcMar>
            <w:vAlign w:val="center"/>
          </w:tcPr>
          <w:p w14:paraId="7E1A1688" w14:textId="77777777" w:rsidR="00AF5C7A" w:rsidRDefault="00FB1870">
            <w:pPr>
              <w:pStyle w:val="Compact"/>
              <w:keepNext/>
              <w:spacing w:before="20" w:after="40" w:line="245" w:lineRule="auto"/>
            </w:pPr>
            <w:r>
              <w:rPr>
                <w:sz w:val="19"/>
              </w:rPr>
              <w:t>Probe memory involvement with exposure controls.</w:t>
            </w:r>
          </w:p>
        </w:tc>
      </w:tr>
      <w:tr w:rsidR="00AF5C7A" w14:paraId="4638BEC8" w14:textId="77777777" w:rsidTr="00AF5C7A">
        <w:trPr>
          <w:cantSplit/>
        </w:trPr>
        <w:tc>
          <w:tcPr>
            <w:tcW w:w="2656" w:type="dxa"/>
            <w:shd w:val="clear" w:color="auto" w:fill="F5F7F9"/>
            <w:tcMar>
              <w:top w:w="65" w:type="dxa"/>
              <w:left w:w="65" w:type="dxa"/>
              <w:bottom w:w="65" w:type="dxa"/>
              <w:right w:w="65" w:type="dxa"/>
            </w:tcMar>
            <w:vAlign w:val="center"/>
          </w:tcPr>
          <w:p w14:paraId="1A49AB13" w14:textId="77777777" w:rsidR="00AF5C7A" w:rsidRDefault="00FB1870">
            <w:pPr>
              <w:pStyle w:val="Compact"/>
              <w:keepNext/>
              <w:spacing w:before="20" w:after="40" w:line="245" w:lineRule="auto"/>
            </w:pPr>
            <w:r>
              <w:rPr>
                <w:sz w:val="19"/>
              </w:rPr>
              <w:t>Honest rejection</w:t>
            </w:r>
          </w:p>
        </w:tc>
        <w:tc>
          <w:tcPr>
            <w:tcW w:w="4131" w:type="dxa"/>
            <w:shd w:val="clear" w:color="auto" w:fill="F5F7F9"/>
            <w:tcMar>
              <w:top w:w="65" w:type="dxa"/>
              <w:left w:w="65" w:type="dxa"/>
              <w:bottom w:w="65" w:type="dxa"/>
              <w:right w:w="65" w:type="dxa"/>
            </w:tcMar>
            <w:vAlign w:val="center"/>
          </w:tcPr>
          <w:p w14:paraId="1734C17C" w14:textId="77777777" w:rsidR="00AF5C7A" w:rsidRDefault="00FB1870">
            <w:pPr>
              <w:pStyle w:val="Compact"/>
              <w:keepNext/>
              <w:spacing w:before="20" w:after="40" w:line="245" w:lineRule="auto"/>
            </w:pPr>
            <w:r>
              <w:rPr>
                <w:sz w:val="19"/>
              </w:rPr>
              <w:t>Low new-family F1 and honest admissions</w:t>
            </w:r>
          </w:p>
        </w:tc>
        <w:tc>
          <w:tcPr>
            <w:tcW w:w="3049" w:type="dxa"/>
            <w:shd w:val="clear" w:color="auto" w:fill="F5F7F9"/>
            <w:tcMar>
              <w:top w:w="65" w:type="dxa"/>
              <w:left w:w="65" w:type="dxa"/>
              <w:bottom w:w="65" w:type="dxa"/>
              <w:right w:w="65" w:type="dxa"/>
            </w:tcMar>
            <w:vAlign w:val="center"/>
          </w:tcPr>
          <w:p w14:paraId="5DEF73C2" w14:textId="77777777" w:rsidR="00AF5C7A" w:rsidRDefault="00FB1870">
            <w:pPr>
              <w:pStyle w:val="Compact"/>
              <w:keepNext/>
              <w:spacing w:before="20" w:after="40" w:line="245" w:lineRule="auto"/>
            </w:pPr>
            <w:r>
              <w:rPr>
                <w:sz w:val="19"/>
              </w:rPr>
              <w:t>Quantify adaptation cost, even if ASR falls.</w:t>
            </w:r>
          </w:p>
        </w:tc>
      </w:tr>
      <w:tr w:rsidR="00AF5C7A" w14:paraId="65850248" w14:textId="77777777" w:rsidTr="00AF5C7A">
        <w:trPr>
          <w:cantSplit/>
        </w:trPr>
        <w:tc>
          <w:tcPr>
            <w:tcW w:w="2656" w:type="dxa"/>
            <w:shd w:val="clear" w:color="auto" w:fill="FFFFFF"/>
            <w:tcMar>
              <w:top w:w="65" w:type="dxa"/>
              <w:left w:w="65" w:type="dxa"/>
              <w:bottom w:w="65" w:type="dxa"/>
              <w:right w:w="65" w:type="dxa"/>
            </w:tcMar>
            <w:vAlign w:val="center"/>
          </w:tcPr>
          <w:p w14:paraId="09FBC850" w14:textId="77777777" w:rsidR="00AF5C7A" w:rsidRDefault="00FB1870">
            <w:pPr>
              <w:pStyle w:val="Compact"/>
              <w:keepNext/>
              <w:spacing w:before="20" w:after="40" w:line="245" w:lineRule="auto"/>
            </w:pPr>
            <w:r>
              <w:rPr>
                <w:sz w:val="19"/>
              </w:rPr>
              <w:t>Decision spillover</w:t>
            </w:r>
          </w:p>
        </w:tc>
        <w:tc>
          <w:tcPr>
            <w:tcW w:w="4131" w:type="dxa"/>
            <w:shd w:val="clear" w:color="auto" w:fill="FFFFFF"/>
            <w:tcMar>
              <w:top w:w="65" w:type="dxa"/>
              <w:left w:w="65" w:type="dxa"/>
              <w:bottom w:w="65" w:type="dxa"/>
              <w:right w:w="65" w:type="dxa"/>
            </w:tcMar>
            <w:vAlign w:val="center"/>
          </w:tcPr>
          <w:p w14:paraId="1B406DBF" w14:textId="77777777" w:rsidR="00AF5C7A" w:rsidRDefault="00FB1870">
            <w:pPr>
              <w:pStyle w:val="Compact"/>
              <w:keepNext/>
              <w:spacing w:before="20" w:after="40" w:line="245" w:lineRule="auto"/>
            </w:pPr>
            <w:r>
              <w:rPr>
                <w:sz w:val="19"/>
              </w:rPr>
              <w:t>Anchor recall/F1 versus cumulative precision</w:t>
            </w:r>
          </w:p>
        </w:tc>
        <w:tc>
          <w:tcPr>
            <w:tcW w:w="3049" w:type="dxa"/>
            <w:shd w:val="clear" w:color="auto" w:fill="FFFFFF"/>
            <w:tcMar>
              <w:top w:w="65" w:type="dxa"/>
              <w:left w:w="65" w:type="dxa"/>
              <w:bottom w:w="65" w:type="dxa"/>
              <w:right w:w="65" w:type="dxa"/>
            </w:tcMar>
            <w:vAlign w:val="center"/>
          </w:tcPr>
          <w:p w14:paraId="11BEF335" w14:textId="77777777" w:rsidR="00AF5C7A" w:rsidRDefault="00FB1870">
            <w:pPr>
              <w:pStyle w:val="Compact"/>
              <w:keepNext/>
              <w:spacing w:before="20" w:after="40" w:line="245" w:lineRule="auto"/>
            </w:pPr>
            <w:r>
              <w:rPr>
                <w:sz w:val="19"/>
              </w:rPr>
              <w:t>Separate source errors from shared-boundary change.</w:t>
            </w:r>
          </w:p>
        </w:tc>
      </w:tr>
      <w:tr w:rsidR="00AF5C7A" w14:paraId="24AE396F" w14:textId="77777777" w:rsidTr="00AF5C7A">
        <w:trPr>
          <w:cantSplit/>
        </w:trPr>
        <w:tc>
          <w:tcPr>
            <w:tcW w:w="2656" w:type="dxa"/>
            <w:shd w:val="clear" w:color="auto" w:fill="F5F7F9"/>
            <w:tcMar>
              <w:top w:w="65" w:type="dxa"/>
              <w:left w:w="65" w:type="dxa"/>
              <w:bottom w:w="65" w:type="dxa"/>
              <w:right w:w="65" w:type="dxa"/>
            </w:tcMar>
            <w:vAlign w:val="center"/>
          </w:tcPr>
          <w:p w14:paraId="3AB56FAE" w14:textId="77777777" w:rsidR="00AF5C7A" w:rsidRDefault="00FB1870">
            <w:pPr>
              <w:pStyle w:val="Compact"/>
              <w:spacing w:before="20" w:after="40" w:line="245" w:lineRule="auto"/>
            </w:pPr>
            <w:r>
              <w:rPr>
                <w:sz w:val="19"/>
              </w:rPr>
              <w:t>Data/head defect</w:t>
            </w:r>
          </w:p>
        </w:tc>
        <w:tc>
          <w:tcPr>
            <w:tcW w:w="4131" w:type="dxa"/>
            <w:shd w:val="clear" w:color="auto" w:fill="F5F7F9"/>
            <w:tcMar>
              <w:top w:w="65" w:type="dxa"/>
              <w:left w:w="65" w:type="dxa"/>
              <w:bottom w:w="65" w:type="dxa"/>
              <w:right w:w="65" w:type="dxa"/>
            </w:tcMar>
            <w:vAlign w:val="center"/>
          </w:tcPr>
          <w:p w14:paraId="5D8A32C9" w14:textId="77777777" w:rsidR="00AF5C7A" w:rsidRDefault="00FB1870">
            <w:pPr>
              <w:pStyle w:val="Compact"/>
              <w:spacing w:before="20" w:after="40" w:line="245" w:lineRule="auto"/>
            </w:pPr>
            <w:r>
              <w:rPr>
                <w:sz w:val="19"/>
              </w:rPr>
              <w:t>Overlap, unsupported labels, inconsistent head order</w:t>
            </w:r>
          </w:p>
        </w:tc>
        <w:tc>
          <w:tcPr>
            <w:tcW w:w="3049" w:type="dxa"/>
            <w:shd w:val="clear" w:color="auto" w:fill="F5F7F9"/>
            <w:tcMar>
              <w:top w:w="65" w:type="dxa"/>
              <w:left w:w="65" w:type="dxa"/>
              <w:bottom w:w="65" w:type="dxa"/>
              <w:right w:w="65" w:type="dxa"/>
            </w:tcMar>
            <w:vAlign w:val="center"/>
          </w:tcPr>
          <w:p w14:paraId="19CB3B4A" w14:textId="77777777" w:rsidR="00AF5C7A" w:rsidRDefault="00FB1870">
            <w:pPr>
              <w:pStyle w:val="Compact"/>
              <w:spacing w:before="20" w:after="40" w:line="245" w:lineRule="auto"/>
            </w:pPr>
            <w:r>
              <w:rPr>
                <w:sz w:val="19"/>
              </w:rPr>
              <w:t>Reject the affected run; correct the pipeline before interpretation.</w:t>
            </w:r>
          </w:p>
        </w:tc>
      </w:tr>
    </w:tbl>
    <w:p w14:paraId="4ADE2FF7" w14:textId="77777777" w:rsidR="00AF5C7A" w:rsidRDefault="00FB1870">
      <w:pPr>
        <w:pStyle w:val="BodyText"/>
      </w:pPr>
      <w:r>
        <w:t>Inspect family/client/stage confusion matrices. Detector misses, clustering noise and identity churn remain exploratory; clean detector failure blocks adversarial interpretation.</w:t>
      </w:r>
    </w:p>
    <w:p w14:paraId="48E2EC00" w14:textId="77777777" w:rsidR="00AF5C7A" w:rsidRDefault="00FB1870">
      <w:pPr>
        <w:pStyle w:val="Heading21"/>
      </w:pPr>
      <w:bookmarkStart w:id="21" w:name="final-research-output"/>
      <w:bookmarkEnd w:id="20"/>
      <w:r>
        <w:t>Step 12 Final Research Output</w:t>
      </w:r>
    </w:p>
    <w:p w14:paraId="44848A9A" w14:textId="77777777" w:rsidR="00AF5C7A" w:rsidRDefault="00FB1870">
      <w:pPr>
        <w:pStyle w:val="FirstParagraph"/>
        <w:keepNext/>
        <w:spacing w:before="140" w:after="80"/>
      </w:pPr>
      <w:r>
        <w:rPr>
          <w:b/>
          <w:bCs/>
        </w:rPr>
        <w:t>Table 15. Research artifacts and their acceptance evidence.</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67"/>
        <w:gridCol w:w="7868"/>
      </w:tblGrid>
      <w:tr w:rsidR="00AF5C7A" w14:paraId="67522262"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1967" w:type="dxa"/>
            <w:shd w:val="clear" w:color="auto" w:fill="DDE6EC"/>
            <w:tcMar>
              <w:top w:w="65" w:type="dxa"/>
              <w:left w:w="65" w:type="dxa"/>
              <w:bottom w:w="65" w:type="dxa"/>
              <w:right w:w="65" w:type="dxa"/>
            </w:tcMar>
            <w:vAlign w:val="center"/>
          </w:tcPr>
          <w:p w14:paraId="2BC5FE2E" w14:textId="77777777" w:rsidR="00AF5C7A" w:rsidRDefault="00FB1870">
            <w:pPr>
              <w:pStyle w:val="Compact"/>
              <w:keepNext/>
              <w:spacing w:before="20" w:after="40" w:line="245" w:lineRule="auto"/>
            </w:pPr>
            <w:r>
              <w:rPr>
                <w:b/>
                <w:sz w:val="19"/>
              </w:rPr>
              <w:t>Artifact</w:t>
            </w:r>
          </w:p>
        </w:tc>
        <w:tc>
          <w:tcPr>
            <w:tcW w:w="7868" w:type="dxa"/>
            <w:shd w:val="clear" w:color="auto" w:fill="DDE6EC"/>
            <w:tcMar>
              <w:top w:w="65" w:type="dxa"/>
              <w:left w:w="65" w:type="dxa"/>
              <w:bottom w:w="65" w:type="dxa"/>
              <w:right w:w="65" w:type="dxa"/>
            </w:tcMar>
            <w:vAlign w:val="center"/>
          </w:tcPr>
          <w:p w14:paraId="65B4E215" w14:textId="77777777" w:rsidR="00AF5C7A" w:rsidRDefault="00FB1870">
            <w:pPr>
              <w:pStyle w:val="Compact"/>
              <w:keepNext/>
              <w:spacing w:before="20" w:after="40" w:line="245" w:lineRule="auto"/>
            </w:pPr>
            <w:r>
              <w:rPr>
                <w:b/>
                <w:sz w:val="19"/>
              </w:rPr>
              <w:t>Required evidence</w:t>
            </w:r>
          </w:p>
        </w:tc>
      </w:tr>
      <w:tr w:rsidR="00AF5C7A" w14:paraId="250EC313" w14:textId="77777777" w:rsidTr="00AF5C7A">
        <w:trPr>
          <w:cantSplit/>
        </w:trPr>
        <w:tc>
          <w:tcPr>
            <w:tcW w:w="1967" w:type="dxa"/>
            <w:shd w:val="clear" w:color="auto" w:fill="FFFFFF"/>
            <w:tcMar>
              <w:top w:w="65" w:type="dxa"/>
              <w:left w:w="65" w:type="dxa"/>
              <w:bottom w:w="65" w:type="dxa"/>
              <w:right w:w="65" w:type="dxa"/>
            </w:tcMar>
            <w:vAlign w:val="center"/>
          </w:tcPr>
          <w:p w14:paraId="54FDF2E0" w14:textId="77777777" w:rsidR="00AF5C7A" w:rsidRDefault="00FB1870">
            <w:pPr>
              <w:pStyle w:val="Compact"/>
              <w:keepNext/>
              <w:spacing w:before="20" w:after="40" w:line="245" w:lineRule="auto"/>
            </w:pPr>
            <w:r>
              <w:rPr>
                <w:sz w:val="19"/>
              </w:rPr>
              <w:t>Literature/gap report</w:t>
            </w:r>
          </w:p>
        </w:tc>
        <w:tc>
          <w:tcPr>
            <w:tcW w:w="7868" w:type="dxa"/>
            <w:shd w:val="clear" w:color="auto" w:fill="FFFFFF"/>
            <w:tcMar>
              <w:top w:w="65" w:type="dxa"/>
              <w:left w:w="65" w:type="dxa"/>
              <w:bottom w:w="65" w:type="dxa"/>
              <w:right w:w="65" w:type="dxa"/>
            </w:tcMar>
            <w:vAlign w:val="center"/>
          </w:tcPr>
          <w:p w14:paraId="2D5B5D15" w14:textId="77777777" w:rsidR="00AF5C7A" w:rsidRDefault="00FB1870">
            <w:pPr>
              <w:pStyle w:val="Compact"/>
              <w:keepNext/>
              <w:spacing w:before="20" w:after="40" w:line="245" w:lineRule="auto"/>
            </w:pPr>
            <w:r>
              <w:rPr>
                <w:sz w:val="19"/>
              </w:rPr>
              <w:t>Seven sources, verified findings, comparison/taxonomy and traceability.</w:t>
            </w:r>
          </w:p>
        </w:tc>
      </w:tr>
      <w:tr w:rsidR="00AF5C7A" w14:paraId="09865759" w14:textId="77777777" w:rsidTr="00AF5C7A">
        <w:trPr>
          <w:cantSplit/>
        </w:trPr>
        <w:tc>
          <w:tcPr>
            <w:tcW w:w="1967" w:type="dxa"/>
            <w:shd w:val="clear" w:color="auto" w:fill="F5F7F9"/>
            <w:tcMar>
              <w:top w:w="65" w:type="dxa"/>
              <w:left w:w="65" w:type="dxa"/>
              <w:bottom w:w="65" w:type="dxa"/>
              <w:right w:w="65" w:type="dxa"/>
            </w:tcMar>
            <w:vAlign w:val="center"/>
          </w:tcPr>
          <w:p w14:paraId="425E7E94" w14:textId="77777777" w:rsidR="00AF5C7A" w:rsidRDefault="00FB1870">
            <w:pPr>
              <w:pStyle w:val="Compact"/>
              <w:keepNext/>
              <w:spacing w:before="20" w:after="40" w:line="245" w:lineRule="auto"/>
            </w:pPr>
            <w:r>
              <w:rPr>
                <w:sz w:val="19"/>
              </w:rPr>
              <w:t>Data/protocol package</w:t>
            </w:r>
          </w:p>
        </w:tc>
        <w:tc>
          <w:tcPr>
            <w:tcW w:w="7868" w:type="dxa"/>
            <w:shd w:val="clear" w:color="auto" w:fill="F5F7F9"/>
            <w:tcMar>
              <w:top w:w="65" w:type="dxa"/>
              <w:left w:w="65" w:type="dxa"/>
              <w:bottom w:w="65" w:type="dxa"/>
              <w:right w:w="65" w:type="dxa"/>
            </w:tcMar>
            <w:vAlign w:val="center"/>
          </w:tcPr>
          <w:p w14:paraId="3E2AC2F7" w14:textId="77777777" w:rsidR="00AF5C7A" w:rsidRDefault="00FB1870">
            <w:pPr>
              <w:pStyle w:val="Compact"/>
              <w:keepNext/>
              <w:spacing w:before="20" w:after="40" w:line="245" w:lineRule="auto"/>
            </w:pPr>
            <w:r>
              <w:rPr>
                <w:sz w:val="19"/>
              </w:rPr>
              <w:t>Checksums, sidecar/session rule, feature dictionary, support/exclusion and ownership manifests.</w:t>
            </w:r>
          </w:p>
        </w:tc>
      </w:tr>
      <w:tr w:rsidR="00AF5C7A" w14:paraId="75A810D8" w14:textId="77777777" w:rsidTr="00AF5C7A">
        <w:trPr>
          <w:cantSplit/>
        </w:trPr>
        <w:tc>
          <w:tcPr>
            <w:tcW w:w="1967" w:type="dxa"/>
            <w:shd w:val="clear" w:color="auto" w:fill="FFFFFF"/>
            <w:tcMar>
              <w:top w:w="65" w:type="dxa"/>
              <w:left w:w="65" w:type="dxa"/>
              <w:bottom w:w="65" w:type="dxa"/>
              <w:right w:w="65" w:type="dxa"/>
            </w:tcMar>
            <w:vAlign w:val="center"/>
          </w:tcPr>
          <w:p w14:paraId="01D1AE1A" w14:textId="77777777" w:rsidR="00AF5C7A" w:rsidRDefault="00FB1870">
            <w:pPr>
              <w:pStyle w:val="Compact"/>
              <w:keepNext/>
              <w:spacing w:before="20" w:after="40" w:line="245" w:lineRule="auto"/>
            </w:pPr>
            <w:r>
              <w:rPr>
                <w:sz w:val="19"/>
              </w:rPr>
              <w:t>Experiment outputs</w:t>
            </w:r>
          </w:p>
        </w:tc>
        <w:tc>
          <w:tcPr>
            <w:tcW w:w="7868" w:type="dxa"/>
            <w:shd w:val="clear" w:color="auto" w:fill="FFFFFF"/>
            <w:tcMar>
              <w:top w:w="65" w:type="dxa"/>
              <w:left w:w="65" w:type="dxa"/>
              <w:bottom w:w="65" w:type="dxa"/>
              <w:right w:w="65" w:type="dxa"/>
            </w:tcMar>
            <w:vAlign w:val="center"/>
          </w:tcPr>
          <w:p w14:paraId="6410DAD5" w14:textId="77777777" w:rsidR="00AF5C7A" w:rsidRDefault="00FB1870">
            <w:pPr>
              <w:pStyle w:val="Compact"/>
              <w:keepNext/>
              <w:spacing w:before="20" w:after="40" w:line="245" w:lineRule="auto"/>
            </w:pPr>
            <w:r>
              <w:rPr>
                <w:sz w:val="19"/>
              </w:rPr>
              <w:t>Complete paired seeds; configuration/code hashes; source/acquisition/collateral trajectories.</w:t>
            </w:r>
          </w:p>
        </w:tc>
      </w:tr>
      <w:tr w:rsidR="00AF5C7A" w14:paraId="6527D158" w14:textId="77777777" w:rsidTr="00AF5C7A">
        <w:trPr>
          <w:cantSplit/>
        </w:trPr>
        <w:tc>
          <w:tcPr>
            <w:tcW w:w="1967" w:type="dxa"/>
            <w:shd w:val="clear" w:color="auto" w:fill="F5F7F9"/>
            <w:tcMar>
              <w:top w:w="65" w:type="dxa"/>
              <w:left w:w="65" w:type="dxa"/>
              <w:bottom w:w="65" w:type="dxa"/>
              <w:right w:w="65" w:type="dxa"/>
            </w:tcMar>
            <w:vAlign w:val="center"/>
          </w:tcPr>
          <w:p w14:paraId="4B9B1BCA" w14:textId="77777777" w:rsidR="00AF5C7A" w:rsidRDefault="00FB1870">
            <w:pPr>
              <w:pStyle w:val="Compact"/>
              <w:keepNext/>
              <w:spacing w:before="20" w:after="40" w:line="245" w:lineRule="auto"/>
            </w:pPr>
            <w:r>
              <w:rPr>
                <w:sz w:val="19"/>
              </w:rPr>
              <w:t>Statistical/cost package</w:t>
            </w:r>
          </w:p>
        </w:tc>
        <w:tc>
          <w:tcPr>
            <w:tcW w:w="7868" w:type="dxa"/>
            <w:shd w:val="clear" w:color="auto" w:fill="F5F7F9"/>
            <w:tcMar>
              <w:top w:w="65" w:type="dxa"/>
              <w:left w:w="65" w:type="dxa"/>
              <w:bottom w:w="65" w:type="dxa"/>
              <w:right w:w="65" w:type="dxa"/>
            </w:tcMar>
            <w:vAlign w:val="center"/>
          </w:tcPr>
          <w:p w14:paraId="1885EED3" w14:textId="77777777" w:rsidR="00AF5C7A" w:rsidRDefault="00FB1870">
            <w:pPr>
              <w:pStyle w:val="Compact"/>
              <w:keepNext/>
              <w:spacing w:before="20" w:after="40" w:line="245" w:lineRule="auto"/>
            </w:pPr>
            <w:r>
              <w:rPr>
                <w:sz w:val="19"/>
              </w:rPr>
              <w:t>Declared Holm families, effect intervals, failure cases, trained-model time/bytes.</w:t>
            </w:r>
          </w:p>
        </w:tc>
      </w:tr>
      <w:tr w:rsidR="00AF5C7A" w14:paraId="792B752F" w14:textId="77777777" w:rsidTr="00AF5C7A">
        <w:trPr>
          <w:cantSplit/>
        </w:trPr>
        <w:tc>
          <w:tcPr>
            <w:tcW w:w="1967" w:type="dxa"/>
            <w:shd w:val="clear" w:color="auto" w:fill="FFFFFF"/>
            <w:tcMar>
              <w:top w:w="65" w:type="dxa"/>
              <w:left w:w="65" w:type="dxa"/>
              <w:bottom w:w="65" w:type="dxa"/>
              <w:right w:w="65" w:type="dxa"/>
            </w:tcMar>
            <w:vAlign w:val="center"/>
          </w:tcPr>
          <w:p w14:paraId="4396FBC1" w14:textId="77777777" w:rsidR="00AF5C7A" w:rsidRDefault="00FB1870">
            <w:pPr>
              <w:pStyle w:val="Compact"/>
              <w:spacing w:before="20" w:after="40" w:line="245" w:lineRule="auto"/>
            </w:pPr>
            <w:r>
              <w:rPr>
                <w:sz w:val="19"/>
              </w:rPr>
              <w:t>Reproducible manuscript</w:t>
            </w:r>
          </w:p>
        </w:tc>
        <w:tc>
          <w:tcPr>
            <w:tcW w:w="7868" w:type="dxa"/>
            <w:shd w:val="clear" w:color="auto" w:fill="FFFFFF"/>
            <w:tcMar>
              <w:top w:w="65" w:type="dxa"/>
              <w:left w:w="65" w:type="dxa"/>
              <w:bottom w:w="65" w:type="dxa"/>
              <w:right w:w="65" w:type="dxa"/>
            </w:tcMar>
            <w:vAlign w:val="center"/>
          </w:tcPr>
          <w:p w14:paraId="1244EC57" w14:textId="77777777" w:rsidR="00AF5C7A" w:rsidRDefault="00FB1870">
            <w:pPr>
              <w:pStyle w:val="Compact"/>
              <w:spacing w:before="20" w:after="40" w:line="245" w:lineRule="auto"/>
            </w:pPr>
            <w:r>
              <w:rPr>
                <w:sz w:val="19"/>
              </w:rPr>
              <w:t>Every measured claim linked to validated outputs; proposed quantities remain distinguished.</w:t>
            </w:r>
          </w:p>
        </w:tc>
      </w:tr>
    </w:tbl>
    <w:p w14:paraId="133B7307" w14:textId="77777777" w:rsidR="00AF5C7A" w:rsidRDefault="00FB1870">
      <w:pPr>
        <w:pStyle w:val="BodyText"/>
      </w:pPr>
      <w:r>
        <w:t>Report null effects and adaptation harm with acquisition, alarms and measured cost. Incomplete scope stays explicit.</w:t>
      </w:r>
    </w:p>
    <w:p w14:paraId="6AB89D32" w14:textId="77777777" w:rsidR="00AF5C7A" w:rsidRDefault="00FB1870">
      <w:pPr>
        <w:pStyle w:val="Heading11"/>
        <w:pageBreakBefore/>
      </w:pPr>
      <w:bookmarkStart w:id="22" w:name="X3681ecb5e77e10906f594bffe3d779a7931b385"/>
      <w:bookmarkEnd w:id="9"/>
      <w:bookmarkEnd w:id="21"/>
      <w:r>
        <w:lastRenderedPageBreak/>
        <w:t>Deliverable 4: Research Methodology Architecture</w:t>
      </w:r>
    </w:p>
    <w:p w14:paraId="47737635" w14:textId="77777777" w:rsidR="00AF5C7A" w:rsidRDefault="00FB1870">
      <w:pPr>
        <w:pStyle w:val="FirstParagraph"/>
      </w:pPr>
      <w:r>
        <w:t>Figure 1 summarizes five methodological phases; Figure 2 expands the proposed federated experiment. The phases summarize the twelve steps in Deliverable 3: data/representation covers Steps 1–4; development uses Step 7; federated experiments cover Steps 5–7; evaluation is Step 8; analysis covers Steps 9–12. Each learner/admission condition is a separate run with its own client state; conditions do not merge into one learner.</w:t>
      </w:r>
    </w:p>
    <w:p w14:paraId="338AB070" w14:textId="77777777" w:rsidR="00AF5C7A" w:rsidRDefault="00FB1870">
      <w:pPr>
        <w:pStyle w:val="BodyText"/>
        <w:keepNext/>
        <w:keepLines/>
        <w:jc w:val="center"/>
      </w:pPr>
      <w:r>
        <w:rPr>
          <w:noProof/>
        </w:rPr>
        <w:drawing>
          <wp:inline distT="0" distB="0" distL="0" distR="0" wp14:anchorId="6ABF1B31" wp14:editId="40830B0E">
            <wp:extent cx="6217920" cy="3091687"/>
            <wp:effectExtent l="0" t="0" r="0" b="0"/>
            <wp:docPr id="1" name="Picture" descr="image"/>
            <wp:cNvGraphicFramePr/>
            <a:graphic xmlns:a="http://schemas.openxmlformats.org/drawingml/2006/main">
              <a:graphicData uri="http://schemas.openxmlformats.org/drawingml/2006/picture">
                <pic:pic xmlns:pic="http://schemas.openxmlformats.org/drawingml/2006/picture">
                  <pic:nvPicPr>
                    <pic:cNvPr id="0" name="Picture" descr="C:/Users/hp/Desktop/University/5. C Net/1. Project/research_figures/methodology-overview.png"/>
                    <pic:cNvPicPr>
                      <a:picLocks noChangeAspect="1" noChangeArrowheads="1"/>
                    </pic:cNvPicPr>
                  </pic:nvPicPr>
                  <pic:blipFill>
                    <a:blip r:embed="rId8"/>
                    <a:stretch>
                      <a:fillRect/>
                    </a:stretch>
                  </pic:blipFill>
                  <pic:spPr bwMode="auto">
                    <a:xfrm>
                      <a:off x="0" y="0"/>
                      <a:ext cx="6217920" cy="3091687"/>
                    </a:xfrm>
                    <a:prstGeom prst="rect">
                      <a:avLst/>
                    </a:prstGeom>
                    <a:noFill/>
                    <a:ln w="9525">
                      <a:noFill/>
                      <a:headEnd/>
                      <a:tailEnd/>
                    </a:ln>
                  </pic:spPr>
                </pic:pic>
              </a:graphicData>
            </a:graphic>
          </wp:inline>
        </w:drawing>
      </w:r>
    </w:p>
    <w:p w14:paraId="6A9F82B7" w14:textId="77777777" w:rsidR="00AF5C7A" w:rsidRDefault="00FB1870">
      <w:pPr>
        <w:pStyle w:val="BodyText"/>
        <w:spacing w:before="60"/>
      </w:pPr>
      <w:r>
        <w:t>Figure 1: Proposed methodology overview. Solid arrows transfer audited inputs, locked settings, trained checkpoints and predictions/metrics, respectively. Predictions support failure analysis directly. Component experiments receive their own matched evaluations. The dashed branch transfers method settings to a separate exploratory CICIoT2023 protocol; data, weights and primary estimates are not pooled. Exact settings remain in the protocol tables.</w:t>
      </w:r>
    </w:p>
    <w:p w14:paraId="04669202" w14:textId="77777777" w:rsidR="00AF5C7A" w:rsidRDefault="00FB1870">
      <w:pPr>
        <w:pStyle w:val="BodyText"/>
        <w:keepNext/>
        <w:keepLines/>
        <w:pageBreakBefore/>
        <w:jc w:val="center"/>
      </w:pPr>
      <w:r>
        <w:rPr>
          <w:noProof/>
        </w:rPr>
        <w:lastRenderedPageBreak/>
        <w:drawing>
          <wp:inline distT="0" distB="0" distL="0" distR="0" wp14:anchorId="7E4BF345" wp14:editId="42C0A071">
            <wp:extent cx="6217920" cy="5423407"/>
            <wp:effectExtent l="0" t="0" r="0" b="0"/>
            <wp:docPr id="318931833" name="Picture" descr="image"/>
            <wp:cNvGraphicFramePr/>
            <a:graphic xmlns:a="http://schemas.openxmlformats.org/drawingml/2006/main">
              <a:graphicData uri="http://schemas.openxmlformats.org/drawingml/2006/picture">
                <pic:pic xmlns:pic="http://schemas.openxmlformats.org/drawingml/2006/picture">
                  <pic:nvPicPr>
                    <pic:cNvPr id="0" name="Picture" descr="C:/Users/hp/Desktop/University/5. C Net/1. Project/research_figures/proposed-framework-architecture.png"/>
                    <pic:cNvPicPr>
                      <a:picLocks noChangeAspect="1" noChangeArrowheads="1"/>
                    </pic:cNvPicPr>
                  </pic:nvPicPr>
                  <pic:blipFill>
                    <a:blip r:embed="rId9"/>
                    <a:stretch>
                      <a:fillRect/>
                    </a:stretch>
                  </pic:blipFill>
                  <pic:spPr bwMode="auto">
                    <a:xfrm>
                      <a:off x="0" y="0"/>
                      <a:ext cx="6217920" cy="5423407"/>
                    </a:xfrm>
                    <a:prstGeom prst="rect">
                      <a:avLst/>
                    </a:prstGeom>
                    <a:noFill/>
                    <a:ln w="9525">
                      <a:noFill/>
                      <a:headEnd/>
                      <a:tailEnd/>
                    </a:ln>
                  </pic:spPr>
                </pic:pic>
              </a:graphicData>
            </a:graphic>
          </wp:inline>
        </w:drawing>
      </w:r>
    </w:p>
    <w:p w14:paraId="6DFBFCF0" w14:textId="77777777" w:rsidR="00AF5C7A" w:rsidRDefault="00FB1870">
      <w:pPr>
        <w:pStyle w:val="BodyText"/>
        <w:spacing w:before="60"/>
      </w:pPr>
      <w:r>
        <w:t>Figure 2: Proposed framework architecture. Server coordination and client learning repeat within each experience. FT/EI/DR are alternative learner arms; DG/DM/DC are alternative admission conditions on DER++. EI alone uses importance/anchor state; DER++ arms alone use replay. Dashed client edges denote state access conditional on the selected learner. Final broadcasts update importance/anchor state on eligible clients once per experience. E2 corrupts training labels on one client only; E3/E4 withdraw corrup</w:t>
      </w:r>
      <w:r>
        <w:t>tion without fresh Hulk acquisition. The evaluator remains outside admission/inference.</w:t>
      </w:r>
    </w:p>
    <w:p w14:paraId="77237573" w14:textId="77777777" w:rsidR="00AF5C7A" w:rsidRDefault="00FB1870">
      <w:pPr>
        <w:pStyle w:val="Heading11"/>
      </w:pPr>
      <w:bookmarkStart w:id="23" w:name="scope-and-validity-threats"/>
      <w:bookmarkEnd w:id="22"/>
      <w:r>
        <w:t>Scope and Validity Threats</w:t>
      </w:r>
    </w:p>
    <w:p w14:paraId="265DBD22" w14:textId="77777777" w:rsidR="00AF5C7A" w:rsidRDefault="00FB1870">
      <w:pPr>
        <w:pStyle w:val="FirstParagraph"/>
      </w:pPr>
      <w:r>
        <w:rPr>
          <w:b/>
          <w:bCs/>
        </w:rPr>
        <w:t>Internal validity.</w:t>
      </w:r>
      <w:r>
        <w:t xml:space="preserve"> Group reconstruction, reference-label defects, duplicate content and shared optimizer/head policies can confound comparisons. We require the isolation equations, source support and both pilots before final testing. The proposed admission rule can retain low-loss mislabeled source rows.</w:t>
      </w:r>
    </w:p>
    <w:p w14:paraId="752D7AAB" w14:textId="77777777" w:rsidR="00AF5C7A" w:rsidRDefault="00FB1870">
      <w:pPr>
        <w:pStyle w:val="BodyText"/>
      </w:pPr>
      <w:r>
        <w:rPr>
          <w:b/>
          <w:bCs/>
        </w:rPr>
        <w:t>External validity.</w:t>
      </w:r>
      <w:r>
        <w:t xml:space="preserve"> </w:t>
      </w:r>
      <w:r>
        <w:t>Historical captures and simulated ownership cover conditional benchmark shifts. They do not sample independent organizations. CICIoT2023 supplies a separate audited check; CPU timings and update bytes do not measure physical edge energy or network delay.</w:t>
      </w:r>
    </w:p>
    <w:p w14:paraId="6CC7F099" w14:textId="77777777" w:rsidR="00AF5C7A" w:rsidRDefault="00FB1870">
      <w:pPr>
        <w:pStyle w:val="BodyText"/>
      </w:pPr>
      <w:r>
        <w:rPr>
          <w:b/>
          <w:bCs/>
        </w:rPr>
        <w:t>Construct validity.</w:t>
      </w:r>
      <w:r>
        <w:t xml:space="preserve"> </w:t>
      </w:r>
      <w:r>
        <w:t>Source recall, benign-target error, acquisition and anchor scores measure different outcomes. The local agent follows filtering despite corrupt labels; a fully compromised client has wider capability. Teacher and feature versions affect replay semantics.</w:t>
      </w:r>
    </w:p>
    <w:p w14:paraId="4D660ECC" w14:textId="77777777" w:rsidR="00AF5C7A" w:rsidRDefault="00FB1870">
      <w:pPr>
        <w:pStyle w:val="BodyText"/>
      </w:pPr>
      <w:r>
        <w:rPr>
          <w:b/>
          <w:bCs/>
        </w:rPr>
        <w:t>Conclusion validity.</w:t>
      </w:r>
      <w:r>
        <w:t xml:space="preserve"> </w:t>
      </w:r>
      <w:r>
        <w:t>Twelve seeds measure conditional training variability with fixed test banks, excluding capture-sampling uncertainty. Sparse-family intervals require whole-session resampling, not independent-flow binomial assumptions. Signed-rank/permutation interpretation requires symmetry. Ordinary intervals lack simultaneous coverage. Disclose failed runs, exclusions and protocol amendments.</w:t>
      </w:r>
    </w:p>
    <w:p w14:paraId="5F5293A1" w14:textId="77777777" w:rsidR="00AF5C7A" w:rsidRDefault="00FB1870">
      <w:pPr>
        <w:pStyle w:val="Heading11"/>
      </w:pPr>
      <w:bookmarkStart w:id="24" w:name="X481c07ae0edd79057dcae22d5e035221a6c6ef2"/>
      <w:bookmarkEnd w:id="23"/>
      <w:r>
        <w:lastRenderedPageBreak/>
        <w:t>Source Verification Record and Folder Mapping</w:t>
      </w:r>
    </w:p>
    <w:p w14:paraId="7DF67A6D" w14:textId="77777777" w:rsidR="00AF5C7A" w:rsidRDefault="00FB1870">
      <w:pPr>
        <w:pStyle w:val="FirstParagraph"/>
        <w:keepNext/>
        <w:spacing w:before="140" w:after="80"/>
      </w:pPr>
      <w:r>
        <w:rPr>
          <w:b/>
          <w:bCs/>
        </w:rPr>
        <w:t>Table 16. Corpus mapping and verified source locations.</w:t>
      </w:r>
    </w:p>
    <w:tbl>
      <w:tblPr>
        <w:tblStyle w:val="Table"/>
        <w:tblW w:w="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56"/>
        <w:gridCol w:w="4131"/>
        <w:gridCol w:w="3049"/>
      </w:tblGrid>
      <w:tr w:rsidR="00AF5C7A" w14:paraId="66E5AEA6" w14:textId="77777777" w:rsidTr="00AF5C7A">
        <w:trPr>
          <w:cnfStyle w:val="100000000000" w:firstRow="1" w:lastRow="0" w:firstColumn="0" w:lastColumn="0" w:oddVBand="0" w:evenVBand="0" w:oddHBand="0" w:evenHBand="0" w:firstRowFirstColumn="0" w:firstRowLastColumn="0" w:lastRowFirstColumn="0" w:lastRowLastColumn="0"/>
          <w:cantSplit/>
          <w:tblHeader/>
        </w:trPr>
        <w:tc>
          <w:tcPr>
            <w:tcW w:w="2656" w:type="dxa"/>
            <w:shd w:val="clear" w:color="auto" w:fill="DDE6EC"/>
            <w:tcMar>
              <w:top w:w="65" w:type="dxa"/>
              <w:left w:w="65" w:type="dxa"/>
              <w:bottom w:w="65" w:type="dxa"/>
              <w:right w:w="65" w:type="dxa"/>
            </w:tcMar>
            <w:vAlign w:val="center"/>
          </w:tcPr>
          <w:p w14:paraId="73C399DC" w14:textId="77777777" w:rsidR="00AF5C7A" w:rsidRDefault="00FB1870">
            <w:pPr>
              <w:pStyle w:val="Compact"/>
              <w:keepNext/>
              <w:spacing w:before="20" w:after="40" w:line="245" w:lineRule="auto"/>
            </w:pPr>
            <w:r>
              <w:rPr>
                <w:b/>
                <w:sz w:val="19"/>
              </w:rPr>
              <w:t>Study</w:t>
            </w:r>
          </w:p>
        </w:tc>
        <w:tc>
          <w:tcPr>
            <w:tcW w:w="4131" w:type="dxa"/>
            <w:shd w:val="clear" w:color="auto" w:fill="DDE6EC"/>
            <w:tcMar>
              <w:top w:w="65" w:type="dxa"/>
              <w:left w:w="65" w:type="dxa"/>
              <w:bottom w:w="65" w:type="dxa"/>
              <w:right w:w="65" w:type="dxa"/>
            </w:tcMar>
            <w:vAlign w:val="center"/>
          </w:tcPr>
          <w:p w14:paraId="31F28D46" w14:textId="77777777" w:rsidR="00AF5C7A" w:rsidRDefault="00FB1870">
            <w:pPr>
              <w:pStyle w:val="Compact"/>
              <w:keepNext/>
              <w:spacing w:before="20" w:after="40" w:line="245" w:lineRule="auto"/>
            </w:pPr>
            <w:r>
              <w:rPr>
                <w:b/>
                <w:sz w:val="19"/>
              </w:rPr>
              <w:t>Folder</w:t>
            </w:r>
          </w:p>
        </w:tc>
        <w:tc>
          <w:tcPr>
            <w:tcW w:w="3049" w:type="dxa"/>
            <w:shd w:val="clear" w:color="auto" w:fill="DDE6EC"/>
            <w:tcMar>
              <w:top w:w="65" w:type="dxa"/>
              <w:left w:w="65" w:type="dxa"/>
              <w:bottom w:w="65" w:type="dxa"/>
              <w:right w:w="65" w:type="dxa"/>
            </w:tcMar>
            <w:vAlign w:val="center"/>
          </w:tcPr>
          <w:p w14:paraId="4122961D" w14:textId="77777777" w:rsidR="00AF5C7A" w:rsidRDefault="00FB1870">
            <w:pPr>
              <w:pStyle w:val="Compact"/>
              <w:keepNext/>
              <w:spacing w:before="20" w:after="40" w:line="245" w:lineRule="auto"/>
            </w:pPr>
            <w:r>
              <w:rPr>
                <w:b/>
                <w:sz w:val="19"/>
              </w:rPr>
              <w:t>Verified numerical/section location</w:t>
            </w:r>
          </w:p>
        </w:tc>
      </w:tr>
      <w:tr w:rsidR="00AF5C7A" w14:paraId="2F5C9396" w14:textId="77777777" w:rsidTr="00AF5C7A">
        <w:trPr>
          <w:cantSplit/>
        </w:trPr>
        <w:tc>
          <w:tcPr>
            <w:tcW w:w="2656" w:type="dxa"/>
            <w:shd w:val="clear" w:color="auto" w:fill="FFFFFF"/>
            <w:tcMar>
              <w:top w:w="65" w:type="dxa"/>
              <w:left w:w="65" w:type="dxa"/>
              <w:bottom w:w="65" w:type="dxa"/>
              <w:right w:w="65" w:type="dxa"/>
            </w:tcMar>
            <w:vAlign w:val="center"/>
          </w:tcPr>
          <w:p w14:paraId="146A0786" w14:textId="77777777" w:rsidR="00AF5C7A" w:rsidRDefault="00FB1870">
            <w:pPr>
              <w:pStyle w:val="Compact"/>
              <w:keepNext/>
              <w:spacing w:before="20" w:after="40" w:line="245" w:lineRule="auto"/>
            </w:pPr>
            <w:r>
              <w:rPr>
                <w:sz w:val="19"/>
              </w:rPr>
              <w:t>Carillo 2026</w:t>
            </w:r>
          </w:p>
        </w:tc>
        <w:tc>
          <w:tcPr>
            <w:tcW w:w="4131" w:type="dxa"/>
            <w:shd w:val="clear" w:color="auto" w:fill="FFFFFF"/>
            <w:tcMar>
              <w:top w:w="65" w:type="dxa"/>
              <w:left w:w="65" w:type="dxa"/>
              <w:bottom w:w="65" w:type="dxa"/>
              <w:right w:w="65" w:type="dxa"/>
            </w:tcMar>
            <w:vAlign w:val="center"/>
          </w:tcPr>
          <w:p w14:paraId="42AF64C4" w14:textId="77777777" w:rsidR="00AF5C7A" w:rsidRDefault="00FB1870">
            <w:pPr>
              <w:pStyle w:val="Compact"/>
              <w:keepNext/>
              <w:spacing w:before="20" w:after="40" w:line="245" w:lineRule="auto"/>
            </w:pPr>
            <w:r>
              <w:rPr>
                <w:sz w:val="19"/>
              </w:rPr>
              <w:t>4</w:t>
            </w:r>
          </w:p>
        </w:tc>
        <w:tc>
          <w:tcPr>
            <w:tcW w:w="3049" w:type="dxa"/>
            <w:shd w:val="clear" w:color="auto" w:fill="FFFFFF"/>
            <w:tcMar>
              <w:top w:w="65" w:type="dxa"/>
              <w:left w:w="65" w:type="dxa"/>
              <w:bottom w:w="65" w:type="dxa"/>
              <w:right w:w="65" w:type="dxa"/>
            </w:tcMar>
            <w:vAlign w:val="center"/>
          </w:tcPr>
          <w:p w14:paraId="5DB978CF" w14:textId="77777777" w:rsidR="00AF5C7A" w:rsidRDefault="00FB1870">
            <w:pPr>
              <w:pStyle w:val="Compact"/>
              <w:keepNext/>
              <w:spacing w:before="20" w:after="40" w:line="245" w:lineRule="auto"/>
            </w:pPr>
            <w:r>
              <w:rPr>
                <w:sz w:val="19"/>
              </w:rPr>
              <w:t>Table IV: 79.05/68.10/74.49; selected 100-round FedProx setting.</w:t>
            </w:r>
          </w:p>
        </w:tc>
      </w:tr>
      <w:tr w:rsidR="00AF5C7A" w14:paraId="32570B73" w14:textId="77777777" w:rsidTr="00AF5C7A">
        <w:trPr>
          <w:cantSplit/>
        </w:trPr>
        <w:tc>
          <w:tcPr>
            <w:tcW w:w="2656" w:type="dxa"/>
            <w:shd w:val="clear" w:color="auto" w:fill="F5F7F9"/>
            <w:tcMar>
              <w:top w:w="65" w:type="dxa"/>
              <w:left w:w="65" w:type="dxa"/>
              <w:bottom w:w="65" w:type="dxa"/>
              <w:right w:w="65" w:type="dxa"/>
            </w:tcMar>
            <w:vAlign w:val="center"/>
          </w:tcPr>
          <w:p w14:paraId="0D96BB09" w14:textId="77777777" w:rsidR="00AF5C7A" w:rsidRDefault="00FB1870">
            <w:pPr>
              <w:pStyle w:val="Compact"/>
              <w:keepNext/>
              <w:spacing w:before="20" w:after="40" w:line="245" w:lineRule="auto"/>
            </w:pPr>
            <w:r>
              <w:rPr>
                <w:sz w:val="19"/>
              </w:rPr>
              <w:t>Lavaur 2025</w:t>
            </w:r>
          </w:p>
        </w:tc>
        <w:tc>
          <w:tcPr>
            <w:tcW w:w="4131" w:type="dxa"/>
            <w:shd w:val="clear" w:color="auto" w:fill="F5F7F9"/>
            <w:tcMar>
              <w:top w:w="65" w:type="dxa"/>
              <w:left w:w="65" w:type="dxa"/>
              <w:bottom w:w="65" w:type="dxa"/>
              <w:right w:w="65" w:type="dxa"/>
            </w:tcMar>
            <w:vAlign w:val="center"/>
          </w:tcPr>
          <w:p w14:paraId="6A91FE11" w14:textId="77777777" w:rsidR="00AF5C7A" w:rsidRDefault="00FB1870">
            <w:pPr>
              <w:pStyle w:val="Compact"/>
              <w:keepNext/>
              <w:spacing w:before="20" w:after="40" w:line="245" w:lineRule="auto"/>
            </w:pPr>
            <w:r>
              <w:rPr>
                <w:sz w:val="19"/>
              </w:rPr>
              <w:t>5</w:t>
            </w:r>
          </w:p>
        </w:tc>
        <w:tc>
          <w:tcPr>
            <w:tcW w:w="3049" w:type="dxa"/>
            <w:shd w:val="clear" w:color="auto" w:fill="F5F7F9"/>
            <w:tcMar>
              <w:top w:w="65" w:type="dxa"/>
              <w:left w:w="65" w:type="dxa"/>
              <w:bottom w:w="65" w:type="dxa"/>
              <w:right w:w="65" w:type="dxa"/>
            </w:tcMar>
            <w:vAlign w:val="center"/>
          </w:tcPr>
          <w:p w14:paraId="7DCCBC0C" w14:textId="77777777" w:rsidR="00AF5C7A" w:rsidRDefault="00FB1870">
            <w:pPr>
              <w:pStyle w:val="Compact"/>
              <w:keepNext/>
              <w:spacing w:before="20" w:after="40" w:line="245" w:lineRule="auto"/>
            </w:pPr>
            <w:r>
              <w:rPr>
                <w:sz w:val="19"/>
              </w:rPr>
              <w:t>Section 4.2 clean F1 .966/.945; Section 5.4/Fig. 10 participation dependence; 10,670 runs.</w:t>
            </w:r>
          </w:p>
        </w:tc>
      </w:tr>
      <w:tr w:rsidR="00AF5C7A" w14:paraId="165E12B0" w14:textId="77777777" w:rsidTr="00AF5C7A">
        <w:trPr>
          <w:cantSplit/>
        </w:trPr>
        <w:tc>
          <w:tcPr>
            <w:tcW w:w="2656" w:type="dxa"/>
            <w:shd w:val="clear" w:color="auto" w:fill="FFFFFF"/>
            <w:tcMar>
              <w:top w:w="65" w:type="dxa"/>
              <w:left w:w="65" w:type="dxa"/>
              <w:bottom w:w="65" w:type="dxa"/>
              <w:right w:w="65" w:type="dxa"/>
            </w:tcMar>
            <w:vAlign w:val="center"/>
          </w:tcPr>
          <w:p w14:paraId="505F149E" w14:textId="77777777" w:rsidR="00AF5C7A" w:rsidRDefault="00FB1870">
            <w:pPr>
              <w:pStyle w:val="Compact"/>
              <w:keepNext/>
              <w:spacing w:before="20" w:after="40" w:line="245" w:lineRule="auto"/>
            </w:pPr>
            <w:r>
              <w:rPr>
                <w:sz w:val="19"/>
              </w:rPr>
              <w:t>Fuhrman 2025</w:t>
            </w:r>
          </w:p>
        </w:tc>
        <w:tc>
          <w:tcPr>
            <w:tcW w:w="4131" w:type="dxa"/>
            <w:shd w:val="clear" w:color="auto" w:fill="FFFFFF"/>
            <w:tcMar>
              <w:top w:w="65" w:type="dxa"/>
              <w:left w:w="65" w:type="dxa"/>
              <w:bottom w:w="65" w:type="dxa"/>
              <w:right w:w="65" w:type="dxa"/>
            </w:tcMar>
            <w:vAlign w:val="center"/>
          </w:tcPr>
          <w:p w14:paraId="6AA6C311" w14:textId="77777777" w:rsidR="00AF5C7A" w:rsidRDefault="00FB1870">
            <w:pPr>
              <w:pStyle w:val="Compact"/>
              <w:keepNext/>
              <w:spacing w:before="20" w:after="40" w:line="245" w:lineRule="auto"/>
            </w:pPr>
            <w:r>
              <w:rPr>
                <w:sz w:val="19"/>
              </w:rPr>
              <w:t>6</w:t>
            </w:r>
          </w:p>
        </w:tc>
        <w:tc>
          <w:tcPr>
            <w:tcW w:w="3049" w:type="dxa"/>
            <w:shd w:val="clear" w:color="auto" w:fill="FFFFFF"/>
            <w:tcMar>
              <w:top w:w="65" w:type="dxa"/>
              <w:left w:w="65" w:type="dxa"/>
              <w:bottom w:w="65" w:type="dxa"/>
              <w:right w:w="65" w:type="dxa"/>
            </w:tcMar>
            <w:vAlign w:val="center"/>
          </w:tcPr>
          <w:p w14:paraId="1A9662EE" w14:textId="77777777" w:rsidR="00AF5C7A" w:rsidRDefault="00FB1870">
            <w:pPr>
              <w:pStyle w:val="Compact"/>
              <w:keepNext/>
              <w:spacing w:before="20" w:after="40" w:line="245" w:lineRule="auto"/>
            </w:pPr>
            <w:r>
              <w:rPr>
                <w:sz w:val="19"/>
              </w:rPr>
              <w:t>Table II: CICIDS2017 AVG/FwdTrans LwF ratios 1.93/2.64; Best-F uses test labels.</w:t>
            </w:r>
          </w:p>
        </w:tc>
      </w:tr>
      <w:tr w:rsidR="00AF5C7A" w14:paraId="6619A05D" w14:textId="77777777" w:rsidTr="00AF5C7A">
        <w:trPr>
          <w:cantSplit/>
        </w:trPr>
        <w:tc>
          <w:tcPr>
            <w:tcW w:w="2656" w:type="dxa"/>
            <w:shd w:val="clear" w:color="auto" w:fill="F5F7F9"/>
            <w:tcMar>
              <w:top w:w="65" w:type="dxa"/>
              <w:left w:w="65" w:type="dxa"/>
              <w:bottom w:w="65" w:type="dxa"/>
              <w:right w:w="65" w:type="dxa"/>
            </w:tcMar>
            <w:vAlign w:val="center"/>
          </w:tcPr>
          <w:p w14:paraId="31FFB5B1" w14:textId="77777777" w:rsidR="00AF5C7A" w:rsidRDefault="00FB1870">
            <w:pPr>
              <w:pStyle w:val="Compact"/>
              <w:keepNext/>
              <w:spacing w:before="20" w:after="40" w:line="245" w:lineRule="auto"/>
            </w:pPr>
            <w:r>
              <w:rPr>
                <w:sz w:val="19"/>
              </w:rPr>
              <w:t>Sameera 2025</w:t>
            </w:r>
          </w:p>
        </w:tc>
        <w:tc>
          <w:tcPr>
            <w:tcW w:w="4131" w:type="dxa"/>
            <w:shd w:val="clear" w:color="auto" w:fill="F5F7F9"/>
            <w:tcMar>
              <w:top w:w="65" w:type="dxa"/>
              <w:left w:w="65" w:type="dxa"/>
              <w:bottom w:w="65" w:type="dxa"/>
              <w:right w:w="65" w:type="dxa"/>
            </w:tcMar>
            <w:vAlign w:val="center"/>
          </w:tcPr>
          <w:p w14:paraId="39EA1347" w14:textId="77777777" w:rsidR="00AF5C7A" w:rsidRDefault="00FB1870">
            <w:pPr>
              <w:pStyle w:val="Compact"/>
              <w:keepNext/>
              <w:spacing w:before="20" w:after="40" w:line="245" w:lineRule="auto"/>
            </w:pPr>
            <w:r>
              <w:rPr>
                <w:sz w:val="19"/>
              </w:rPr>
              <w:t>7</w:t>
            </w:r>
          </w:p>
        </w:tc>
        <w:tc>
          <w:tcPr>
            <w:tcW w:w="3049" w:type="dxa"/>
            <w:shd w:val="clear" w:color="auto" w:fill="F5F7F9"/>
            <w:tcMar>
              <w:top w:w="65" w:type="dxa"/>
              <w:left w:w="65" w:type="dxa"/>
              <w:bottom w:w="65" w:type="dxa"/>
              <w:right w:w="65" w:type="dxa"/>
            </w:tcMar>
            <w:vAlign w:val="center"/>
          </w:tcPr>
          <w:p w14:paraId="63F26BAC" w14:textId="77777777" w:rsidR="00AF5C7A" w:rsidRDefault="00FB1870">
            <w:pPr>
              <w:pStyle w:val="Compact"/>
              <w:keepNext/>
              <w:spacing w:before="20" w:after="40" w:line="245" w:lineRule="auto"/>
            </w:pPr>
            <w:r>
              <w:rPr>
                <w:sz w:val="19"/>
              </w:rPr>
              <w:t>Section 5.4.1: clean F1 89.791/94.184%; abstract improvement ranges are setting-dependent.</w:t>
            </w:r>
          </w:p>
        </w:tc>
      </w:tr>
      <w:tr w:rsidR="00AF5C7A" w14:paraId="0452B694" w14:textId="77777777" w:rsidTr="00AF5C7A">
        <w:trPr>
          <w:cantSplit/>
        </w:trPr>
        <w:tc>
          <w:tcPr>
            <w:tcW w:w="2656" w:type="dxa"/>
            <w:shd w:val="clear" w:color="auto" w:fill="FFFFFF"/>
            <w:tcMar>
              <w:top w:w="65" w:type="dxa"/>
              <w:left w:w="65" w:type="dxa"/>
              <w:bottom w:w="65" w:type="dxa"/>
              <w:right w:w="65" w:type="dxa"/>
            </w:tcMar>
            <w:vAlign w:val="center"/>
          </w:tcPr>
          <w:p w14:paraId="002A0BCC" w14:textId="77777777" w:rsidR="00AF5C7A" w:rsidRDefault="00FB1870">
            <w:pPr>
              <w:pStyle w:val="Compact"/>
              <w:keepNext/>
              <w:spacing w:before="20" w:after="40" w:line="245" w:lineRule="auto"/>
            </w:pPr>
            <w:r>
              <w:rPr>
                <w:sz w:val="19"/>
              </w:rPr>
              <w:t>Cerasuolo 2025</w:t>
            </w:r>
          </w:p>
        </w:tc>
        <w:tc>
          <w:tcPr>
            <w:tcW w:w="4131" w:type="dxa"/>
            <w:shd w:val="clear" w:color="auto" w:fill="FFFFFF"/>
            <w:tcMar>
              <w:top w:w="65" w:type="dxa"/>
              <w:left w:w="65" w:type="dxa"/>
              <w:bottom w:w="65" w:type="dxa"/>
              <w:right w:w="65" w:type="dxa"/>
            </w:tcMar>
            <w:vAlign w:val="center"/>
          </w:tcPr>
          <w:p w14:paraId="681335D2" w14:textId="77777777" w:rsidR="00AF5C7A" w:rsidRDefault="00FB1870">
            <w:pPr>
              <w:pStyle w:val="Compact"/>
              <w:keepNext/>
              <w:spacing w:before="20" w:after="40" w:line="245" w:lineRule="auto"/>
            </w:pPr>
            <w:r>
              <w:rPr>
                <w:sz w:val="19"/>
              </w:rPr>
              <w:t>8</w:t>
            </w:r>
          </w:p>
        </w:tc>
        <w:tc>
          <w:tcPr>
            <w:tcW w:w="3049" w:type="dxa"/>
            <w:shd w:val="clear" w:color="auto" w:fill="FFFFFF"/>
            <w:tcMar>
              <w:top w:w="65" w:type="dxa"/>
              <w:left w:w="65" w:type="dxa"/>
              <w:bottom w:w="65" w:type="dxa"/>
              <w:right w:w="65" w:type="dxa"/>
            </w:tcMar>
            <w:vAlign w:val="center"/>
          </w:tcPr>
          <w:p w14:paraId="4404B9A5" w14:textId="77777777" w:rsidR="00AF5C7A" w:rsidRDefault="00FB1870">
            <w:pPr>
              <w:pStyle w:val="Compact"/>
              <w:keepNext/>
              <w:spacing w:before="20" w:after="40" w:line="245" w:lineRule="auto"/>
            </w:pPr>
            <w:r>
              <w:rPr>
                <w:sz w:val="19"/>
              </w:rPr>
              <w:t xml:space="preserve">Table 7: TON-IoT all/old/new F1 </w:t>
            </w:r>
            <m:oMath>
              <m:r>
                <w:rPr>
                  <w:rFonts w:ascii="Cambria Math" w:hAnsi="Cambria Math"/>
                </w:rPr>
                <m:t>95.30</m:t>
              </m:r>
              <m:r>
                <m:rPr>
                  <m:sty m:val="p"/>
                </m:rPr>
                <w:rPr>
                  <w:rFonts w:ascii="Cambria Math" w:hAnsi="Cambria Math"/>
                </w:rPr>
                <m:t>±</m:t>
              </m:r>
              <m:r>
                <w:rPr>
                  <w:rFonts w:ascii="Cambria Math" w:hAnsi="Cambria Math"/>
                </w:rPr>
                <m:t>1.46</m:t>
              </m:r>
            </m:oMath>
            <w:r>
              <w:rPr>
                <w:sz w:val="19"/>
              </w:rPr>
              <w:t>/</w:t>
            </w:r>
            <m:oMath>
              <m:r>
                <w:rPr>
                  <w:rFonts w:ascii="Cambria Math" w:hAnsi="Cambria Math"/>
                </w:rPr>
                <m:t>96.47</m:t>
              </m:r>
              <m:r>
                <m:rPr>
                  <m:sty m:val="p"/>
                </m:rPr>
                <w:rPr>
                  <w:rFonts w:ascii="Cambria Math" w:hAnsi="Cambria Math"/>
                </w:rPr>
                <m:t>±</m:t>
              </m:r>
              <m:r>
                <w:rPr>
                  <w:rFonts w:ascii="Cambria Math" w:hAnsi="Cambria Math"/>
                </w:rPr>
                <m:t>1.18</m:t>
              </m:r>
            </m:oMath>
            <w:r>
              <w:rPr>
                <w:sz w:val="19"/>
              </w:rPr>
              <w:t>/</w:t>
            </w:r>
            <m:oMath>
              <m:r>
                <w:rPr>
                  <w:rFonts w:ascii="Cambria Math" w:hAnsi="Cambria Math"/>
                </w:rPr>
                <m:t>85.89</m:t>
              </m:r>
              <m:r>
                <m:rPr>
                  <m:sty m:val="p"/>
                </m:rPr>
                <w:rPr>
                  <w:rFonts w:ascii="Cambria Math" w:hAnsi="Cambria Math"/>
                </w:rPr>
                <m:t>±</m:t>
              </m:r>
              <m:r>
                <w:rPr>
                  <w:rFonts w:ascii="Cambria Math" w:hAnsi="Cambria Math"/>
                </w:rPr>
                <m:t>7.76</m:t>
              </m:r>
            </m:oMath>
            <w:r>
              <w:rPr>
                <w:sz w:val="19"/>
              </w:rPr>
              <w:t xml:space="preserve">%; PAUC </w:t>
            </w:r>
            <m:oMath>
              <m:r>
                <w:rPr>
                  <w:rFonts w:ascii="Cambria Math" w:hAnsi="Cambria Math"/>
                </w:rPr>
                <m:t>96.79</m:t>
              </m:r>
              <m:r>
                <m:rPr>
                  <m:sty m:val="p"/>
                </m:rPr>
                <w:rPr>
                  <w:rFonts w:ascii="Cambria Math" w:hAnsi="Cambria Math"/>
                </w:rPr>
                <m:t>±</m:t>
              </m:r>
              <m:r>
                <w:rPr>
                  <w:rFonts w:ascii="Cambria Math" w:hAnsi="Cambria Math"/>
                </w:rPr>
                <m:t>2.64</m:t>
              </m:r>
            </m:oMath>
            <w:r>
              <w:rPr>
                <w:sz w:val="19"/>
              </w:rPr>
              <w:t>%; 50 exemplars/class, nine packets.</w:t>
            </w:r>
          </w:p>
        </w:tc>
      </w:tr>
      <w:tr w:rsidR="00AF5C7A" w14:paraId="690C030D" w14:textId="77777777" w:rsidTr="00AF5C7A">
        <w:trPr>
          <w:cantSplit/>
        </w:trPr>
        <w:tc>
          <w:tcPr>
            <w:tcW w:w="2656" w:type="dxa"/>
            <w:shd w:val="clear" w:color="auto" w:fill="F5F7F9"/>
            <w:tcMar>
              <w:top w:w="65" w:type="dxa"/>
              <w:left w:w="65" w:type="dxa"/>
              <w:bottom w:w="65" w:type="dxa"/>
              <w:right w:w="65" w:type="dxa"/>
            </w:tcMar>
            <w:vAlign w:val="center"/>
          </w:tcPr>
          <w:p w14:paraId="7432F1C0" w14:textId="77777777" w:rsidR="00AF5C7A" w:rsidRDefault="00FB1870">
            <w:pPr>
              <w:pStyle w:val="Compact"/>
              <w:keepNext/>
              <w:spacing w:before="20" w:after="40" w:line="245" w:lineRule="auto"/>
            </w:pPr>
            <w:r>
              <w:rPr>
                <w:sz w:val="19"/>
              </w:rPr>
              <w:t>Guo 2025</w:t>
            </w:r>
          </w:p>
        </w:tc>
        <w:tc>
          <w:tcPr>
            <w:tcW w:w="4131" w:type="dxa"/>
            <w:shd w:val="clear" w:color="auto" w:fill="F5F7F9"/>
            <w:tcMar>
              <w:top w:w="65" w:type="dxa"/>
              <w:left w:w="65" w:type="dxa"/>
              <w:bottom w:w="65" w:type="dxa"/>
              <w:right w:w="65" w:type="dxa"/>
            </w:tcMar>
            <w:vAlign w:val="center"/>
          </w:tcPr>
          <w:p w14:paraId="61715679" w14:textId="77777777" w:rsidR="00AF5C7A" w:rsidRDefault="00FB1870">
            <w:pPr>
              <w:pStyle w:val="Compact"/>
              <w:keepNext/>
              <w:spacing w:before="20" w:after="40" w:line="245" w:lineRule="auto"/>
            </w:pPr>
            <w:r>
              <w:rPr>
                <w:sz w:val="19"/>
              </w:rPr>
              <w:t>9</w:t>
            </w:r>
          </w:p>
        </w:tc>
        <w:tc>
          <w:tcPr>
            <w:tcW w:w="3049" w:type="dxa"/>
            <w:shd w:val="clear" w:color="auto" w:fill="F5F7F9"/>
            <w:tcMar>
              <w:top w:w="65" w:type="dxa"/>
              <w:left w:w="65" w:type="dxa"/>
              <w:bottom w:w="65" w:type="dxa"/>
              <w:right w:w="65" w:type="dxa"/>
            </w:tcMar>
            <w:vAlign w:val="center"/>
          </w:tcPr>
          <w:p w14:paraId="540F4662" w14:textId="77777777" w:rsidR="00AF5C7A" w:rsidRDefault="00FB1870">
            <w:pPr>
              <w:pStyle w:val="Compact"/>
              <w:keepNext/>
              <w:spacing w:before="20" w:after="40" w:line="245" w:lineRule="auto"/>
            </w:pPr>
            <w:r>
              <w:rPr>
                <w:sz w:val="19"/>
              </w:rPr>
              <w:t>Table 6: 83.4/82.1; Table 12: 76.4; Table 5 is applicability.</w:t>
            </w:r>
          </w:p>
        </w:tc>
      </w:tr>
      <w:tr w:rsidR="00AF5C7A" w14:paraId="75AA2F25" w14:textId="77777777" w:rsidTr="00AF5C7A">
        <w:trPr>
          <w:cantSplit/>
        </w:trPr>
        <w:tc>
          <w:tcPr>
            <w:tcW w:w="2656" w:type="dxa"/>
            <w:shd w:val="clear" w:color="auto" w:fill="FFFFFF"/>
            <w:tcMar>
              <w:top w:w="65" w:type="dxa"/>
              <w:left w:w="65" w:type="dxa"/>
              <w:bottom w:w="65" w:type="dxa"/>
              <w:right w:w="65" w:type="dxa"/>
            </w:tcMar>
            <w:vAlign w:val="center"/>
          </w:tcPr>
          <w:p w14:paraId="0CDE07AE" w14:textId="77777777" w:rsidR="00AF5C7A" w:rsidRDefault="00FB1870">
            <w:pPr>
              <w:pStyle w:val="Compact"/>
              <w:spacing w:before="20" w:after="40" w:line="245" w:lineRule="auto"/>
            </w:pPr>
            <w:r>
              <w:rPr>
                <w:sz w:val="19"/>
              </w:rPr>
              <w:t>Prasad 2026</w:t>
            </w:r>
          </w:p>
        </w:tc>
        <w:tc>
          <w:tcPr>
            <w:tcW w:w="4131" w:type="dxa"/>
            <w:shd w:val="clear" w:color="auto" w:fill="FFFFFF"/>
            <w:tcMar>
              <w:top w:w="65" w:type="dxa"/>
              <w:left w:w="65" w:type="dxa"/>
              <w:bottom w:w="65" w:type="dxa"/>
              <w:right w:w="65" w:type="dxa"/>
            </w:tcMar>
            <w:vAlign w:val="center"/>
          </w:tcPr>
          <w:p w14:paraId="3CD95EA6" w14:textId="77777777" w:rsidR="00AF5C7A" w:rsidRDefault="00FB1870">
            <w:pPr>
              <w:pStyle w:val="Compact"/>
              <w:spacing w:before="20" w:after="40" w:line="245" w:lineRule="auto"/>
            </w:pPr>
            <w:r>
              <w:rPr>
                <w:sz w:val="19"/>
              </w:rPr>
              <w:t>10</w:t>
            </w:r>
          </w:p>
        </w:tc>
        <w:tc>
          <w:tcPr>
            <w:tcW w:w="3049" w:type="dxa"/>
            <w:shd w:val="clear" w:color="auto" w:fill="FFFFFF"/>
            <w:tcMar>
              <w:top w:w="65" w:type="dxa"/>
              <w:left w:w="65" w:type="dxa"/>
              <w:bottom w:w="65" w:type="dxa"/>
              <w:right w:w="65" w:type="dxa"/>
            </w:tcMar>
            <w:vAlign w:val="center"/>
          </w:tcPr>
          <w:p w14:paraId="7A10E83C" w14:textId="77777777" w:rsidR="00AF5C7A" w:rsidRDefault="00FB1870">
            <w:pPr>
              <w:pStyle w:val="Compact"/>
              <w:spacing w:before="20" w:after="40" w:line="245" w:lineRule="auto"/>
            </w:pPr>
            <w:r>
              <w:rPr>
                <w:sz w:val="19"/>
              </w:rPr>
              <w:t>Table 6: .979596/.979392; additive Section 3.3 versus multiplicative Section 4.7 gate.</w:t>
            </w:r>
          </w:p>
        </w:tc>
      </w:tr>
    </w:tbl>
    <w:p w14:paraId="1CDF8745" w14:textId="77777777" w:rsidR="00AF5C7A" w:rsidRDefault="00FB1870">
      <w:pPr>
        <w:pStyle w:val="BodyText"/>
      </w:pPr>
      <w:r>
        <w:t>The source record distinguishes author manuscripts from versions of record. Carillo’s author template year differs from its registered 2026 publication year; the registered date determines corpus eligibility.</w:t>
      </w:r>
    </w:p>
    <w:p w14:paraId="46551A0A" w14:textId="77777777" w:rsidR="00AF5C7A" w:rsidRDefault="00FB1870">
      <w:pPr>
        <w:pStyle w:val="BodyText"/>
      </w:pPr>
      <w:r>
        <w:t xml:space="preserve">The proposed source archive comprises </w:t>
      </w:r>
      <w:r>
        <w:rPr>
          <w:rStyle w:val="VerbatimChar"/>
        </w:rPr>
        <w:t>Monday-WorkingHours.pcap_ISCX.csv</w:t>
      </w:r>
      <w:r>
        <w:t xml:space="preserve">, </w:t>
      </w:r>
      <w:r>
        <w:rPr>
          <w:rStyle w:val="VerbatimChar"/>
        </w:rPr>
        <w:t>Tuesday-WorkingHours.pcap_ISCX.csv</w:t>
      </w:r>
      <w:r>
        <w:t xml:space="preserve">, </w:t>
      </w:r>
      <w:r>
        <w:rPr>
          <w:rStyle w:val="VerbatimChar"/>
        </w:rPr>
        <w:t>Wednesday-workingHours.pcap_ISCX.csv</w:t>
      </w:r>
      <w:r>
        <w:t xml:space="preserve">, </w:t>
      </w:r>
      <w:r>
        <w:rPr>
          <w:rStyle w:val="VerbatimChar"/>
        </w:rPr>
        <w:t>Thursday-WorkingHours-Morning-WebAttacks.pcap_ISCX.csv</w:t>
      </w:r>
      <w:r>
        <w:t xml:space="preserve">, </w:t>
      </w:r>
      <w:r>
        <w:rPr>
          <w:rStyle w:val="VerbatimChar"/>
        </w:rPr>
        <w:t>Thursday-WorkingHours-Afternoon-Infilteration.pcap_ISCX.csv</w:t>
      </w:r>
      <w:r>
        <w:t xml:space="preserve">, </w:t>
      </w:r>
      <w:r>
        <w:rPr>
          <w:rStyle w:val="VerbatimChar"/>
        </w:rPr>
        <w:t>Friday-WorkingHours-Morning.pcap_ISCX.csv</w:t>
      </w:r>
      <w:r>
        <w:t xml:space="preserve">, </w:t>
      </w:r>
      <w:r>
        <w:rPr>
          <w:rStyle w:val="VerbatimChar"/>
        </w:rPr>
        <w:t>Friday-WorkingHours-Afternoon-PortScan.pcap_ISCX.csv</w:t>
      </w:r>
      <w:r>
        <w:t xml:space="preserve">, and </w:t>
      </w:r>
      <w:r>
        <w:rPr>
          <w:rStyle w:val="VerbatimChar"/>
        </w:rPr>
        <w:t>Friday-WorkingHours-Afternoon-DDos.pcap_ISCX.csv</w:t>
      </w:r>
      <w:r>
        <w:t>.</w:t>
      </w:r>
    </w:p>
    <w:p w14:paraId="49D4BF68" w14:textId="77777777" w:rsidR="00AF5C7A" w:rsidRDefault="00FB1870">
      <w:pPr>
        <w:pStyle w:val="Heading11"/>
      </w:pPr>
      <w:bookmarkStart w:id="25" w:name="references"/>
      <w:bookmarkEnd w:id="24"/>
      <w:r>
        <w:t>References</w:t>
      </w:r>
    </w:p>
    <w:p w14:paraId="01BFE774" w14:textId="77777777" w:rsidR="00AF5C7A" w:rsidRDefault="00FB1870">
      <w:pPr>
        <w:pStyle w:val="FirstParagraph"/>
      </w:pPr>
      <w:r>
        <w:rPr>
          <w:b/>
          <w:bCs/>
        </w:rPr>
        <w:t>[1]</w:t>
      </w:r>
      <w:r>
        <w:t xml:space="preserve"> Saneedullah and A. Bilal, “Continual learning for network security,” </w:t>
      </w:r>
      <w:r>
        <w:t>frozen Computer Networks Phase 1 course report, 2026.</w:t>
      </w:r>
    </w:p>
    <w:p w14:paraId="3A1F0B7B" w14:textId="5BEE7D8E" w:rsidR="00AF5C7A" w:rsidRDefault="00FB1870">
      <w:pPr>
        <w:pStyle w:val="BodyText"/>
      </w:pPr>
      <w:r>
        <w:rPr>
          <w:b/>
          <w:bCs/>
        </w:rPr>
        <w:t>[2]</w:t>
      </w:r>
      <w:r>
        <w:t xml:space="preserve"> J. Ge, Y. Feng, and K. Sakurai, “A stage-wise framework using class-incremental learning for unknown DoS attack detection,” </w:t>
      </w:r>
      <w:r>
        <w:rPr>
          <w:i/>
          <w:iCs/>
        </w:rPr>
        <w:t>Future Internet</w:t>
      </w:r>
      <w:r>
        <w:t xml:space="preserve">, vol. 18, no. 3, Art. 145, 2026. </w:t>
      </w:r>
      <w:hyperlink r:id="rId10">
        <w:r>
          <w:rPr>
            <w:rStyle w:val="Hyperlink"/>
          </w:rPr>
          <w:t>https://doi.org/10.3390/fi18030145</w:t>
        </w:r>
      </w:hyperlink>
      <w:r>
        <w:t>.</w:t>
      </w:r>
    </w:p>
    <w:p w14:paraId="54084C52" w14:textId="0E1CE4CE" w:rsidR="00AF5C7A" w:rsidRDefault="00FB1870">
      <w:pPr>
        <w:pStyle w:val="BodyText"/>
      </w:pPr>
      <w:r>
        <w:rPr>
          <w:b/>
          <w:bCs/>
        </w:rPr>
        <w:t>[3]</w:t>
      </w:r>
      <w:r>
        <w:t xml:space="preserve"> Z. Wu, B. He, Z. Si, C. Qiu, X. Liao, and C. Su, “Communication-efficient federated class-incremental intrusion detection for edge IoT networks,” </w:t>
      </w:r>
      <w:r>
        <w:rPr>
          <w:i/>
          <w:iCs/>
        </w:rPr>
        <w:t>Sensors</w:t>
      </w:r>
      <w:r>
        <w:t>, vol. 26, no. 14, Art. 4630, 2026.</w:t>
      </w:r>
      <w:r>
        <w:t xml:space="preserve"> </w:t>
      </w:r>
      <w:hyperlink r:id="rId11">
        <w:r>
          <w:rPr>
            <w:rStyle w:val="Hyperlink"/>
          </w:rPr>
          <w:t>https://doi.org/10.3390/s26144630</w:t>
        </w:r>
      </w:hyperlink>
      <w:r>
        <w:t>.</w:t>
      </w:r>
    </w:p>
    <w:p w14:paraId="5D64C014" w14:textId="74DB70E8" w:rsidR="00AF5C7A" w:rsidRDefault="00FB1870">
      <w:pPr>
        <w:pStyle w:val="BodyText"/>
      </w:pPr>
      <w:r>
        <w:rPr>
          <w:b/>
          <w:bCs/>
        </w:rPr>
        <w:t>[4]</w:t>
      </w:r>
      <w:r>
        <w:t xml:space="preserve"> F. Luo, S. Fan, X. Li, and W. Xu, “Adaptive feature distillation-based continuous authentication against RF fingerprint drift for power equipment,” </w:t>
      </w:r>
      <w:r>
        <w:rPr>
          <w:i/>
          <w:iCs/>
        </w:rPr>
        <w:t>Future Internet</w:t>
      </w:r>
      <w:r>
        <w:t xml:space="preserve">, vol. 18, no. 9, Art. 457, 2026. </w:t>
      </w:r>
      <w:hyperlink r:id="rId12">
        <w:r>
          <w:rPr>
            <w:rStyle w:val="Hyperlink"/>
          </w:rPr>
          <w:t>https://doi.org/10.3390/fi18090457</w:t>
        </w:r>
      </w:hyperlink>
      <w:r>
        <w:t>.</w:t>
      </w:r>
    </w:p>
    <w:p w14:paraId="7D299461" w14:textId="6316DB9B" w:rsidR="00AF5C7A" w:rsidRDefault="00FB1870">
      <w:pPr>
        <w:pStyle w:val="BodyText"/>
      </w:pPr>
      <w:r>
        <w:rPr>
          <w:b/>
          <w:bCs/>
        </w:rPr>
        <w:t>[5]</w:t>
      </w:r>
      <w:r>
        <w:t xml:space="preserve"> Clarivate, “Clarivate unveils the 2025 Journal Citation Reports,” Jun. 18, 2025. </w:t>
      </w:r>
      <w:hyperlink r:id="rId13">
        <w:r>
          <w:rPr>
            <w:rStyle w:val="Hyperlink"/>
          </w:rPr>
          <w:t>https://clarivate.com/news/clarivate-unveils-the-2025-journal-citation-reports/</w:t>
        </w:r>
      </w:hyperlink>
      <w:r>
        <w:t>. This announcement verifies the edition, not individual category quartiles.</w:t>
      </w:r>
    </w:p>
    <w:p w14:paraId="3F2E5AA1" w14:textId="4C4B9934" w:rsidR="00AF5C7A" w:rsidRDefault="00FB1870">
      <w:pPr>
        <w:pStyle w:val="BodyText"/>
      </w:pPr>
      <w:r>
        <w:rPr>
          <w:b/>
          <w:bCs/>
        </w:rPr>
        <w:lastRenderedPageBreak/>
        <w:t>[6]</w:t>
      </w:r>
      <w:r>
        <w:t xml:space="preserve"> R. Carillo, F. Cerasuolo, G. Bovenzi, D. Ciuonzo, and A. Pescapè, “A federated and incremental network intrusion detection system for IoT emerging threats,” </w:t>
      </w:r>
      <w:r>
        <w:rPr>
          <w:i/>
          <w:iCs/>
        </w:rPr>
        <w:t>IEEE Trans. Network and Service Management</w:t>
      </w:r>
      <w:r>
        <w:t xml:space="preserve">, vol. 23, pp. 3865–3880, 2026. </w:t>
      </w:r>
      <w:hyperlink r:id="rId14">
        <w:r>
          <w:rPr>
            <w:rStyle w:val="Hyperlink"/>
          </w:rPr>
          <w:t>https://doi.org/10.1109/TNSM.2026.3675031</w:t>
        </w:r>
      </w:hyperlink>
      <w:r>
        <w:t xml:space="preserve">. Free author PDF: </w:t>
      </w:r>
      <w:hyperlink r:id="rId15">
        <w:r>
          <w:rPr>
            <w:rStyle w:val="Hyperlink"/>
          </w:rPr>
          <w:t>https://domenicociuonzo.wordpress.com/wp-content/uploads/2026/03/early_access_tnsm26_fedcil_ids.pdf</w:t>
        </w:r>
      </w:hyperlink>
      <w:r>
        <w:t>.</w:t>
      </w:r>
    </w:p>
    <w:p w14:paraId="7057A309" w14:textId="1FE52820" w:rsidR="00AF5C7A" w:rsidRDefault="00FB1870">
      <w:pPr>
        <w:pStyle w:val="BodyText"/>
      </w:pPr>
      <w:r>
        <w:rPr>
          <w:b/>
          <w:bCs/>
        </w:rPr>
        <w:t>[7]</w:t>
      </w:r>
      <w:r>
        <w:t xml:space="preserve"> L. Lavaur, Y. Busnel, and F. Autrel, “Investigating the impact of label-flipping attacks against federated learning for collaborative intrusion detection,” </w:t>
      </w:r>
      <w:r>
        <w:rPr>
          <w:i/>
          <w:iCs/>
        </w:rPr>
        <w:t>Computers &amp; Security</w:t>
      </w:r>
      <w:r>
        <w:t xml:space="preserve">, vol. 156, Art. 104462, 2025. </w:t>
      </w:r>
      <w:hyperlink r:id="rId16">
        <w:r>
          <w:rPr>
            <w:rStyle w:val="Hyperlink"/>
          </w:rPr>
          <w:t>https://doi.org/10.1016/j.cose.2025.104462</w:t>
        </w:r>
      </w:hyperlink>
      <w:r>
        <w:t xml:space="preserve">. Free PDF: </w:t>
      </w:r>
      <w:hyperlink r:id="rId17">
        <w:r>
          <w:rPr>
            <w:rStyle w:val="Hyperlink"/>
          </w:rPr>
          <w:t>https://orbilu.uni.lu/bitstream/10993/65906/1/Investigating_the_Impact_of_Label_flipping_Attacks_against_Federated_Learning_for_Collaborative_Intrusion_Detection.pdf</w:t>
        </w:r>
      </w:hyperlink>
      <w:r>
        <w:t>.</w:t>
      </w:r>
    </w:p>
    <w:p w14:paraId="6D167439" w14:textId="739AD135" w:rsidR="00AF5C7A" w:rsidRDefault="00FB1870">
      <w:pPr>
        <w:pStyle w:val="BodyText"/>
      </w:pPr>
      <w:r>
        <w:rPr>
          <w:b/>
          <w:bCs/>
        </w:rPr>
        <w:t>[8]</w:t>
      </w:r>
      <w:r>
        <w:t xml:space="preserve"> S. Fuhrman, O. Gungor, and T. Rosing, “CND-IDS: Continual novelty detection for intrusion detection systems,” in </w:t>
      </w:r>
      <w:r>
        <w:rPr>
          <w:i/>
          <w:iCs/>
        </w:rPr>
        <w:t>Proc. ACM/IEEE DAC</w:t>
      </w:r>
      <w:r>
        <w:t xml:space="preserve">, 2025, pp. 1–7. </w:t>
      </w:r>
      <w:hyperlink r:id="rId18">
        <w:r>
          <w:rPr>
            <w:rStyle w:val="Hyperlink"/>
          </w:rPr>
          <w:t>https://doi.org/10.1109/DAC63849.2025.11132541</w:t>
        </w:r>
      </w:hyperlink>
      <w:r>
        <w:t xml:space="preserve">. Free author PDF: </w:t>
      </w:r>
      <w:hyperlink r:id="rId19">
        <w:r>
          <w:rPr>
            <w:rStyle w:val="Hyperlink"/>
          </w:rPr>
          <w:t>https://arxiv.org/pdf/2502.14094</w:t>
        </w:r>
      </w:hyperlink>
      <w:r>
        <w:t>.</w:t>
      </w:r>
    </w:p>
    <w:p w14:paraId="1175948A" w14:textId="04B3675D" w:rsidR="00AF5C7A" w:rsidRDefault="00FB1870">
      <w:pPr>
        <w:pStyle w:val="BodyText"/>
      </w:pPr>
      <w:r>
        <w:rPr>
          <w:b/>
          <w:bCs/>
        </w:rPr>
        <w:t>[9]</w:t>
      </w:r>
      <w:r>
        <w:t xml:space="preserve"> Sameera K. M., Vinod P., A. Rocha, Rafidha Rehiman K. A., and M. Conti, “WeiDetect: Weibull distribution-based defense against poisoning attacks in federated learning for network intrusion detection systems,” </w:t>
      </w:r>
      <w:r>
        <w:rPr>
          <w:i/>
          <w:iCs/>
        </w:rPr>
        <w:t>J. Information Security and Applications</w:t>
      </w:r>
      <w:r>
        <w:t xml:space="preserve">, vol. 95, Art. 104275, 2025. </w:t>
      </w:r>
      <w:hyperlink r:id="rId20">
        <w:r>
          <w:rPr>
            <w:rStyle w:val="Hyperlink"/>
          </w:rPr>
          <w:t>https://doi.org/10.1016/j.jisa.2025.104275</w:t>
        </w:r>
      </w:hyperlink>
      <w:r>
        <w:t xml:space="preserve">. Free author PDF: </w:t>
      </w:r>
      <w:hyperlink r:id="rId21">
        <w:r>
          <w:rPr>
            <w:rStyle w:val="Hyperlink"/>
          </w:rPr>
          <w:t>https://arxiv.org/pdf/2504.04367v2</w:t>
        </w:r>
      </w:hyperlink>
      <w:r>
        <w:t>.</w:t>
      </w:r>
    </w:p>
    <w:p w14:paraId="66D01FE9" w14:textId="7E48D58F" w:rsidR="00AF5C7A" w:rsidRDefault="00FB1870">
      <w:pPr>
        <w:pStyle w:val="BodyText"/>
      </w:pPr>
      <w:r>
        <w:rPr>
          <w:b/>
          <w:bCs/>
        </w:rPr>
        <w:t>[10]</w:t>
      </w:r>
      <w:r>
        <w:t xml:space="preserve"> F. Cerasuolo, G. Bovenzi, D. Ciuonzo, and A. Pescapè, “Attack-adaptive network intrusion detection systems for IoT networks through class incremental learning,” </w:t>
      </w:r>
      <w:r>
        <w:rPr>
          <w:i/>
          <w:iCs/>
        </w:rPr>
        <w:t>Computer Networks</w:t>
      </w:r>
      <w:r>
        <w:t xml:space="preserve">, vol. 263, Art. 111228, 2025. </w:t>
      </w:r>
      <w:hyperlink r:id="rId22">
        <w:r>
          <w:rPr>
            <w:rStyle w:val="Hyperlink"/>
          </w:rPr>
          <w:t>https://doi.org/10.1016/j.comnet.2025.111228</w:t>
        </w:r>
      </w:hyperlink>
      <w:r>
        <w:t xml:space="preserve">. Free author PDF: </w:t>
      </w:r>
      <w:hyperlink r:id="rId23">
        <w:r>
          <w:rPr>
            <w:rStyle w:val="Hyperlink"/>
          </w:rPr>
          <w:t>https://domenicociuonzo.wordpress.com/wp-content/uploads/2025/03/comnet25_cil_ids.pdf</w:t>
        </w:r>
      </w:hyperlink>
      <w:r>
        <w:t>.</w:t>
      </w:r>
    </w:p>
    <w:p w14:paraId="59652D2C" w14:textId="5F55399F" w:rsidR="00AF5C7A" w:rsidRDefault="00FB1870">
      <w:pPr>
        <w:pStyle w:val="BodyText"/>
      </w:pPr>
      <w:r>
        <w:rPr>
          <w:b/>
          <w:bCs/>
        </w:rPr>
        <w:t>[11]</w:t>
      </w:r>
      <w:r>
        <w:t xml:space="preserve"> C. Guo, X. Li, J. Cheng, S. Yang, and H. Gong, “Continual learning for intrusion detection under evolving network threats,” </w:t>
      </w:r>
      <w:r>
        <w:rPr>
          <w:i/>
          <w:iCs/>
        </w:rPr>
        <w:t>Future Internet</w:t>
      </w:r>
      <w:r>
        <w:t xml:space="preserve">, vol. 17, no. 10, Art. 456, 2025. </w:t>
      </w:r>
      <w:hyperlink r:id="rId24">
        <w:r>
          <w:rPr>
            <w:rStyle w:val="Hyperlink"/>
          </w:rPr>
          <w:t>https://doi.org/10.3390/fi17100456</w:t>
        </w:r>
      </w:hyperlink>
      <w:r>
        <w:t xml:space="preserve">. Free PDF: </w:t>
      </w:r>
      <w:hyperlink r:id="rId25">
        <w:r>
          <w:rPr>
            <w:rStyle w:val="Hyperlink"/>
          </w:rPr>
          <w:t>https://mdpi-res.com/d_attachment/futureinternet/futureinternet-17-00456/article_deploy/futureinternet-17-00456.pdf</w:t>
        </w:r>
      </w:hyperlink>
      <w:r>
        <w:t>.</w:t>
      </w:r>
    </w:p>
    <w:p w14:paraId="1982D0AC" w14:textId="7003AD58" w:rsidR="00AF5C7A" w:rsidRDefault="00FB1870">
      <w:pPr>
        <w:pStyle w:val="BodyText"/>
      </w:pPr>
      <w:r>
        <w:rPr>
          <w:b/>
          <w:bCs/>
        </w:rPr>
        <w:t>[12]</w:t>
      </w:r>
      <w:r>
        <w:t xml:space="preserve"> A. Prasad, I. Aljubayri, M. Z. Khan, and A. Noorwali, “Resilient federated ensemble learning for IoT intrusion detection in adversarial and imbalanced environments,” </w:t>
      </w:r>
      <w:r>
        <w:rPr>
          <w:i/>
          <w:iCs/>
        </w:rPr>
        <w:t>Computer Modeling in Engineering &amp; Sciences</w:t>
      </w:r>
      <w:r>
        <w:t xml:space="preserve">, vol. 147, no. 3, Art. 48, 2026. </w:t>
      </w:r>
      <w:hyperlink r:id="rId26">
        <w:r>
          <w:rPr>
            <w:rStyle w:val="Hyperlink"/>
          </w:rPr>
          <w:t>https://doi.org/10.32604/cmes.2026.082021</w:t>
        </w:r>
      </w:hyperlink>
      <w:r>
        <w:t xml:space="preserve">. Free PDF: </w:t>
      </w:r>
      <w:hyperlink r:id="rId27">
        <w:r>
          <w:rPr>
            <w:rStyle w:val="Hyperlink"/>
          </w:rPr>
          <w:t>https://cdn.techscience.cn/files/CMES/2026/TSP_CMES-147-3/TSP_CMES_82021/TSP_CMES_82021.pdf</w:t>
        </w:r>
      </w:hyperlink>
      <w:r>
        <w:t>.</w:t>
      </w:r>
    </w:p>
    <w:p w14:paraId="4A8C083D" w14:textId="1086EF03" w:rsidR="00AF5C7A" w:rsidRDefault="00FB1870">
      <w:pPr>
        <w:pStyle w:val="BodyText"/>
      </w:pPr>
      <w:r>
        <w:rPr>
          <w:b/>
          <w:bCs/>
        </w:rPr>
        <w:t>[13]</w:t>
      </w:r>
      <w:r>
        <w:t xml:space="preserve"> B. Han et al., “Co-teaching: Robust training of deep neural networks with extremely noisy labels,” in </w:t>
      </w:r>
      <w:r>
        <w:rPr>
          <w:i/>
          <w:iCs/>
        </w:rPr>
        <w:t>Advances in Neural Information Processing Systems</w:t>
      </w:r>
      <w:r>
        <w:t xml:space="preserve">, vol. 31, 2018. </w:t>
      </w:r>
      <w:hyperlink r:id="rId28">
        <w:r>
          <w:rPr>
            <w:rStyle w:val="Hyperlink"/>
          </w:rPr>
          <w:t>https://arxiv.org/abs/1804.06872</w:t>
        </w:r>
      </w:hyperlink>
      <w:r>
        <w:t>.</w:t>
      </w:r>
    </w:p>
    <w:p w14:paraId="7924D703" w14:textId="4C849AC0" w:rsidR="00AF5C7A" w:rsidRDefault="00FB1870">
      <w:pPr>
        <w:pStyle w:val="BodyText"/>
      </w:pPr>
      <w:r>
        <w:rPr>
          <w:b/>
          <w:bCs/>
        </w:rPr>
        <w:t>[14]</w:t>
      </w:r>
      <w:r>
        <w:t xml:space="preserve"> </w:t>
      </w:r>
      <w:r>
        <w:t xml:space="preserve">L. Jiang, Z. Zhou, T. Leung, L.-J. Li, and L. Fei-Fei, “MentorNet: Learning data-driven curriculum for very deep neural networks on corrupted labels,” in </w:t>
      </w:r>
      <w:r>
        <w:rPr>
          <w:i/>
          <w:iCs/>
        </w:rPr>
        <w:t>Proc. ICML</w:t>
      </w:r>
      <w:r>
        <w:t xml:space="preserve">, PMLR, vol. 80, pp. 2304–2313, 2018. </w:t>
      </w:r>
      <w:hyperlink r:id="rId29">
        <w:r>
          <w:rPr>
            <w:rStyle w:val="Hyperlink"/>
          </w:rPr>
          <w:t>https://proceedings.mlr.press/v80/jiang18c.html</w:t>
        </w:r>
      </w:hyperlink>
      <w:r>
        <w:t>.</w:t>
      </w:r>
    </w:p>
    <w:p w14:paraId="1559798A" w14:textId="09995DC7" w:rsidR="00AF5C7A" w:rsidRDefault="00FB1870">
      <w:pPr>
        <w:pStyle w:val="BodyText"/>
      </w:pPr>
      <w:r>
        <w:rPr>
          <w:b/>
          <w:bCs/>
        </w:rPr>
        <w:t>[15]</w:t>
      </w:r>
      <w:r>
        <w:t xml:space="preserve"> B. McMahan, E. Moore, D. Ramage, S. Hampson, and B. Agüera y Arcas, “Communication-efficient learning of deep networks from decentralized data,” in </w:t>
      </w:r>
      <w:r>
        <w:rPr>
          <w:i/>
          <w:iCs/>
        </w:rPr>
        <w:t>Proc. AISTATS</w:t>
      </w:r>
      <w:r>
        <w:t xml:space="preserve">, PMLR, vol. 54, pp. 1273–1282, 2017. </w:t>
      </w:r>
      <w:hyperlink r:id="rId30">
        <w:r>
          <w:rPr>
            <w:rStyle w:val="Hyperlink"/>
          </w:rPr>
          <w:t>https://proceedings.mlr.press/v54/mcmahan17a.html</w:t>
        </w:r>
      </w:hyperlink>
      <w:r>
        <w:t>.</w:t>
      </w:r>
    </w:p>
    <w:p w14:paraId="249868E5" w14:textId="6F25D078" w:rsidR="00AF5C7A" w:rsidRDefault="00FB1870">
      <w:pPr>
        <w:pStyle w:val="BodyText"/>
      </w:pPr>
      <w:r>
        <w:rPr>
          <w:b/>
          <w:bCs/>
        </w:rPr>
        <w:t>[16]</w:t>
      </w:r>
      <w:r>
        <w:t xml:space="preserve"> J. Kirkpatrick et al., “Overcoming catastrophic forgetting in neural networks,” </w:t>
      </w:r>
      <w:r>
        <w:rPr>
          <w:i/>
          <w:iCs/>
        </w:rPr>
        <w:t>Proc. National Academy of Sciences</w:t>
      </w:r>
      <w:r>
        <w:t xml:space="preserve">, vol. 114, no. 13, pp. 3521–3526, 2017. </w:t>
      </w:r>
      <w:hyperlink r:id="rId31">
        <w:r>
          <w:rPr>
            <w:rStyle w:val="Hyperlink"/>
          </w:rPr>
          <w:t>https://doi.org/10.1073/pnas.1611835114</w:t>
        </w:r>
      </w:hyperlink>
      <w:r>
        <w:t>.</w:t>
      </w:r>
    </w:p>
    <w:p w14:paraId="05FCD0CB" w14:textId="6C0ED860" w:rsidR="00AF5C7A" w:rsidRDefault="00FB1870">
      <w:pPr>
        <w:pStyle w:val="BodyText"/>
      </w:pPr>
      <w:r>
        <w:rPr>
          <w:b/>
          <w:bCs/>
        </w:rPr>
        <w:t>[17]</w:t>
      </w:r>
      <w:r>
        <w:t xml:space="preserve"> Z. Li and D. Hoiem, “Learning without forgetting,” </w:t>
      </w:r>
      <w:r>
        <w:rPr>
          <w:i/>
          <w:iCs/>
        </w:rPr>
        <w:t>IEEE Trans. Pattern Analysis and Machine Intelligence</w:t>
      </w:r>
      <w:r>
        <w:t xml:space="preserve">, vol. 40, no. 12, pp. 2935–2947, 2018. </w:t>
      </w:r>
      <w:hyperlink r:id="rId32">
        <w:r>
          <w:rPr>
            <w:rStyle w:val="Hyperlink"/>
          </w:rPr>
          <w:t>https://doi.org/10.1109/TPAMI.2017.2773081</w:t>
        </w:r>
      </w:hyperlink>
      <w:r>
        <w:t>.</w:t>
      </w:r>
    </w:p>
    <w:p w14:paraId="4EE2A6AE" w14:textId="796A04DF" w:rsidR="00AF5C7A" w:rsidRDefault="00FB1870">
      <w:pPr>
        <w:pStyle w:val="BodyText"/>
      </w:pPr>
      <w:r>
        <w:rPr>
          <w:b/>
          <w:bCs/>
        </w:rPr>
        <w:t>[18]</w:t>
      </w:r>
      <w:r>
        <w:t xml:space="preserve"> A. Chaudhry et al., “On tiny episodic memories in continual learning,” arXiv:1902.10486, 2019. </w:t>
      </w:r>
      <w:hyperlink r:id="rId33">
        <w:r>
          <w:rPr>
            <w:rStyle w:val="Hyperlink"/>
          </w:rPr>
          <w:t>https://arxiv.org/abs/1902.10486</w:t>
        </w:r>
      </w:hyperlink>
      <w:r>
        <w:t>.</w:t>
      </w:r>
    </w:p>
    <w:p w14:paraId="68213E1F" w14:textId="70255F6B" w:rsidR="00AF5C7A" w:rsidRDefault="00FB1870">
      <w:pPr>
        <w:pStyle w:val="BodyText"/>
      </w:pPr>
      <w:r>
        <w:rPr>
          <w:b/>
          <w:bCs/>
        </w:rPr>
        <w:t>[19]</w:t>
      </w:r>
      <w:r>
        <w:t xml:space="preserve"> P. Buzzega, M. Boschini, A. Porrello, D. Abati, and S. Calderara, “</w:t>
      </w:r>
      <w:r>
        <w:t xml:space="preserve">Dark experience for general continual learning: A strong, simple baseline,” in </w:t>
      </w:r>
      <w:r>
        <w:rPr>
          <w:i/>
          <w:iCs/>
        </w:rPr>
        <w:t>Advances in Neural Information Processing Systems</w:t>
      </w:r>
      <w:r>
        <w:t xml:space="preserve">, vol. 33, pp. 15920–15930, 2020. </w:t>
      </w:r>
      <w:hyperlink r:id="rId34">
        <w:r>
          <w:rPr>
            <w:rStyle w:val="Hyperlink"/>
          </w:rPr>
          <w:t>https://arxiv.org/abs/2004.07211</w:t>
        </w:r>
      </w:hyperlink>
      <w:r>
        <w:t>.</w:t>
      </w:r>
    </w:p>
    <w:p w14:paraId="5E590E17" w14:textId="460E2D72" w:rsidR="00AF5C7A" w:rsidRDefault="00FB1870">
      <w:pPr>
        <w:pStyle w:val="BodyText"/>
      </w:pPr>
      <w:r>
        <w:rPr>
          <w:b/>
          <w:bCs/>
        </w:rPr>
        <w:t>[20]</w:t>
      </w:r>
      <w:r>
        <w:t xml:space="preserve"> D. P. Kingma and J. Ba, “Adam: A method for stochastic optimization,” in </w:t>
      </w:r>
      <w:r>
        <w:rPr>
          <w:i/>
          <w:iCs/>
        </w:rPr>
        <w:t>Proc. ICLR</w:t>
      </w:r>
      <w:r>
        <w:t xml:space="preserve">, 2015. </w:t>
      </w:r>
      <w:hyperlink r:id="rId35">
        <w:r>
          <w:rPr>
            <w:rStyle w:val="Hyperlink"/>
          </w:rPr>
          <w:t>https://arxiv.org/abs/1412.6980</w:t>
        </w:r>
      </w:hyperlink>
      <w:r>
        <w:t>.</w:t>
      </w:r>
    </w:p>
    <w:p w14:paraId="197E789A" w14:textId="74123D07" w:rsidR="00AF5C7A" w:rsidRDefault="00FB1870">
      <w:pPr>
        <w:pStyle w:val="BodyText"/>
      </w:pPr>
      <w:r>
        <w:rPr>
          <w:b/>
          <w:bCs/>
        </w:rPr>
        <w:lastRenderedPageBreak/>
        <w:t>[21]</w:t>
      </w:r>
      <w:r>
        <w:t xml:space="preserve"> J. S. Vitter, “Random sampling with a reservoir,” </w:t>
      </w:r>
      <w:r>
        <w:rPr>
          <w:i/>
          <w:iCs/>
        </w:rPr>
        <w:t>ACM Trans. Mathematical Software</w:t>
      </w:r>
      <w:r>
        <w:t xml:space="preserve">, vol. 11, no. 1, pp. 37–57, 1985. </w:t>
      </w:r>
      <w:hyperlink r:id="rId36">
        <w:r>
          <w:rPr>
            <w:rStyle w:val="Hyperlink"/>
          </w:rPr>
          <w:t>https://doi.org/10.1145/3147.3165</w:t>
        </w:r>
      </w:hyperlink>
      <w:r>
        <w:t>.</w:t>
      </w:r>
    </w:p>
    <w:p w14:paraId="23E5632B" w14:textId="22720609" w:rsidR="00AF5C7A" w:rsidRDefault="00FB1870">
      <w:pPr>
        <w:pStyle w:val="BodyText"/>
      </w:pPr>
      <w:r>
        <w:rPr>
          <w:b/>
          <w:bCs/>
        </w:rPr>
        <w:t>[22]</w:t>
      </w:r>
      <w:r>
        <w:t xml:space="preserve"> T.-M. H. Hsu, H. Qi, and M. Brown, “Measuring the effects of non-identical data distribution for federated visual classification,” arXiv:1909.06335, 2019. </w:t>
      </w:r>
      <w:hyperlink r:id="rId37">
        <w:r>
          <w:rPr>
            <w:rStyle w:val="Hyperlink"/>
          </w:rPr>
          <w:t>https://arxiv.org/abs/1909.06335</w:t>
        </w:r>
      </w:hyperlink>
      <w:r>
        <w:t>.</w:t>
      </w:r>
    </w:p>
    <w:p w14:paraId="321A3D71" w14:textId="3900830F" w:rsidR="00AF5C7A" w:rsidRDefault="00FB1870">
      <w:pPr>
        <w:pStyle w:val="BodyText"/>
      </w:pPr>
      <w:r>
        <w:rPr>
          <w:b/>
          <w:bCs/>
        </w:rPr>
        <w:t>[23]</w:t>
      </w:r>
      <w:r>
        <w:t xml:space="preserve"> V. Tolpegin, S. Truex, M. E. Gursoy, and L. Liu, “Data poisoning attacks against federated learning systems,</w:t>
      </w:r>
      <w:r>
        <w:t xml:space="preserve">” in </w:t>
      </w:r>
      <w:r>
        <w:rPr>
          <w:i/>
          <w:iCs/>
        </w:rPr>
        <w:t>Proc. ESORICS</w:t>
      </w:r>
      <w:r>
        <w:t xml:space="preserve">, 2020. </w:t>
      </w:r>
      <w:hyperlink r:id="rId38">
        <w:r>
          <w:rPr>
            <w:rStyle w:val="Hyperlink"/>
          </w:rPr>
          <w:t>https://arxiv.org/abs/2007.08432</w:t>
        </w:r>
      </w:hyperlink>
      <w:r>
        <w:t>.</w:t>
      </w:r>
    </w:p>
    <w:p w14:paraId="33B3E334" w14:textId="0C569956" w:rsidR="00AF5C7A" w:rsidRDefault="00FB1870">
      <w:pPr>
        <w:pStyle w:val="BodyText"/>
      </w:pPr>
      <w:r>
        <w:rPr>
          <w:b/>
          <w:bCs/>
        </w:rPr>
        <w:t>[24]</w:t>
      </w:r>
      <w:r>
        <w:t xml:space="preserve"> P. Blanchard, E. M. El Mhamdi, R. Guerraoui, and J. Stainer, “Machine learning with adversaries: Byzantine tolerant gradient descent,” in </w:t>
      </w:r>
      <w:r>
        <w:rPr>
          <w:i/>
          <w:iCs/>
        </w:rPr>
        <w:t>Advances in Neural Information Processing Systems</w:t>
      </w:r>
      <w:r>
        <w:t xml:space="preserve">, vol. 30, 2017. </w:t>
      </w:r>
      <w:hyperlink r:id="rId39">
        <w:r>
          <w:rPr>
            <w:rStyle w:val="Hyperlink"/>
          </w:rPr>
          <w:t>https://proceedings.neurips.cc/paper_files/paper/2017/file/f4b9ec30ad9f68f89b29639786cb62ef-Paper.pdf</w:t>
        </w:r>
      </w:hyperlink>
      <w:r>
        <w:t>.</w:t>
      </w:r>
    </w:p>
    <w:p w14:paraId="172022DA" w14:textId="038E9BD5" w:rsidR="00AF5C7A" w:rsidRDefault="00FB1870">
      <w:pPr>
        <w:pStyle w:val="BodyText"/>
      </w:pPr>
      <w:r>
        <w:rPr>
          <w:b/>
          <w:bCs/>
        </w:rPr>
        <w:t>[25]</w:t>
      </w:r>
      <w:r>
        <w:t xml:space="preserve"> D. Yin, Y. Chen, R. Kannan, and P. Bartlett, “Byzantine-robust distributed learning,” in </w:t>
      </w:r>
      <w:r>
        <w:rPr>
          <w:i/>
          <w:iCs/>
        </w:rPr>
        <w:t>Proc. ICML</w:t>
      </w:r>
      <w:r>
        <w:t xml:space="preserve">, PMLR, vol. 80, pp. 5650–5659, 2018. </w:t>
      </w:r>
      <w:hyperlink r:id="rId40">
        <w:r>
          <w:rPr>
            <w:rStyle w:val="Hyperlink"/>
          </w:rPr>
          <w:t>https://proceedings.mlr.press/v80/yin18a.html</w:t>
        </w:r>
      </w:hyperlink>
      <w:r>
        <w:t>.</w:t>
      </w:r>
    </w:p>
    <w:p w14:paraId="46E5BA52" w14:textId="5351AFD0" w:rsidR="00AF5C7A" w:rsidRDefault="00FB1870">
      <w:pPr>
        <w:pStyle w:val="BodyText"/>
      </w:pPr>
      <w:r>
        <w:rPr>
          <w:b/>
          <w:bCs/>
        </w:rPr>
        <w:t>[26]</w:t>
      </w:r>
      <w:r>
        <w:t xml:space="preserve"> I. Sharafaldin, A. H. Lashkari, and A. A. Ghorbani, “Toward generating a new intrusion detection dataset and intrusion traffic characterization,” in </w:t>
      </w:r>
      <w:r>
        <w:rPr>
          <w:i/>
          <w:iCs/>
        </w:rPr>
        <w:t>Proc. ICISSP</w:t>
      </w:r>
      <w:r>
        <w:t xml:space="preserve">, 2018, pp. 108–116. </w:t>
      </w:r>
      <w:hyperlink r:id="rId41">
        <w:r>
          <w:rPr>
            <w:rStyle w:val="Hyperlink"/>
          </w:rPr>
          <w:t>https://doi.org/10.5220/0006639801080116</w:t>
        </w:r>
      </w:hyperlink>
      <w:r>
        <w:t>.</w:t>
      </w:r>
    </w:p>
    <w:p w14:paraId="7629AD4F" w14:textId="51100C58" w:rsidR="00AF5C7A" w:rsidRDefault="00FB1870">
      <w:pPr>
        <w:pStyle w:val="BodyText"/>
      </w:pPr>
      <w:r>
        <w:rPr>
          <w:b/>
          <w:bCs/>
        </w:rPr>
        <w:t>[27]</w:t>
      </w:r>
      <w:r>
        <w:t xml:space="preserve"> Canadian Institute for Cybersecurity, “CIC IoT Dataset 2023,” University of New Brunswick, 2023. </w:t>
      </w:r>
      <w:hyperlink r:id="rId42">
        <w:r>
          <w:rPr>
            <w:rStyle w:val="Hyperlink"/>
          </w:rPr>
          <w:t>https://www.unb.ca/cic/datasets/iotdataset-2023.html</w:t>
        </w:r>
      </w:hyperlink>
      <w:r>
        <w:t>.</w:t>
      </w:r>
    </w:p>
    <w:p w14:paraId="37EAA184" w14:textId="426413C5" w:rsidR="00AF5C7A" w:rsidRDefault="00FB1870">
      <w:pPr>
        <w:pStyle w:val="BodyText"/>
      </w:pPr>
      <w:r>
        <w:rPr>
          <w:b/>
          <w:bCs/>
        </w:rPr>
        <w:t>[28]</w:t>
      </w:r>
      <w:r>
        <w:t xml:space="preserve"> G. Engelen, V. Rimmer, and W. Joosen, “Troubleshooting an intrusion detection dataset: The CICIDS2017 case study,” in </w:t>
      </w:r>
      <w:r>
        <w:rPr>
          <w:i/>
          <w:iCs/>
        </w:rPr>
        <w:t>Proc. IEEE Security and Privacy Workshops</w:t>
      </w:r>
      <w:r>
        <w:t xml:space="preserve">, 2021, pp. 7–12. </w:t>
      </w:r>
      <w:hyperlink r:id="rId43">
        <w:r>
          <w:rPr>
            <w:rStyle w:val="Hyperlink"/>
          </w:rPr>
          <w:t>https://doi.org/10.1109/SPW53761.2021.00009</w:t>
        </w:r>
      </w:hyperlink>
      <w:r>
        <w:t>.</w:t>
      </w:r>
    </w:p>
    <w:p w14:paraId="3F431B7F" w14:textId="727CDDBA" w:rsidR="00AF5C7A" w:rsidRDefault="00FB1870">
      <w:pPr>
        <w:pStyle w:val="BodyText"/>
      </w:pPr>
      <w:r>
        <w:rPr>
          <w:b/>
          <w:bCs/>
        </w:rPr>
        <w:t>[29]</w:t>
      </w:r>
      <w:r>
        <w:t xml:space="preserve"> D. Lopez-Paz and M. Ranzato, “Gradient episodic memory for continual learning,” in </w:t>
      </w:r>
      <w:r>
        <w:rPr>
          <w:i/>
          <w:iCs/>
        </w:rPr>
        <w:t>Advances in Neural Information Processing Systems</w:t>
      </w:r>
      <w:r>
        <w:t xml:space="preserve">, vol. 30, 2017. </w:t>
      </w:r>
      <w:hyperlink r:id="rId44">
        <w:r>
          <w:rPr>
            <w:rStyle w:val="Hyperlink"/>
          </w:rPr>
          <w:t>https://arxiv.org/abs/1706.08840</w:t>
        </w:r>
      </w:hyperlink>
      <w:r>
        <w:t>.</w:t>
      </w:r>
    </w:p>
    <w:p w14:paraId="0C82A91D" w14:textId="7F86CEBA" w:rsidR="00AF5C7A" w:rsidRDefault="00FB1870">
      <w:pPr>
        <w:pStyle w:val="BodyText"/>
      </w:pPr>
      <w:r>
        <w:rPr>
          <w:b/>
          <w:bCs/>
        </w:rPr>
        <w:t>[30]</w:t>
      </w:r>
      <w:r>
        <w:t xml:space="preserve"> N. Díaz-Rodríguez, V. Lomonaco, D. Filliat, and D. Maltoni, “</w:t>
      </w:r>
      <w:r>
        <w:t xml:space="preserve">Don’t forget, there is more than forgetting: New metrics for continual learning,” arXiv:1810.13166, 2018. </w:t>
      </w:r>
      <w:hyperlink r:id="rId45">
        <w:r>
          <w:rPr>
            <w:rStyle w:val="Hyperlink"/>
          </w:rPr>
          <w:t>https://arxiv.org/abs/1810.13166</w:t>
        </w:r>
      </w:hyperlink>
      <w:r>
        <w:t>.</w:t>
      </w:r>
    </w:p>
    <w:p w14:paraId="0B9E6613" w14:textId="6142332A" w:rsidR="00AF5C7A" w:rsidRDefault="00FB1870">
      <w:pPr>
        <w:pStyle w:val="BodyText"/>
      </w:pPr>
      <w:r>
        <w:rPr>
          <w:b/>
          <w:bCs/>
        </w:rPr>
        <w:t>[31]</w:t>
      </w:r>
      <w:r>
        <w:t xml:space="preserve"> F. Wilcoxon, “Individual comparisons by ranking methods,” </w:t>
      </w:r>
      <w:r>
        <w:rPr>
          <w:i/>
          <w:iCs/>
        </w:rPr>
        <w:t>Biometrics Bulletin</w:t>
      </w:r>
      <w:r>
        <w:t xml:space="preserve">, vol. 1, no. 6, pp. 80–83, 1945. </w:t>
      </w:r>
      <w:hyperlink r:id="rId46">
        <w:r>
          <w:rPr>
            <w:rStyle w:val="Hyperlink"/>
          </w:rPr>
          <w:t>https://doi.org/10.2307/3001968</w:t>
        </w:r>
      </w:hyperlink>
      <w:r>
        <w:t>.</w:t>
      </w:r>
    </w:p>
    <w:p w14:paraId="56BEA4A4" w14:textId="77777777" w:rsidR="00AF5C7A" w:rsidRDefault="00FB1870">
      <w:pPr>
        <w:pStyle w:val="BodyText"/>
      </w:pPr>
      <w:r>
        <w:rPr>
          <w:b/>
          <w:bCs/>
        </w:rPr>
        <w:t>[32]</w:t>
      </w:r>
      <w:r>
        <w:t xml:space="preserve"> S. Holm, “A simple sequentially rejective multiple test procedure,” </w:t>
      </w:r>
      <w:r>
        <w:rPr>
          <w:i/>
          <w:iCs/>
        </w:rPr>
        <w:t>Scandinavian Journal of Statistics</w:t>
      </w:r>
      <w:r>
        <w:t>, vol. 6, no. 2, pp. 65–70, 1979.</w:t>
      </w:r>
      <w:bookmarkEnd w:id="25"/>
    </w:p>
    <w:sectPr w:rsidR="00AF5C7A">
      <w:pgSz w:w="11909" w:h="16834"/>
      <w:pgMar w:top="936" w:right="1037" w:bottom="936" w:left="1037"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251B" w14:textId="77777777" w:rsidR="00FB1870" w:rsidRDefault="00FB1870">
      <w:pPr>
        <w:spacing w:after="0" w:line="240" w:lineRule="auto"/>
      </w:pPr>
      <w:r>
        <w:separator/>
      </w:r>
    </w:p>
  </w:endnote>
  <w:endnote w:type="continuationSeparator" w:id="0">
    <w:p w14:paraId="1919BC23" w14:textId="77777777" w:rsidR="00FB1870" w:rsidRDefault="00FB1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3A2A" w14:textId="77777777" w:rsidR="00AF5C7A" w:rsidRDefault="00FB1870">
    <w:pPr>
      <w:jc w:val="center"/>
    </w:pPr>
    <w:r>
      <w:fldChar w:fldCharType="begin"/>
    </w:r>
    <w:r>
      <w:instrText>PAGE</w:instrText>
    </w:r>
    <w:r>
      <w:fldChar w:fldCharType="separate"/>
    </w:r>
    <w:r w:rsidR="00231B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C08D6" w14:textId="77777777" w:rsidR="00FB1870" w:rsidRDefault="00FB1870">
      <w:r>
        <w:separator/>
      </w:r>
    </w:p>
  </w:footnote>
  <w:footnote w:type="continuationSeparator" w:id="0">
    <w:p w14:paraId="5BAB0D0F" w14:textId="77777777" w:rsidR="00FB1870" w:rsidRDefault="00FB18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896FFB6"/>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 w15:restartNumberingAfterBreak="0">
    <w:nsid w:val="2C1AE401"/>
    <w:multiLevelType w:val="multilevel"/>
    <w:tmpl w:val="595477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05060777">
    <w:abstractNumId w:val="1"/>
  </w:num>
  <w:num w:numId="2" w16cid:durableId="1884904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31B68"/>
    <w:rsid w:val="004E29B3"/>
    <w:rsid w:val="00590D07"/>
    <w:rsid w:val="00784D58"/>
    <w:rsid w:val="008D6863"/>
    <w:rsid w:val="00AF5C7A"/>
    <w:rsid w:val="00B86B75"/>
    <w:rsid w:val="00BC48D5"/>
    <w:rsid w:val="00C36279"/>
    <w:rsid w:val="00E315A3"/>
    <w:rsid w:val="00EA20B4"/>
    <w:rsid w:val="00FB187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BE181"/>
  <w15:docId w15:val="{9A508171-681C-4F6D-AE50-684B23D2F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4" w:lineRule="auto"/>
    </w:pPr>
    <w:rPr>
      <w:rFonts w:ascii="Times New Roman" w:hAnsi="Times New Roman"/>
      <w:color w:val="000000"/>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jc w:val="center"/>
    </w:pPr>
    <w:rPr>
      <w:rFonts w:asciiTheme="majorHAnsi" w:eastAsiaTheme="majorEastAsia" w:hAnsiTheme="majorHAnsi" w:cstheme="majorBidi"/>
      <w:b/>
      <w:bCs/>
      <w:sz w:val="38"/>
      <w:szCs w:val="36"/>
    </w:rPr>
  </w:style>
  <w:style w:type="paragraph" w:styleId="Subtitle">
    <w:name w:val="Subtitle"/>
    <w:basedOn w:val="Title"/>
    <w:next w:val="BodyText"/>
    <w:qFormat/>
    <w:pPr>
      <w:spacing w:before="240"/>
    </w:pPr>
    <w:rPr>
      <w:rFonts w:ascii="Times New Roman" w:hAnsi="Times New Roman"/>
      <w:sz w:val="2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Heading11">
    <w:name w:val="Heading 11"/>
    <w:pPr>
      <w:keepNext/>
    </w:pPr>
    <w:rPr>
      <w:b/>
      <w:sz w:val="28"/>
    </w:rPr>
  </w:style>
  <w:style w:type="paragraph" w:customStyle="1" w:styleId="Heading21">
    <w:name w:val="Heading 21"/>
    <w:pPr>
      <w:keepNext/>
    </w:pPr>
    <w:rPr>
      <w:b/>
    </w:rPr>
  </w:style>
  <w:style w:type="paragraph" w:customStyle="1" w:styleId="Heading31">
    <w:name w:val="Heading 31"/>
    <w:pPr>
      <w:keepNext/>
    </w:pPr>
    <w:rPr>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rivate.com/news/clarivate-unveils-the-2025-journal-citation-reports/" TargetMode="External"/><Relationship Id="rId18" Type="http://schemas.openxmlformats.org/officeDocument/2006/relationships/hyperlink" Target="https://doi.org/10.1109/DAC63849.2025.11132541" TargetMode="External"/><Relationship Id="rId26" Type="http://schemas.openxmlformats.org/officeDocument/2006/relationships/hyperlink" Target="https://doi.org/10.32604/cmes.2026.082021" TargetMode="External"/><Relationship Id="rId39" Type="http://schemas.openxmlformats.org/officeDocument/2006/relationships/hyperlink" Target="https://proceedings.neurips.cc/paper_files/paper/2017/file/f4b9ec30ad9f68f89b29639786cb62ef-Paper.pdf" TargetMode="External"/><Relationship Id="rId21" Type="http://schemas.openxmlformats.org/officeDocument/2006/relationships/hyperlink" Target="https://arxiv.org/pdf/2504.04367v2" TargetMode="External"/><Relationship Id="rId34" Type="http://schemas.openxmlformats.org/officeDocument/2006/relationships/hyperlink" Target="https://arxiv.org/abs/2004.07211" TargetMode="External"/><Relationship Id="rId42" Type="http://schemas.openxmlformats.org/officeDocument/2006/relationships/hyperlink" Target="https://www.unb.ca/cic/datasets/iotdataset-2023.html" TargetMode="External"/><Relationship Id="rId47"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16/j.cose.2025.104462" TargetMode="External"/><Relationship Id="rId29" Type="http://schemas.openxmlformats.org/officeDocument/2006/relationships/hyperlink" Target="https://proceedings.mlr.press/v80/jiang18c.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s26144630" TargetMode="External"/><Relationship Id="rId24" Type="http://schemas.openxmlformats.org/officeDocument/2006/relationships/hyperlink" Target="https://doi.org/10.3390/fi17100456" TargetMode="External"/><Relationship Id="rId32" Type="http://schemas.openxmlformats.org/officeDocument/2006/relationships/hyperlink" Target="https://doi.org/10.1109/TPAMI.2017.2773081" TargetMode="External"/><Relationship Id="rId37" Type="http://schemas.openxmlformats.org/officeDocument/2006/relationships/hyperlink" Target="https://arxiv.org/abs/1909.06335" TargetMode="External"/><Relationship Id="rId40" Type="http://schemas.openxmlformats.org/officeDocument/2006/relationships/hyperlink" Target="https://proceedings.mlr.press/v80/yin18a.html" TargetMode="External"/><Relationship Id="rId45" Type="http://schemas.openxmlformats.org/officeDocument/2006/relationships/hyperlink" Target="https://arxiv.org/abs/1810.13166" TargetMode="External"/><Relationship Id="rId5" Type="http://schemas.openxmlformats.org/officeDocument/2006/relationships/footnotes" Target="footnotes.xml"/><Relationship Id="rId15" Type="http://schemas.openxmlformats.org/officeDocument/2006/relationships/hyperlink" Target="https://domenicociuonzo.wordpress.com/wp-content/uploads/2026/03/early_access_tnsm26_fedcil_ids.pdf" TargetMode="External"/><Relationship Id="rId23" Type="http://schemas.openxmlformats.org/officeDocument/2006/relationships/hyperlink" Target="https://domenicociuonzo.wordpress.com/wp-content/uploads/2025/03/comnet25_cil_ids.pdf" TargetMode="External"/><Relationship Id="rId28" Type="http://schemas.openxmlformats.org/officeDocument/2006/relationships/hyperlink" Target="https://arxiv.org/abs/1804.06872" TargetMode="External"/><Relationship Id="rId36" Type="http://schemas.openxmlformats.org/officeDocument/2006/relationships/hyperlink" Target="https://doi.org/10.1145/3147.3165" TargetMode="External"/><Relationship Id="rId10" Type="http://schemas.openxmlformats.org/officeDocument/2006/relationships/hyperlink" Target="https://doi.org/10.3390/fi18030145" TargetMode="External"/><Relationship Id="rId19" Type="http://schemas.openxmlformats.org/officeDocument/2006/relationships/hyperlink" Target="https://arxiv.org/pdf/2502.14094" TargetMode="External"/><Relationship Id="rId31" Type="http://schemas.openxmlformats.org/officeDocument/2006/relationships/hyperlink" Target="https://doi.org/10.1073/pnas.1611835114" TargetMode="External"/><Relationship Id="rId44" Type="http://schemas.openxmlformats.org/officeDocument/2006/relationships/hyperlink" Target="https://arxiv.org/abs/1706.0884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109/TNSM.2026.3675031" TargetMode="External"/><Relationship Id="rId22" Type="http://schemas.openxmlformats.org/officeDocument/2006/relationships/hyperlink" Target="https://doi.org/10.1016/j.comnet.2025.111228" TargetMode="External"/><Relationship Id="rId27" Type="http://schemas.openxmlformats.org/officeDocument/2006/relationships/hyperlink" Target="https://cdn.techscience.cn/files/CMES/2026/TSP_CMES-147-3/TSP_CMES_82021/TSP_CMES_82021.pdf" TargetMode="External"/><Relationship Id="rId30" Type="http://schemas.openxmlformats.org/officeDocument/2006/relationships/hyperlink" Target="https://proceedings.mlr.press/v54/mcmahan17a.html" TargetMode="External"/><Relationship Id="rId35" Type="http://schemas.openxmlformats.org/officeDocument/2006/relationships/hyperlink" Target="https://arxiv.org/abs/1412.6980" TargetMode="External"/><Relationship Id="rId43" Type="http://schemas.openxmlformats.org/officeDocument/2006/relationships/hyperlink" Target="https://doi.org/10.1109/SPW53761.2021.00009"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doi.org/10.3390/fi18090457" TargetMode="External"/><Relationship Id="rId17" Type="http://schemas.openxmlformats.org/officeDocument/2006/relationships/hyperlink" Target="https://orbilu.uni.lu/bitstream/10993/65906/1/Investigating_the_Impact_of_Label_flipping_Attacks_against_Federated_Learning_for_Collaborative_Intrusion_Detection.pdf" TargetMode="External"/><Relationship Id="rId25" Type="http://schemas.openxmlformats.org/officeDocument/2006/relationships/hyperlink" Target="https://mdpi-res.com/d_attachment/futureinternet/futureinternet-17-00456/article_deploy/futureinternet-17-00456.pdf" TargetMode="External"/><Relationship Id="rId33" Type="http://schemas.openxmlformats.org/officeDocument/2006/relationships/hyperlink" Target="https://arxiv.org/abs/1902.10486" TargetMode="External"/><Relationship Id="rId38" Type="http://schemas.openxmlformats.org/officeDocument/2006/relationships/hyperlink" Target="https://arxiv.org/abs/2007.08432" TargetMode="External"/><Relationship Id="rId46" Type="http://schemas.openxmlformats.org/officeDocument/2006/relationships/hyperlink" Target="https://doi.org/10.2307/3001968" TargetMode="External"/><Relationship Id="rId20" Type="http://schemas.openxmlformats.org/officeDocument/2006/relationships/hyperlink" Target="https://doi.org/10.1016/j.jisa.2025.104275" TargetMode="External"/><Relationship Id="rId41" Type="http://schemas.openxmlformats.org/officeDocument/2006/relationships/hyperlink" Target="https://doi.org/10.5220/0006639801080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9360</Words>
  <Characters>53355</Characters>
  <Application>Microsoft Office Word</Application>
  <DocSecurity>0</DocSecurity>
  <Lines>444</Lines>
  <Paragraphs>125</Paragraphs>
  <ScaleCrop>false</ScaleCrop>
  <Company/>
  <LinksUpToDate>false</LinksUpToDate>
  <CharactersWithSpaces>62590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Phase 2 Research Methodology</dc:title>
  <dc:subject>Extended literature review and proposed research methodology</dc:subject>
  <dc:creator>Saneedullah and Ahmed Bilal</dc:creator>
  <cp:keywords/>
  <cp:lastModifiedBy>ahmedbilalazhar.contact@gmail.com</cp:lastModifiedBy>
  <cp:revision>2</cp:revision>
  <dcterms:created xsi:type="dcterms:W3CDTF">2026-10-09T04:43:00Z</dcterms:created>
  <dcterms:modified xsi:type="dcterms:W3CDTF">2026-10-09T04:44:00Z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Federated intrusion detectors must learn emerging attack families while retaining useful discrimination. Poisoned training labels can distort both acquisition and the memory used during subsequent adaptation. Existing studies establish clean federated class-incremental learning, client label-flipping susceptibility and uncertainty-driven memory selection, but provide limited joint evidence on source-specific damage after attacker withdrawal and the acquisition cost of admission defenses. We propose a controlled study using CICIDS2017, with CICIoT2023 as an external check. Five persistent clients train a common 128/64 multilayer perceptron using fine-tuning, EWC-style accumulated importance or DER++. An oblivious source-to-benign labeling intervention affects one client during the second supervised experience. Eligible-source doses, development pilots and paired clean controls determine whether the intervention is informative. We compare class-aware admission with global selection at matched client quotas, using unique-ID reservoir replay. Source recall and clean-matched targeted error test poisoning damage; new-family F1 measures adaptation; previously learned-family scores quantify collateral change. Twelve paired seeds, two declared Holm families, signed-rank tests and symmetry-qualified permutation intervals support analysis. The intended contribution is a reproducible security–adaptation protocol and a falsifiable admission heuristic. This proposal reports a design; experimental outcomes and deployment performance remain to be measured.</vt:lpwstr>
  </property>
  <property fmtid="{D5CDD505-2E9C-101B-9397-08002B2CF9AE}" pid="3" name="date">
    <vt:lpwstr>8 October 2026</vt:lpwstr>
  </property>
</Properties>
</file>