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Bank Access Review Procedure</w:t>
      </w:r>
    </w:p>
    <w:p>
      <w:r>
        <w:t>This fictional procedure describes how access rights are reviewed at Demo Bank.</w:t>
      </w:r>
    </w:p>
    <w:p>
      <w:pPr>
        <w:pStyle w:val="Heading2"/>
      </w:pPr>
      <w:r>
        <w:t>1. Who reviews</w:t>
      </w:r>
    </w:p>
    <w:p>
      <w:r>
        <w:t>Each data owner reviews the access rights to the systems they own. The security team prepares the list of accounts and follows up until every review is closed.</w:t>
      </w:r>
    </w:p>
    <w:p>
      <w:pPr>
        <w:pStyle w:val="Heading2"/>
      </w:pPr>
      <w:r>
        <w:t>2. Review frequency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type</w:t>
            </w:r>
          </w:p>
        </w:tc>
        <w:tc>
          <w:tcPr>
            <w:tcW w:type="dxa" w:w="2880"/>
          </w:tcPr>
          <w:p>
            <w:r>
              <w:t>Review frequency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  <w:tr>
        <w:tc>
          <w:tcPr>
            <w:tcW w:type="dxa" w:w="2880"/>
          </w:tcPr>
          <w:p>
            <w:r>
              <w:t>Systems with Restricted data</w:t>
            </w:r>
          </w:p>
        </w:tc>
        <w:tc>
          <w:tcPr>
            <w:tcW w:type="dxa" w:w="2880"/>
          </w:tcPr>
          <w:p>
            <w:r>
              <w:t>Every quarter</w:t>
            </w:r>
          </w:p>
        </w:tc>
        <w:tc>
          <w:tcPr>
            <w:tcW w:type="dxa" w:w="2880"/>
          </w:tcPr>
          <w:p>
            <w:r>
              <w:t>Data owner</w:t>
            </w:r>
          </w:p>
        </w:tc>
      </w:tr>
      <w:tr>
        <w:tc>
          <w:tcPr>
            <w:tcW w:type="dxa" w:w="2880"/>
          </w:tcPr>
          <w:p>
            <w:r>
              <w:t>Administrator accounts</w:t>
            </w:r>
          </w:p>
        </w:tc>
        <w:tc>
          <w:tcPr>
            <w:tcW w:type="dxa" w:w="2880"/>
          </w:tcPr>
          <w:p>
            <w:r>
              <w:t>Every month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</w:tr>
      <w:tr>
        <w:tc>
          <w:tcPr>
            <w:tcW w:type="dxa" w:w="2880"/>
          </w:tcPr>
          <w:p>
            <w:r>
              <w:t>Other business applications</w:t>
            </w:r>
          </w:p>
        </w:tc>
        <w:tc>
          <w:tcPr>
            <w:tcW w:type="dxa" w:w="2880"/>
          </w:tcPr>
          <w:p>
            <w:r>
              <w:t>Every six months</w:t>
            </w:r>
          </w:p>
        </w:tc>
        <w:tc>
          <w:tcPr>
            <w:tcW w:type="dxa" w:w="2880"/>
          </w:tcPr>
          <w:p>
            <w:r>
              <w:t>Data owner</w:t>
            </w:r>
          </w:p>
        </w:tc>
      </w:tr>
      <w:tr>
        <w:tc>
          <w:tcPr>
            <w:tcW w:type="dxa" w:w="2880"/>
          </w:tcPr>
          <w:p>
            <w:r>
              <w:t>Service accounts</w:t>
            </w:r>
          </w:p>
        </w:tc>
        <w:tc>
          <w:tcPr>
            <w:tcW w:type="dxa" w:w="2880"/>
          </w:tcPr>
          <w:p>
            <w:r>
              <w:t>Every six months</w:t>
            </w:r>
          </w:p>
        </w:tc>
        <w:tc>
          <w:tcPr>
            <w:tcW w:type="dxa" w:w="2880"/>
          </w:tcPr>
          <w:p>
            <w:r>
              <w:t>System owner</w:t>
            </w:r>
          </w:p>
        </w:tc>
      </w:tr>
    </w:tbl>
    <w:p>
      <w:pPr>
        <w:pStyle w:val="Heading2"/>
      </w:pPr>
      <w:r>
        <w:t>3. Steps</w:t>
      </w:r>
    </w:p>
    <w:p>
      <w:pPr>
        <w:pStyle w:val="ListNumber"/>
      </w:pPr>
      <w:r>
        <w:t>The security team exports the list of accounts and their rights.</w:t>
      </w:r>
    </w:p>
    <w:p>
      <w:pPr>
        <w:pStyle w:val="ListNumber"/>
      </w:pPr>
      <w:r>
        <w:t>The data owner confirms or removes each right within 10 working days.</w:t>
      </w:r>
    </w:p>
    <w:p>
      <w:pPr>
        <w:pStyle w:val="ListNumber"/>
      </w:pPr>
      <w:r>
        <w:t>Rights that are not confirmed are removed automatically after 15 working days.</w:t>
      </w:r>
    </w:p>
    <w:p>
      <w:pPr>
        <w:pStyle w:val="ListNumber"/>
      </w:pPr>
      <w:r>
        <w:t>The security team keeps the signed review as evidence for the auditors for 3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