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A9BF8">
      <w:pPr>
        <w:spacing w:after="80"/>
        <w:jc w:val="center"/>
      </w:pPr>
      <w:r>
        <w:rPr>
          <w:rFonts w:ascii="Arial" w:hAnsi="Arial" w:eastAsia="Arial" w:cs="Arial"/>
          <w:b/>
          <w:bCs/>
          <w:color w:val="1B3A6B"/>
          <w:sz w:val="28"/>
          <w:szCs w:val="28"/>
        </w:rPr>
        <w:t>COM748 Masters Research Project</w:t>
      </w:r>
    </w:p>
    <w:p w14:paraId="49BB007A">
      <w:pPr>
        <w:spacing w:after="400"/>
        <w:jc w:val="center"/>
      </w:pPr>
      <w:r>
        <w:rPr>
          <w:rFonts w:ascii="Arial" w:hAnsi="Arial" w:eastAsia="Arial" w:cs="Arial"/>
          <w:b/>
          <w:bCs/>
          <w:color w:val="2E5FA3"/>
          <w:sz w:val="36"/>
          <w:szCs w:val="36"/>
        </w:rPr>
        <w:t>Project Proposal Form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8A86584">
        <w:tc>
          <w:tcPr>
            <w:tcW w:w="3120" w:type="dxa"/>
            <w:tcBorders>
              <w:top w:val="single" w:color="AAAAAA" w:sz="2" w:space="0"/>
              <w:left w:val="single" w:color="AAAAAA" w:sz="2" w:space="0"/>
              <w:bottom w:val="single" w:color="AAAAAA" w:sz="2" w:space="0"/>
              <w:right w:val="single" w:color="AAAAAA" w:sz="2" w:space="0"/>
            </w:tcBorders>
            <w:shd w:val="clear" w:color="auto" w:fill="E8EDF7"/>
            <w:tcMar>
              <w:top w:w="120" w:type="dxa"/>
              <w:left w:w="160" w:type="dxa"/>
              <w:bottom w:w="120" w:type="dxa"/>
              <w:right w:w="160" w:type="dxa"/>
            </w:tcMar>
          </w:tcPr>
          <w:p w14:paraId="0505D76F">
            <w:r>
              <w:rPr>
                <w:rFonts w:ascii="Arial" w:hAnsi="Arial" w:eastAsia="Arial" w:cs="Arial"/>
                <w:b/>
                <w:bCs/>
                <w:sz w:val="22"/>
                <w:szCs w:val="22"/>
              </w:rPr>
              <w:t>Student Name</w:t>
            </w:r>
          </w:p>
        </w:tc>
        <w:tc>
          <w:tcPr>
            <w:tcW w:w="3120" w:type="dxa"/>
            <w:tcBorders>
              <w:top w:val="single" w:color="AAAAAA" w:sz="2" w:space="0"/>
              <w:left w:val="single" w:color="AAAAAA" w:sz="2" w:space="0"/>
              <w:bottom w:val="single" w:color="AAAAAA" w:sz="2" w:space="0"/>
              <w:right w:val="single" w:color="AAAAAA" w:sz="2" w:space="0"/>
            </w:tcBorders>
            <w:shd w:val="clear" w:color="auto" w:fill="E8EDF7"/>
            <w:tcMar>
              <w:top w:w="120" w:type="dxa"/>
              <w:left w:w="160" w:type="dxa"/>
              <w:bottom w:w="120" w:type="dxa"/>
              <w:right w:w="160" w:type="dxa"/>
            </w:tcMar>
          </w:tcPr>
          <w:p w14:paraId="30145267">
            <w:r>
              <w:rPr>
                <w:rFonts w:ascii="Arial" w:hAnsi="Arial" w:eastAsia="Arial" w:cs="Arial"/>
                <w:b/>
                <w:bCs/>
                <w:sz w:val="22"/>
                <w:szCs w:val="22"/>
              </w:rPr>
              <w:t>Student Number</w:t>
            </w:r>
          </w:p>
        </w:tc>
        <w:tc>
          <w:tcPr>
            <w:tcW w:w="3120" w:type="dxa"/>
            <w:tcBorders>
              <w:top w:val="single" w:color="AAAAAA" w:sz="2" w:space="0"/>
              <w:left w:val="single" w:color="AAAAAA" w:sz="2" w:space="0"/>
              <w:bottom w:val="single" w:color="AAAAAA" w:sz="2" w:space="0"/>
              <w:right w:val="single" w:color="AAAAAA" w:sz="2" w:space="0"/>
            </w:tcBorders>
            <w:shd w:val="clear" w:color="auto" w:fill="E8EDF7"/>
            <w:tcMar>
              <w:top w:w="120" w:type="dxa"/>
              <w:left w:w="160" w:type="dxa"/>
              <w:bottom w:w="120" w:type="dxa"/>
              <w:right w:w="160" w:type="dxa"/>
            </w:tcMar>
          </w:tcPr>
          <w:p w14:paraId="3A7B591D">
            <w:r>
              <w:rPr>
                <w:rFonts w:ascii="Arial" w:hAnsi="Arial" w:eastAsia="Arial" w:cs="Arial"/>
                <w:b/>
                <w:bCs/>
                <w:sz w:val="22"/>
                <w:szCs w:val="22"/>
              </w:rPr>
              <w:t>Supervisor Name</w:t>
            </w:r>
          </w:p>
        </w:tc>
      </w:tr>
      <w:tr w14:paraId="74903020">
        <w:tc>
          <w:tcPr>
            <w:tcW w:w="312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7103C342">
            <w:r>
              <w:rPr>
                <w:rFonts w:ascii="Arial" w:hAnsi="Arial" w:eastAsia="Arial" w:cs="Arial"/>
                <w:sz w:val="22"/>
                <w:szCs w:val="22"/>
              </w:rPr>
              <w:t>Ahmed Fayyaz Butt</w:t>
            </w:r>
          </w:p>
        </w:tc>
        <w:tc>
          <w:tcPr>
            <w:tcW w:w="312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1EE7576B">
            <w:pPr>
              <w:rPr>
                <w:rFonts w:hint="default"/>
                <w:lang w:val="en-US"/>
              </w:rPr>
            </w:pPr>
            <w:r>
              <w:rPr>
                <w:rFonts w:hint="default" w:cs="Arial"/>
                <w:sz w:val="22"/>
                <w:szCs w:val="22"/>
                <w:lang w:val="en-US"/>
              </w:rPr>
              <w:t>20101228</w:t>
            </w:r>
          </w:p>
        </w:tc>
        <w:tc>
          <w:tcPr>
            <w:tcW w:w="312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66DB5AF0">
            <w:pPr>
              <w:rPr>
                <w:rFonts w:hint="default"/>
                <w:lang w:val="en-US"/>
              </w:rPr>
            </w:pPr>
            <w:r>
              <w:rPr>
                <w:rFonts w:hint="default"/>
                <w:lang w:val="en-US"/>
              </w:rPr>
              <w:t>Mubashir Ali Cheema</w:t>
            </w:r>
            <w:bookmarkStart w:id="0" w:name="_GoBack"/>
            <w:bookmarkEnd w:id="0"/>
          </w:p>
        </w:tc>
      </w:tr>
    </w:tbl>
    <w:p w14:paraId="16CB1102">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7CB9ED">
        <w:tc>
          <w:tcPr>
            <w:tcW w:w="9360" w:type="dxa"/>
            <w:tcBorders>
              <w:top w:val="single" w:color="2E5FA3" w:sz="4" w:space="0"/>
              <w:left w:val="single" w:color="2E5FA3" w:sz="4" w:space="0"/>
              <w:bottom w:val="single" w:color="2E5FA3" w:sz="4" w:space="0"/>
              <w:right w:val="single" w:color="2E5FA3" w:sz="4" w:space="0"/>
            </w:tcBorders>
            <w:shd w:val="clear" w:color="auto" w:fill="1B3A6B"/>
            <w:tcMar>
              <w:top w:w="120" w:type="dxa"/>
              <w:left w:w="160" w:type="dxa"/>
              <w:bottom w:w="120" w:type="dxa"/>
              <w:right w:w="160" w:type="dxa"/>
            </w:tcMar>
          </w:tcPr>
          <w:p w14:paraId="09BD057A">
            <w:r>
              <w:rPr>
                <w:rFonts w:ascii="Arial" w:hAnsi="Arial" w:eastAsia="Arial" w:cs="Arial"/>
                <w:b/>
                <w:bCs/>
                <w:color w:val="FFFFFF"/>
                <w:sz w:val="26"/>
                <w:szCs w:val="26"/>
              </w:rPr>
              <w:t>Project Title</w:t>
            </w:r>
          </w:p>
        </w:tc>
      </w:tr>
      <w:tr w14:paraId="6A28521D">
        <w:tc>
          <w:tcPr>
            <w:tcW w:w="93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40AD44AA">
            <w:r>
              <w:rPr>
                <w:rFonts w:ascii="Arial" w:hAnsi="Arial" w:eastAsia="Arial" w:cs="Arial"/>
                <w:b/>
                <w:bCs/>
                <w:color w:val="1B3A6B"/>
                <w:sz w:val="22"/>
                <w:szCs w:val="22"/>
              </w:rPr>
              <w:t>Explainable Exoplanet Transit Classification Using Vision Transformers, LoRA, and Retrieval-Augmented AI on NASA Kepler Light Curves</w:t>
            </w:r>
          </w:p>
        </w:tc>
      </w:tr>
    </w:tbl>
    <w:p w14:paraId="74032D95">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30"/>
      </w:tblGrid>
      <w:tr w14:paraId="39E95987">
        <w:tc>
          <w:tcPr>
            <w:tcW w:w="9360" w:type="dxa"/>
            <w:tcBorders>
              <w:top w:val="single" w:color="2E5FA3" w:sz="4" w:space="0"/>
              <w:left w:val="single" w:color="2E5FA3" w:sz="4" w:space="0"/>
              <w:bottom w:val="single" w:color="2E5FA3" w:sz="4" w:space="0"/>
              <w:right w:val="single" w:color="2E5FA3" w:sz="4" w:space="0"/>
            </w:tcBorders>
            <w:shd w:val="clear" w:color="auto" w:fill="1B3A6B"/>
            <w:tcMar>
              <w:top w:w="120" w:type="dxa"/>
              <w:left w:w="160" w:type="dxa"/>
              <w:bottom w:w="120" w:type="dxa"/>
              <w:right w:w="160" w:type="dxa"/>
            </w:tcMar>
          </w:tcPr>
          <w:p w14:paraId="7F03796D">
            <w:r>
              <w:rPr>
                <w:rFonts w:ascii="Arial" w:hAnsi="Arial" w:eastAsia="Arial" w:cs="Arial"/>
                <w:b/>
                <w:bCs/>
                <w:color w:val="FFFFFF"/>
                <w:sz w:val="26"/>
                <w:szCs w:val="26"/>
              </w:rPr>
              <w:t>Problem Statement (approx. 100 words)</w:t>
            </w:r>
          </w:p>
        </w:tc>
      </w:tr>
      <w:tr w14:paraId="6AB5000A">
        <w:tc>
          <w:tcPr>
            <w:tcW w:w="93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064BE73B">
            <w:pPr>
              <w:spacing w:after="140"/>
            </w:pPr>
            <w:r>
              <w:rPr>
                <w:rFonts w:ascii="Arial" w:hAnsi="Arial" w:eastAsia="Arial" w:cs="Arial"/>
                <w:sz w:val="22"/>
                <w:szCs w:val="22"/>
              </w:rPr>
              <w:t>NASA's Kepler mission produced photometric time series, known as light curves, for over 200,000 stars. These recordings capture brightness variations caused by exoplanets passing in front of their host stars. Although deep learning has shown strong results in detecting these transit signals, current models produce a binary output with no scientific reasoning behind it. A system that cannot relate its prediction to stellar properties, orbital physics, or known planetary populations has limited practical use for astronomers. This project builds an explainable classification pipeline using Vision Transformers fine-tuned with LoRA on Kepler light curve data, supported by a Retrieval-Augmented Generation layer that grounds each prediction in the NASA Exoplanet Archive.</w:t>
            </w:r>
          </w:p>
        </w:tc>
      </w:tr>
      <w:tr w14:paraId="179BD3B9">
        <w:tc>
          <w:tcPr>
            <w:tcW w:w="9360" w:type="dxa"/>
            <w:tcBorders>
              <w:top w:val="single" w:color="2E5FA3" w:sz="4" w:space="0"/>
              <w:left w:val="single" w:color="2E5FA3" w:sz="4" w:space="0"/>
              <w:bottom w:val="single" w:color="2E5FA3" w:sz="4" w:space="0"/>
              <w:right w:val="single" w:color="2E5FA3" w:sz="4" w:space="0"/>
            </w:tcBorders>
            <w:shd w:val="clear" w:color="auto" w:fill="1B3A6B"/>
            <w:tcMar>
              <w:top w:w="120" w:type="dxa"/>
              <w:left w:w="160" w:type="dxa"/>
              <w:bottom w:w="120" w:type="dxa"/>
              <w:right w:w="160" w:type="dxa"/>
            </w:tcMar>
          </w:tcPr>
          <w:p w14:paraId="596B2C14">
            <w:r>
              <w:rPr>
                <w:rFonts w:ascii="Arial" w:hAnsi="Arial" w:eastAsia="Arial" w:cs="Arial"/>
                <w:b/>
                <w:bCs/>
                <w:color w:val="FFFFFF"/>
                <w:sz w:val="26"/>
                <w:szCs w:val="26"/>
              </w:rPr>
              <w:t>Background Research (approx. 500 words)</w:t>
            </w:r>
          </w:p>
        </w:tc>
      </w:tr>
      <w:tr w14:paraId="460D95F4">
        <w:tc>
          <w:tcPr>
            <w:tcW w:w="93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1F6E64BE">
            <w:pPr>
              <w:spacing w:after="140"/>
            </w:pPr>
            <w:r>
              <w:rPr>
                <w:rFonts w:ascii="Arial" w:hAnsi="Arial" w:eastAsia="Arial" w:cs="Arial"/>
                <w:sz w:val="22"/>
                <w:szCs w:val="22"/>
              </w:rPr>
              <w:t xml:space="preserve">NASA's Kepler mission (2009 to 2018) observed around 200,000 stars and produced 5,302 labelled Kepler Objects of Interest (KOIs), categorised as CONFIRMED planets, CANDIDATE transits, or FALSE POSITIVES </w:t>
            </w:r>
            <w:r>
              <w:rPr>
                <w:rFonts w:ascii="Arial" w:hAnsi="Arial" w:eastAsia="Arial" w:cs="Arial"/>
                <w:sz w:val="18"/>
                <w:szCs w:val="18"/>
                <w:vertAlign w:val="superscript"/>
              </w:rPr>
              <w:t>[1]</w:t>
            </w:r>
            <w:r>
              <w:rPr>
                <w:rFonts w:ascii="Arial" w:hAnsi="Arial" w:eastAsia="Arial" w:cs="Arial"/>
                <w:sz w:val="22"/>
                <w:szCs w:val="22"/>
              </w:rPr>
              <w:t>. The quality and scale of this labelled data has made it one of the most widely used benchmarks in astronomical machine learning.</w:t>
            </w:r>
          </w:p>
          <w:p w14:paraId="6ACC0D79">
            <w:pPr>
              <w:spacing w:after="140"/>
            </w:pPr>
            <w:r>
              <w:rPr>
                <w:rFonts w:ascii="Arial" w:hAnsi="Arial" w:eastAsia="Arial" w:cs="Arial"/>
                <w:sz w:val="22"/>
                <w:szCs w:val="22"/>
              </w:rPr>
              <w:t xml:space="preserve">Early work in this area showed that convolutional networks could automate the identification of transit signals with high accuracy. Shallue and Vanderburg </w:t>
            </w:r>
            <w:r>
              <w:rPr>
                <w:rFonts w:ascii="Arial" w:hAnsi="Arial" w:eastAsia="Arial" w:cs="Arial"/>
                <w:sz w:val="18"/>
                <w:szCs w:val="18"/>
                <w:vertAlign w:val="superscript"/>
              </w:rPr>
              <w:t>[1]</w:t>
            </w:r>
            <w:r>
              <w:rPr>
                <w:rFonts w:ascii="Arial" w:hAnsi="Arial" w:eastAsia="Arial" w:cs="Arial"/>
                <w:sz w:val="22"/>
                <w:szCs w:val="22"/>
              </w:rPr>
              <w:t xml:space="preserve"> developed AstroNet, a two-branch architecture trained on phase-folded Kepler data that reached 96% accuracy and led to the discovery of two previously unknown exoplanets from archival observations. However, these models extract only local temporal features and cannot reason about the light curve as a whole.</w:t>
            </w:r>
          </w:p>
          <w:p w14:paraId="3FA326D3">
            <w:pPr>
              <w:spacing w:after="140"/>
            </w:pPr>
            <w:r>
              <w:rPr>
                <w:rFonts w:ascii="Arial" w:hAnsi="Arial" w:eastAsia="Arial" w:cs="Arial"/>
                <w:sz w:val="22"/>
                <w:szCs w:val="22"/>
              </w:rPr>
              <w:t xml:space="preserve">Vision Transformers (ViTs) </w:t>
            </w:r>
            <w:r>
              <w:rPr>
                <w:rFonts w:ascii="Arial" w:hAnsi="Arial" w:eastAsia="Arial" w:cs="Arial"/>
                <w:sz w:val="18"/>
                <w:szCs w:val="18"/>
                <w:vertAlign w:val="superscript"/>
              </w:rPr>
              <w:t>[2]</w:t>
            </w:r>
            <w:r>
              <w:rPr>
                <w:rFonts w:ascii="Arial" w:hAnsi="Arial" w:eastAsia="Arial" w:cs="Arial"/>
                <w:sz w:val="22"/>
                <w:szCs w:val="22"/>
              </w:rPr>
              <w:t xml:space="preserve"> overcome this limitation through self-attention, which allows the model to relate any part of the input to any other part. Because ViTs require image input rather than raw sequences, Choudhary et al. </w:t>
            </w:r>
            <w:r>
              <w:rPr>
                <w:rFonts w:ascii="Arial" w:hAnsi="Arial" w:eastAsia="Arial" w:cs="Arial"/>
                <w:sz w:val="18"/>
                <w:szCs w:val="18"/>
                <w:vertAlign w:val="superscript"/>
              </w:rPr>
              <w:t>[5]</w:t>
            </w:r>
            <w:r>
              <w:rPr>
                <w:rFonts w:ascii="Arial" w:hAnsi="Arial" w:eastAsia="Arial" w:cs="Arial"/>
                <w:sz w:val="22"/>
                <w:szCs w:val="22"/>
              </w:rPr>
              <w:t xml:space="preserve"> showed that Kepler light curves can be transformed into two-dimensional images using Gramian Angular Fields (GAFs), which encode temporal correlation patterns as a pixel matrix. Their experiments achieved 89.46% recall on transit classification and outperformed CNN-based methods on weak, low signal-to-noise signals. This work provides direct precedent for the approach used in this project.</w:t>
            </w:r>
          </w:p>
          <w:p w14:paraId="7E812415">
            <w:pPr>
              <w:spacing w:after="140"/>
            </w:pPr>
            <w:r>
              <w:rPr>
                <w:rFonts w:ascii="Arial" w:hAnsi="Arial" w:eastAsia="Arial" w:cs="Arial"/>
                <w:sz w:val="22"/>
                <w:szCs w:val="22"/>
              </w:rPr>
              <w:t xml:space="preserve">One practical challenge with ViTs is the cost of fine-tuning them on small scientific datasets. Hu et al. </w:t>
            </w:r>
            <w:r>
              <w:rPr>
                <w:rFonts w:ascii="Arial" w:hAnsi="Arial" w:eastAsia="Arial" w:cs="Arial"/>
                <w:sz w:val="18"/>
                <w:szCs w:val="18"/>
                <w:vertAlign w:val="superscript"/>
              </w:rPr>
              <w:t>[3]</w:t>
            </w:r>
            <w:r>
              <w:rPr>
                <w:rFonts w:ascii="Arial" w:hAnsi="Arial" w:eastAsia="Arial" w:cs="Arial"/>
                <w:sz w:val="22"/>
                <w:szCs w:val="22"/>
              </w:rPr>
              <w:t xml:space="preserve"> introduced Low-Rank Adaptation (LoRA), which keeps the original model weights frozen and introduces a small number of trainable parameters through low-rank matrix decomposition. This reduces the parameter count by up to 99% while maintaining accuracy comparable to full fine-tuning. LoRA has been applied broadly across NLP and vision tasks but has not yet been studied in the context of astrophysical time series, which is one of the gaps this project addresses.</w:t>
            </w:r>
          </w:p>
          <w:p w14:paraId="42D88FFC">
            <w:pPr>
              <w:spacing w:after="140"/>
            </w:pPr>
            <w:r>
              <w:rPr>
                <w:rFonts w:ascii="Arial" w:hAnsi="Arial" w:eastAsia="Arial" w:cs="Arial"/>
                <w:sz w:val="22"/>
                <w:szCs w:val="22"/>
              </w:rPr>
              <w:t xml:space="preserve">The second gap is explainability. Lewis et al. </w:t>
            </w:r>
            <w:r>
              <w:rPr>
                <w:rFonts w:ascii="Arial" w:hAnsi="Arial" w:eastAsia="Arial" w:cs="Arial"/>
                <w:sz w:val="18"/>
                <w:szCs w:val="18"/>
                <w:vertAlign w:val="superscript"/>
              </w:rPr>
              <w:t>[4]</w:t>
            </w:r>
            <w:r>
              <w:rPr>
                <w:rFonts w:ascii="Arial" w:hAnsi="Arial" w:eastAsia="Arial" w:cs="Arial"/>
                <w:sz w:val="22"/>
                <w:szCs w:val="22"/>
              </w:rPr>
              <w:t xml:space="preserve"> proposed Retrieval-Augmented Generation (RAG) as a way to ground model outputs in external knowledge retrieved at inference time. In this project, RAG is used not to improve classification but to explain it. After the ViT produces a prediction, the system queries the NASA Exoplanet Archive to find similar confirmed planetary systems and generates a natural language explanation for the result. No existing exoplanet classification system provides this kind of output, and that is the primary contribution of this work.</w:t>
            </w:r>
          </w:p>
          <w:p w14:paraId="2505CCD7">
            <w:pPr>
              <w:spacing w:after="140"/>
            </w:pPr>
            <w:r>
              <w:rPr>
                <w:rFonts w:ascii="Arial" w:hAnsi="Arial" w:eastAsia="Arial" w:cs="Arial"/>
                <w:sz w:val="22"/>
                <w:szCs w:val="22"/>
              </w:rPr>
              <w:t xml:space="preserve">The dataset used is the NASA Kepler KOI Cumulative Table </w:t>
            </w:r>
            <w:r>
              <w:rPr>
                <w:rFonts w:ascii="Arial" w:hAnsi="Arial" w:eastAsia="Arial" w:cs="Arial"/>
                <w:sz w:val="18"/>
                <w:szCs w:val="18"/>
                <w:vertAlign w:val="superscript"/>
              </w:rPr>
              <w:t>[6]</w:t>
            </w:r>
            <w:r>
              <w:rPr>
                <w:rFonts w:ascii="Arial" w:hAnsi="Arial" w:eastAsia="Arial" w:cs="Arial"/>
                <w:sz w:val="22"/>
                <w:szCs w:val="22"/>
              </w:rPr>
              <w:t>, which can be downloaded directly from the NASA Exoplanet Archive. Raw flux time series are retrieved via the Lightkurve library from the Mikulski Archive for Space Telescopes. A preprocessed version prepared by Macedo and Zalewski (2024) is also available on Mendeley Data and totals roughly 200MB, which is manageable within free cloud GPU environments.</w:t>
            </w:r>
          </w:p>
        </w:tc>
      </w:tr>
      <w:tr w14:paraId="69AB10A3">
        <w:tc>
          <w:tcPr>
            <w:tcW w:w="9360" w:type="dxa"/>
            <w:tcBorders>
              <w:top w:val="single" w:color="2E5FA3" w:sz="4" w:space="0"/>
              <w:left w:val="single" w:color="2E5FA3" w:sz="4" w:space="0"/>
              <w:bottom w:val="single" w:color="2E5FA3" w:sz="4" w:space="0"/>
              <w:right w:val="single" w:color="2E5FA3" w:sz="4" w:space="0"/>
            </w:tcBorders>
            <w:shd w:val="clear" w:color="auto" w:fill="1B3A6B"/>
            <w:tcMar>
              <w:top w:w="120" w:type="dxa"/>
              <w:left w:w="160" w:type="dxa"/>
              <w:bottom w:w="120" w:type="dxa"/>
              <w:right w:w="160" w:type="dxa"/>
            </w:tcMar>
          </w:tcPr>
          <w:p w14:paraId="180F385E">
            <w:r>
              <w:rPr>
                <w:rFonts w:ascii="Arial" w:hAnsi="Arial" w:eastAsia="Arial" w:cs="Arial"/>
                <w:b/>
                <w:bCs/>
                <w:color w:val="FFFFFF"/>
                <w:sz w:val="26"/>
                <w:szCs w:val="26"/>
              </w:rPr>
              <w:t>Project Aim and Objectives (approx. 300 words)</w:t>
            </w:r>
          </w:p>
        </w:tc>
      </w:tr>
      <w:tr w14:paraId="44C51E88">
        <w:tc>
          <w:tcPr>
            <w:tcW w:w="93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3AB3FB4B">
            <w:pPr>
              <w:spacing w:before="160" w:after="60"/>
            </w:pPr>
            <w:r>
              <w:rPr>
                <w:rFonts w:ascii="Arial" w:hAnsi="Arial" w:eastAsia="Arial" w:cs="Arial"/>
                <w:b/>
                <w:bCs/>
                <w:color w:val="006D68"/>
                <w:sz w:val="22"/>
                <w:szCs w:val="22"/>
              </w:rPr>
              <w:t>Aim</w:t>
            </w:r>
          </w:p>
          <w:p w14:paraId="3B0CB1D7">
            <w:pPr>
              <w:spacing w:after="140"/>
            </w:pPr>
            <w:r>
              <w:rPr>
                <w:rFonts w:ascii="Arial" w:hAnsi="Arial" w:eastAsia="Arial" w:cs="Arial"/>
                <w:sz w:val="22"/>
                <w:szCs w:val="22"/>
              </w:rPr>
              <w:t>To build and evaluate an explainable exoplanet transit classification system using Vision Transformers fine-tuned with LoRA on NASA Kepler light curve data, with a Retrieval-Augmented Generation layer that produces scientifically grounded explanations for each classification decision.</w:t>
            </w:r>
          </w:p>
          <w:p w14:paraId="7DA8140F">
            <w:pPr>
              <w:spacing w:before="160" w:after="60"/>
            </w:pPr>
            <w:r>
              <w:rPr>
                <w:rFonts w:ascii="Arial" w:hAnsi="Arial" w:eastAsia="Arial" w:cs="Arial"/>
                <w:b/>
                <w:bCs/>
                <w:color w:val="006D68"/>
                <w:sz w:val="22"/>
                <w:szCs w:val="22"/>
              </w:rPr>
              <w:t>Objectives</w:t>
            </w:r>
          </w:p>
          <w:p w14:paraId="6AB70904">
            <w:pPr>
              <w:pStyle w:val="16"/>
              <w:numPr>
                <w:ilvl w:val="0"/>
                <w:numId w:val="1"/>
              </w:numPr>
              <w:spacing w:after="120"/>
            </w:pPr>
            <w:r>
              <w:rPr>
                <w:rFonts w:ascii="Arial" w:hAnsi="Arial" w:eastAsia="Arial" w:cs="Arial"/>
                <w:sz w:val="22"/>
                <w:szCs w:val="22"/>
              </w:rPr>
              <w:t>Review the existing literature on deep learning for exoplanet classification, parameter-efficient fine-tuning methods, and the application of Retrieval-Augmented Generation in scientific settings.</w:t>
            </w:r>
          </w:p>
          <w:p w14:paraId="43F098AA">
            <w:pPr>
              <w:pStyle w:val="16"/>
              <w:numPr>
                <w:ilvl w:val="0"/>
                <w:numId w:val="1"/>
              </w:numPr>
              <w:spacing w:after="120"/>
            </w:pPr>
            <w:r>
              <w:rPr>
                <w:rFonts w:ascii="Arial" w:hAnsi="Arial" w:eastAsia="Arial" w:cs="Arial"/>
                <w:sz w:val="22"/>
                <w:szCs w:val="22"/>
              </w:rPr>
              <w:t>Acquire and preprocess the NASA Kepler KOI dataset by downloading raw photometric flux time series and converting them into Gramian Angular Field image representations for use with Vision Transformer models.</w:t>
            </w:r>
          </w:p>
          <w:p w14:paraId="151C2151">
            <w:pPr>
              <w:pStyle w:val="16"/>
              <w:numPr>
                <w:ilvl w:val="0"/>
                <w:numId w:val="1"/>
              </w:numPr>
              <w:spacing w:after="120"/>
            </w:pPr>
            <w:r>
              <w:rPr>
                <w:rFonts w:ascii="Arial" w:hAnsi="Arial" w:eastAsia="Arial" w:cs="Arial"/>
                <w:sz w:val="22"/>
                <w:szCs w:val="22"/>
              </w:rPr>
              <w:t>Evaluate a pre-trained ViT-B/16 under four adaptation settings, specifically zero-shot, one-shot, few-shot, and LoRA fine-tuning, measuring accuracy, F1-score, and AUC-ROC across each condition to understand how much labelled data is needed for reliable classification.</w:t>
            </w:r>
          </w:p>
          <w:p w14:paraId="754CE80F">
            <w:pPr>
              <w:pStyle w:val="16"/>
              <w:numPr>
                <w:ilvl w:val="0"/>
                <w:numId w:val="1"/>
              </w:numPr>
              <w:spacing w:after="120"/>
            </w:pPr>
            <w:r>
              <w:rPr>
                <w:rFonts w:ascii="Arial" w:hAnsi="Arial" w:eastAsia="Arial" w:cs="Arial"/>
                <w:sz w:val="22"/>
                <w:szCs w:val="22"/>
              </w:rPr>
              <w:t>Build a post-classification Retrieval-Augmented explanation module that queries the NASA Exoplanet Archive to match each prediction with similar confirmed systems, and extend this into an agentic pipeline that reasons across multiple steps to produce a natural language scientific explanation.</w:t>
            </w:r>
          </w:p>
          <w:p w14:paraId="41BE4A61">
            <w:pPr>
              <w:pStyle w:val="16"/>
              <w:numPr>
                <w:ilvl w:val="0"/>
                <w:numId w:val="1"/>
              </w:numPr>
              <w:spacing w:after="120"/>
            </w:pPr>
            <w:r>
              <w:rPr>
                <w:rFonts w:ascii="Arial" w:hAnsi="Arial" w:eastAsia="Arial" w:cs="Arial"/>
                <w:sz w:val="22"/>
                <w:szCs w:val="22"/>
              </w:rPr>
              <w:t>Test how well the trained pipeline generalises to NASA TESS light curves without any retraining, and run ablation experiments to understand how much each component of the system contributes to the final result.</w:t>
            </w:r>
          </w:p>
        </w:tc>
      </w:tr>
      <w:tr w14:paraId="5CB2F0E5">
        <w:tc>
          <w:tcPr>
            <w:tcW w:w="9360" w:type="dxa"/>
            <w:tcBorders>
              <w:top w:val="single" w:color="2E5FA3" w:sz="4" w:space="0"/>
              <w:left w:val="single" w:color="2E5FA3" w:sz="4" w:space="0"/>
              <w:bottom w:val="single" w:color="2E5FA3" w:sz="4" w:space="0"/>
              <w:right w:val="single" w:color="2E5FA3" w:sz="4" w:space="0"/>
            </w:tcBorders>
            <w:shd w:val="clear" w:color="auto" w:fill="1B3A6B"/>
            <w:tcMar>
              <w:top w:w="120" w:type="dxa"/>
              <w:left w:w="160" w:type="dxa"/>
              <w:bottom w:w="120" w:type="dxa"/>
              <w:right w:w="160" w:type="dxa"/>
            </w:tcMar>
          </w:tcPr>
          <w:p w14:paraId="478FFDE4">
            <w:r>
              <w:rPr>
                <w:rFonts w:ascii="Arial" w:hAnsi="Arial" w:eastAsia="Arial" w:cs="Arial"/>
                <w:b/>
                <w:bCs/>
                <w:color w:val="FFFFFF"/>
                <w:sz w:val="26"/>
                <w:szCs w:val="26"/>
              </w:rPr>
              <w:t>Methodology / Approach (approx. 400 words)</w:t>
            </w:r>
          </w:p>
        </w:tc>
      </w:tr>
      <w:tr w14:paraId="0AF6BCE6">
        <w:tc>
          <w:tcPr>
            <w:tcW w:w="93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32BB9DA0">
            <w:pPr>
              <w:spacing w:before="160" w:after="60"/>
            </w:pPr>
            <w:r>
              <w:rPr>
                <w:rFonts w:ascii="Arial" w:hAnsi="Arial" w:eastAsia="Arial" w:cs="Arial"/>
                <w:b/>
                <w:bCs/>
                <w:color w:val="006D68"/>
                <w:sz w:val="22"/>
                <w:szCs w:val="22"/>
              </w:rPr>
              <w:t>Dataset</w:t>
            </w:r>
          </w:p>
          <w:p w14:paraId="45932B30">
            <w:pPr>
              <w:spacing w:after="140"/>
            </w:pPr>
            <w:r>
              <w:rPr>
                <w:rFonts w:ascii="Arial" w:hAnsi="Arial" w:eastAsia="Arial" w:cs="Arial"/>
                <w:sz w:val="22"/>
                <w:szCs w:val="22"/>
              </w:rPr>
              <w:t xml:space="preserve">The main dataset is the NASA Kepler KOI Cumulative Table </w:t>
            </w:r>
            <w:r>
              <w:rPr>
                <w:rFonts w:ascii="Arial" w:hAnsi="Arial" w:eastAsia="Arial" w:cs="Arial"/>
                <w:sz w:val="18"/>
                <w:szCs w:val="18"/>
                <w:vertAlign w:val="superscript"/>
              </w:rPr>
              <w:t>[6]</w:t>
            </w:r>
            <w:r>
              <w:rPr>
                <w:rFonts w:ascii="Arial" w:hAnsi="Arial" w:eastAsia="Arial" w:cs="Arial"/>
                <w:sz w:val="22"/>
                <w:szCs w:val="22"/>
              </w:rPr>
              <w:t>, which contains 5,302 labelled observations and is freely downloadable from the NASA Exoplanet Archive. Raw photometric time series are collected through the Lightkurve Python library via the Mikulski Archive for Space Telescopes. Where needed, the preprocessed version from Macedo and Zalewski (2024) serves as a fallback, as it is well-structured and approximately 200MB in size. For the generalisation experiment, NASA TESS light curves are pulled from the same archive without any changes to the trained model.</w:t>
            </w:r>
          </w:p>
          <w:p w14:paraId="106EC4A4">
            <w:pPr>
              <w:spacing w:before="160" w:after="60"/>
            </w:pPr>
            <w:r>
              <w:rPr>
                <w:rFonts w:ascii="Arial" w:hAnsi="Arial" w:eastAsia="Arial" w:cs="Arial"/>
                <w:b/>
                <w:bCs/>
                <w:color w:val="006D68"/>
                <w:sz w:val="22"/>
                <w:szCs w:val="22"/>
              </w:rPr>
              <w:t>Preprocessing</w:t>
            </w:r>
          </w:p>
          <w:p w14:paraId="21A745C8">
            <w:pPr>
              <w:spacing w:after="140"/>
            </w:pPr>
            <w:r>
              <w:rPr>
                <w:rFonts w:ascii="Arial" w:hAnsi="Arial" w:eastAsia="Arial" w:cs="Arial"/>
                <w:sz w:val="22"/>
                <w:szCs w:val="22"/>
              </w:rPr>
              <w:t xml:space="preserve">Each raw flux sequence is first cleaned to remove noise from instrumental effects and stellar activity that is unrelated to planetary transits. It is then converted into a two-dimensional Gramian Angular Field image using the pyts library </w:t>
            </w:r>
            <w:r>
              <w:rPr>
                <w:rFonts w:ascii="Arial" w:hAnsi="Arial" w:eastAsia="Arial" w:cs="Arial"/>
                <w:sz w:val="18"/>
                <w:szCs w:val="18"/>
                <w:vertAlign w:val="superscript"/>
              </w:rPr>
              <w:t>[5]</w:t>
            </w:r>
            <w:r>
              <w:rPr>
                <w:rFonts w:ascii="Arial" w:hAnsi="Arial" w:eastAsia="Arial" w:cs="Arial"/>
                <w:sz w:val="22"/>
                <w:szCs w:val="22"/>
              </w:rPr>
              <w:t>. This step is necessary because the ViT architecture expects image input rather than raw sequences. The GAF transformation captures the temporal structure of the light curve in a format the model can process effectively. The resulting images are split into training, validation, and test sets using stratified sampling to handle the imbalance between confirmed planets and false positives.</w:t>
            </w:r>
          </w:p>
          <w:p w14:paraId="7350AE75">
            <w:pPr>
              <w:spacing w:before="160" w:after="60"/>
            </w:pPr>
            <w:r>
              <w:rPr>
                <w:rFonts w:ascii="Arial" w:hAnsi="Arial" w:eastAsia="Arial" w:cs="Arial"/>
                <w:b/>
                <w:bCs/>
                <w:color w:val="006D68"/>
                <w:sz w:val="22"/>
                <w:szCs w:val="22"/>
              </w:rPr>
              <w:t>Model and Evaluation</w:t>
            </w:r>
          </w:p>
          <w:p w14:paraId="38B25B42">
            <w:pPr>
              <w:spacing w:after="140"/>
            </w:pPr>
            <w:r>
              <w:rPr>
                <w:rFonts w:ascii="Arial" w:hAnsi="Arial" w:eastAsia="Arial" w:cs="Arial"/>
                <w:sz w:val="22"/>
                <w:szCs w:val="22"/>
              </w:rPr>
              <w:t xml:space="preserve">A pre-trained ViT-B/16 is tested under four progressively supervised conditions. In the zero-shot setting, the model classifies GAF images without any task-specific adaptation. In the one-shot and few-shot settings, a very small number of labelled examples per class are used to guide the model. In the LoRA fine-tuning setting </w:t>
            </w:r>
            <w:r>
              <w:rPr>
                <w:rFonts w:ascii="Arial" w:hAnsi="Arial" w:eastAsia="Arial" w:cs="Arial"/>
                <w:sz w:val="18"/>
                <w:szCs w:val="18"/>
                <w:vertAlign w:val="superscript"/>
              </w:rPr>
              <w:t>[3]</w:t>
            </w:r>
            <w:r>
              <w:rPr>
                <w:rFonts w:ascii="Arial" w:hAnsi="Arial" w:eastAsia="Arial" w:cs="Arial"/>
                <w:sz w:val="22"/>
                <w:szCs w:val="22"/>
              </w:rPr>
              <w:t>, low-rank trainable matrices are inserted into the frozen transformer layers, reducing the number of updated parameters to roughly 1% of the full model while keeping performance competitive. This structured comparison makes it possible to see clearly how adaptation affects classification quality as more labelled data and compute are introduced.</w:t>
            </w:r>
          </w:p>
          <w:p w14:paraId="1D91F0FD">
            <w:pPr>
              <w:spacing w:after="140"/>
            </w:pPr>
            <w:r>
              <w:rPr>
                <w:rFonts w:ascii="Arial" w:hAnsi="Arial" w:eastAsia="Arial" w:cs="Arial"/>
                <w:sz w:val="22"/>
                <w:szCs w:val="22"/>
              </w:rPr>
              <w:t xml:space="preserve">Once a prediction is made, a Retrieval-Augmented module </w:t>
            </w:r>
            <w:r>
              <w:rPr>
                <w:rFonts w:ascii="Arial" w:hAnsi="Arial" w:eastAsia="Arial" w:cs="Arial"/>
                <w:sz w:val="18"/>
                <w:szCs w:val="18"/>
                <w:vertAlign w:val="superscript"/>
              </w:rPr>
              <w:t>[4]</w:t>
            </w:r>
            <w:r>
              <w:rPr>
                <w:rFonts w:ascii="Arial" w:hAnsi="Arial" w:eastAsia="Arial" w:cs="Arial"/>
                <w:sz w:val="22"/>
                <w:szCs w:val="22"/>
              </w:rPr>
              <w:t xml:space="preserve"> queries a FAISS vector index built from the NASA Exoplanet Archive. The most similar confirmed planetary systems are retrieved by cosine similarity and used to produce a structured evidence report alongside the classification result. This module is then extended into an agentic workflow using LangGraph, where the system autonomously calls the classifier, retrieves relevant archive entries, and writes a natural language explanation. For instance: Transit detected with 94% confidence. A periodic brightness dip every 3.8 days matches patterns seen in 47 confirmed hot-Jupiter systems around G-type stars in the archive.</w:t>
            </w:r>
          </w:p>
          <w:p w14:paraId="194F663B">
            <w:pPr>
              <w:spacing w:after="140"/>
            </w:pPr>
            <w:r>
              <w:rPr>
                <w:rFonts w:ascii="Arial" w:hAnsi="Arial" w:eastAsia="Arial" w:cs="Arial"/>
                <w:sz w:val="22"/>
                <w:szCs w:val="22"/>
              </w:rPr>
              <w:t>All experiments run on free Kaggle GPU (NVIDIA P100). Since the dataset is small and LoRA greatly reduces training cost, this hardware is sufficient throughout. Evaluation uses F1-score and AUC-ROC to account for class imbalance. Results across all four adaptation conditions are reported together to give a complete picture of system performance and efficiency.</w:t>
            </w:r>
          </w:p>
          <w:p w14:paraId="5A8B77D5">
            <w:pPr>
              <w:spacing w:before="160" w:after="60"/>
            </w:pPr>
            <w:r>
              <w:rPr>
                <w:rFonts w:ascii="Arial" w:hAnsi="Arial" w:eastAsia="Arial" w:cs="Arial"/>
                <w:b/>
                <w:bCs/>
                <w:color w:val="006D68"/>
                <w:sz w:val="22"/>
                <w:szCs w:val="22"/>
              </w:rPr>
              <w:t>Tools</w:t>
            </w:r>
          </w:p>
          <w:p w14:paraId="0EC418A5">
            <w:pPr>
              <w:pStyle w:val="16"/>
              <w:numPr>
                <w:ilvl w:val="0"/>
                <w:numId w:val="2"/>
              </w:numPr>
              <w:spacing w:after="100"/>
            </w:pPr>
            <w:r>
              <w:rPr>
                <w:rFonts w:ascii="Arial" w:hAnsi="Arial" w:eastAsia="Arial" w:cs="Arial"/>
                <w:sz w:val="22"/>
                <w:szCs w:val="22"/>
              </w:rPr>
              <w:t>Python, PyTorch, HuggingFace Transformers, PEFT library</w:t>
            </w:r>
          </w:p>
          <w:p w14:paraId="79616DA9">
            <w:pPr>
              <w:pStyle w:val="16"/>
              <w:numPr>
                <w:ilvl w:val="0"/>
                <w:numId w:val="2"/>
              </w:numPr>
              <w:spacing w:after="100"/>
            </w:pPr>
            <w:r>
              <w:rPr>
                <w:rFonts w:ascii="Arial" w:hAnsi="Arial" w:eastAsia="Arial" w:cs="Arial"/>
                <w:sz w:val="22"/>
                <w:szCs w:val="22"/>
              </w:rPr>
              <w:t>Lightkurve for light curve acquisition from MAST</w:t>
            </w:r>
          </w:p>
          <w:p w14:paraId="4EE59513">
            <w:pPr>
              <w:pStyle w:val="16"/>
              <w:numPr>
                <w:ilvl w:val="0"/>
                <w:numId w:val="2"/>
              </w:numPr>
              <w:spacing w:after="100"/>
            </w:pPr>
            <w:r>
              <w:rPr>
                <w:rFonts w:ascii="Arial" w:hAnsi="Arial" w:eastAsia="Arial" w:cs="Arial"/>
                <w:sz w:val="22"/>
                <w:szCs w:val="22"/>
              </w:rPr>
              <w:t>pyts for Gramian Angular Field image generation</w:t>
            </w:r>
          </w:p>
          <w:p w14:paraId="0BC442F3">
            <w:pPr>
              <w:pStyle w:val="16"/>
              <w:numPr>
                <w:ilvl w:val="0"/>
                <w:numId w:val="2"/>
              </w:numPr>
              <w:spacing w:after="100"/>
            </w:pPr>
            <w:r>
              <w:rPr>
                <w:rFonts w:ascii="Arial" w:hAnsi="Arial" w:eastAsia="Arial" w:cs="Arial"/>
                <w:sz w:val="22"/>
                <w:szCs w:val="22"/>
              </w:rPr>
              <w:t>FAISS for vector similarity search</w:t>
            </w:r>
          </w:p>
          <w:p w14:paraId="78906694">
            <w:pPr>
              <w:pStyle w:val="16"/>
              <w:numPr>
                <w:ilvl w:val="0"/>
                <w:numId w:val="2"/>
              </w:numPr>
              <w:spacing w:after="100"/>
            </w:pPr>
            <w:r>
              <w:rPr>
                <w:rFonts w:ascii="Arial" w:hAnsi="Arial" w:eastAsia="Arial" w:cs="Arial"/>
                <w:sz w:val="22"/>
                <w:szCs w:val="22"/>
              </w:rPr>
              <w:t>LangGraph for the agentic explanation pipeline</w:t>
            </w:r>
          </w:p>
        </w:tc>
      </w:tr>
      <w:tr w14:paraId="63752348">
        <w:tc>
          <w:tcPr>
            <w:tcW w:w="9360" w:type="dxa"/>
            <w:tcBorders>
              <w:top w:val="single" w:color="2E5FA3" w:sz="4" w:space="0"/>
              <w:left w:val="single" w:color="2E5FA3" w:sz="4" w:space="0"/>
              <w:bottom w:val="single" w:color="2E5FA3" w:sz="4" w:space="0"/>
              <w:right w:val="single" w:color="2E5FA3" w:sz="4" w:space="0"/>
            </w:tcBorders>
            <w:shd w:val="clear" w:color="auto" w:fill="1B3A6B"/>
            <w:tcMar>
              <w:top w:w="120" w:type="dxa"/>
              <w:left w:w="160" w:type="dxa"/>
              <w:bottom w:w="120" w:type="dxa"/>
              <w:right w:w="160" w:type="dxa"/>
            </w:tcMar>
          </w:tcPr>
          <w:p w14:paraId="413BA17E">
            <w:r>
              <w:rPr>
                <w:rFonts w:ascii="Arial" w:hAnsi="Arial" w:eastAsia="Arial" w:cs="Arial"/>
                <w:b/>
                <w:bCs/>
                <w:color w:val="FFFFFF"/>
                <w:sz w:val="26"/>
                <w:szCs w:val="26"/>
              </w:rPr>
              <w:t>Legal / Social / Ethical Issues (approx. 200 words)</w:t>
            </w:r>
          </w:p>
        </w:tc>
      </w:tr>
      <w:tr w14:paraId="38E59653">
        <w:tc>
          <w:tcPr>
            <w:tcW w:w="93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0441D8F4">
            <w:pPr>
              <w:spacing w:after="140"/>
            </w:pPr>
            <w:r>
              <w:rPr>
                <w:rFonts w:ascii="Arial" w:hAnsi="Arial" w:eastAsia="Arial" w:cs="Arial"/>
                <w:sz w:val="22"/>
                <w:szCs w:val="22"/>
              </w:rPr>
              <w:t>This project does not involve any human participants, personal data, or physical experiments. All data used, including the NASA Kepler KOI catalogue, TESS light curves, and the NASA Exoplanet Archive stellar parameters, is publicly available under NASA's open data policy and requires no registration or agreement to access. Ethical approval is not required, though this will be confirmed with the supervisor.</w:t>
            </w:r>
          </w:p>
          <w:p w14:paraId="59CE7B34">
            <w:pPr>
              <w:spacing w:after="140"/>
            </w:pPr>
            <w:r>
              <w:rPr>
                <w:rFonts w:ascii="Arial" w:hAnsi="Arial" w:eastAsia="Arial" w:cs="Arial"/>
                <w:sz w:val="22"/>
                <w:szCs w:val="22"/>
              </w:rPr>
              <w:t>The work has clear positive applications in planetary science. Better explainability in transit classification can help astronomers prioritise follow-up observations, particularly for weak signals that may correspond to small rocky planets in habitable zones. There is no realistic risk of misuse from this type of research.</w:t>
            </w:r>
          </w:p>
          <w:p w14:paraId="54FC00F3">
            <w:pPr>
              <w:spacing w:after="140"/>
            </w:pPr>
            <w:r>
              <w:rPr>
                <w:rFonts w:ascii="Arial" w:hAnsi="Arial" w:eastAsia="Arial" w:cs="Arial"/>
                <w:sz w:val="22"/>
                <w:szCs w:val="22"/>
              </w:rPr>
              <w:t>The project follows the ACM Code of Ethics and the BCS Code of Conduct. The ViT-B/16 model is used under Apache 2.0 licence and the PEFT library under MIT licence. Any language model API calls made for the explanation module will follow the relevant provider terms of service. The system will not produce or present fabricated scientific claims. All outputs are framed as AI-generated explanations grounded in retrieved data. Results will be reported fully and honestly, including any negative or inconclusive findings.</w:t>
            </w:r>
          </w:p>
        </w:tc>
      </w:tr>
      <w:tr w14:paraId="0B44A4EB">
        <w:tc>
          <w:tcPr>
            <w:tcW w:w="9360" w:type="dxa"/>
            <w:tcBorders>
              <w:top w:val="single" w:color="2E5FA3" w:sz="4" w:space="0"/>
              <w:left w:val="single" w:color="2E5FA3" w:sz="4" w:space="0"/>
              <w:bottom w:val="single" w:color="2E5FA3" w:sz="4" w:space="0"/>
              <w:right w:val="single" w:color="2E5FA3" w:sz="4" w:space="0"/>
            </w:tcBorders>
            <w:shd w:val="clear" w:color="auto" w:fill="1B3A6B"/>
            <w:tcMar>
              <w:top w:w="120" w:type="dxa"/>
              <w:left w:w="160" w:type="dxa"/>
              <w:bottom w:w="120" w:type="dxa"/>
              <w:right w:w="160" w:type="dxa"/>
            </w:tcMar>
          </w:tcPr>
          <w:p w14:paraId="53EC6C93">
            <w:r>
              <w:rPr>
                <w:rFonts w:ascii="Arial" w:hAnsi="Arial" w:eastAsia="Arial" w:cs="Arial"/>
                <w:b/>
                <w:bCs/>
                <w:color w:val="FFFFFF"/>
                <w:sz w:val="26"/>
                <w:szCs w:val="26"/>
              </w:rPr>
              <w:t>Project &amp; Risk Management (approx. 300 words)</w:t>
            </w:r>
          </w:p>
        </w:tc>
      </w:tr>
      <w:tr w14:paraId="66E43CBA">
        <w:tc>
          <w:tcPr>
            <w:tcW w:w="93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2CB8CF6C">
            <w:pPr>
              <w:spacing w:before="160" w:after="60"/>
            </w:pPr>
            <w:r>
              <w:rPr>
                <w:rFonts w:ascii="Arial" w:hAnsi="Arial" w:eastAsia="Arial" w:cs="Arial"/>
                <w:b/>
                <w:bCs/>
                <w:color w:val="006D68"/>
                <w:sz w:val="22"/>
                <w:szCs w:val="22"/>
              </w:rPr>
              <w:t>Health &amp; Safety</w:t>
            </w:r>
          </w:p>
          <w:p w14:paraId="1E3AC60A">
            <w:pPr>
              <w:spacing w:after="140"/>
            </w:pPr>
            <w:r>
              <w:rPr>
                <w:rFonts w:ascii="Arial" w:hAnsi="Arial" w:eastAsia="Arial" w:cs="Arial"/>
                <w:sz w:val="22"/>
                <w:szCs w:val="22"/>
              </w:rPr>
              <w:t>This is a software-only project carried out on a standard laptop or cloud environment. There are no physical risks involved. The standard University Health &amp; Safety form will be completed.</w:t>
            </w:r>
          </w:p>
          <w:p w14:paraId="64A7B9BF">
            <w:pPr>
              <w:spacing w:before="160" w:after="60"/>
            </w:pPr>
            <w:r>
              <w:rPr>
                <w:rFonts w:ascii="Arial" w:hAnsi="Arial" w:eastAsia="Arial" w:cs="Arial"/>
                <w:b/>
                <w:bCs/>
                <w:color w:val="006D68"/>
                <w:sz w:val="22"/>
                <w:szCs w:val="22"/>
              </w:rPr>
              <w:t>Management and Technical Risks</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1"/>
              <w:gridCol w:w="1780"/>
              <w:gridCol w:w="4499"/>
            </w:tblGrid>
            <w:tr w14:paraId="30AD1615">
              <w:tc>
                <w:tcPr>
                  <w:tcW w:w="2900" w:type="dxa"/>
                  <w:tcBorders>
                    <w:top w:val="single" w:color="AAAAAA" w:sz="2" w:space="0"/>
                    <w:left w:val="single" w:color="AAAAAA" w:sz="2" w:space="0"/>
                    <w:bottom w:val="single" w:color="AAAAAA" w:sz="2" w:space="0"/>
                    <w:right w:val="single" w:color="AAAAAA" w:sz="2" w:space="0"/>
                  </w:tcBorders>
                  <w:shd w:val="clear" w:color="auto" w:fill="E8EDF7"/>
                  <w:tcMar>
                    <w:top w:w="120" w:type="dxa"/>
                    <w:left w:w="160" w:type="dxa"/>
                    <w:bottom w:w="120" w:type="dxa"/>
                    <w:right w:w="160" w:type="dxa"/>
                  </w:tcMar>
                </w:tcPr>
                <w:p w14:paraId="3F8F3C44">
                  <w:r>
                    <w:rPr>
                      <w:rFonts w:ascii="Arial" w:hAnsi="Arial" w:eastAsia="Arial" w:cs="Arial"/>
                      <w:b/>
                      <w:bCs/>
                      <w:sz w:val="22"/>
                      <w:szCs w:val="22"/>
                    </w:rPr>
                    <w:t>Risk</w:t>
                  </w:r>
                </w:p>
              </w:tc>
              <w:tc>
                <w:tcPr>
                  <w:tcW w:w="1800" w:type="dxa"/>
                  <w:tcBorders>
                    <w:top w:val="single" w:color="AAAAAA" w:sz="2" w:space="0"/>
                    <w:left w:val="single" w:color="AAAAAA" w:sz="2" w:space="0"/>
                    <w:bottom w:val="single" w:color="AAAAAA" w:sz="2" w:space="0"/>
                    <w:right w:val="single" w:color="AAAAAA" w:sz="2" w:space="0"/>
                  </w:tcBorders>
                  <w:shd w:val="clear" w:color="auto" w:fill="E8EDF7"/>
                  <w:tcMar>
                    <w:top w:w="120" w:type="dxa"/>
                    <w:left w:w="160" w:type="dxa"/>
                    <w:bottom w:w="120" w:type="dxa"/>
                    <w:right w:w="160" w:type="dxa"/>
                  </w:tcMar>
                </w:tcPr>
                <w:p w14:paraId="357193B0">
                  <w:r>
                    <w:rPr>
                      <w:rFonts w:ascii="Arial" w:hAnsi="Arial" w:eastAsia="Arial" w:cs="Arial"/>
                      <w:b/>
                      <w:bCs/>
                      <w:sz w:val="22"/>
                      <w:szCs w:val="22"/>
                    </w:rPr>
                    <w:t>Likelihood</w:t>
                  </w:r>
                </w:p>
              </w:tc>
              <w:tc>
                <w:tcPr>
                  <w:tcW w:w="4400" w:type="dxa"/>
                  <w:tcBorders>
                    <w:top w:val="single" w:color="AAAAAA" w:sz="2" w:space="0"/>
                    <w:left w:val="single" w:color="AAAAAA" w:sz="2" w:space="0"/>
                    <w:bottom w:val="single" w:color="AAAAAA" w:sz="2" w:space="0"/>
                    <w:right w:val="single" w:color="AAAAAA" w:sz="2" w:space="0"/>
                  </w:tcBorders>
                  <w:shd w:val="clear" w:color="auto" w:fill="E8EDF7"/>
                  <w:tcMar>
                    <w:top w:w="120" w:type="dxa"/>
                    <w:left w:w="160" w:type="dxa"/>
                    <w:bottom w:w="120" w:type="dxa"/>
                    <w:right w:w="160" w:type="dxa"/>
                  </w:tcMar>
                </w:tcPr>
                <w:p w14:paraId="627F5877">
                  <w:r>
                    <w:rPr>
                      <w:rFonts w:ascii="Arial" w:hAnsi="Arial" w:eastAsia="Arial" w:cs="Arial"/>
                      <w:b/>
                      <w:bCs/>
                      <w:sz w:val="22"/>
                      <w:szCs w:val="22"/>
                    </w:rPr>
                    <w:t>Mitigation</w:t>
                  </w:r>
                </w:p>
              </w:tc>
            </w:tr>
            <w:tr w14:paraId="1EFB764D">
              <w:tc>
                <w:tcPr>
                  <w:tcW w:w="29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61D8B627">
                  <w:r>
                    <w:rPr>
                      <w:rFonts w:ascii="Arial" w:hAnsi="Arial" w:eastAsia="Arial" w:cs="Arial"/>
                      <w:sz w:val="22"/>
                      <w:szCs w:val="22"/>
                    </w:rPr>
                    <w:t>LoRA training exceeds free GPU time limit</w:t>
                  </w:r>
                </w:p>
              </w:tc>
              <w:tc>
                <w:tcPr>
                  <w:tcW w:w="18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20679B4F">
                  <w:r>
                    <w:rPr>
                      <w:rFonts w:ascii="Arial" w:hAnsi="Arial" w:eastAsia="Arial" w:cs="Arial"/>
                      <w:sz w:val="22"/>
                      <w:szCs w:val="22"/>
                    </w:rPr>
                    <w:t>Low</w:t>
                  </w:r>
                </w:p>
              </w:tc>
              <w:tc>
                <w:tcPr>
                  <w:tcW w:w="46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39066B98">
                  <w:r>
                    <w:rPr>
                      <w:rFonts w:ascii="Arial" w:hAnsi="Arial" w:eastAsia="Arial" w:cs="Arial"/>
                      <w:sz w:val="22"/>
                      <w:szCs w:val="22"/>
                    </w:rPr>
                    <w:t>The dataset contains roughly 5,000 images and LoRA training takes around 2 hours on a P100. A smaller ViT-Tiny model is available as a fallback if needed.</w:t>
                  </w:r>
                </w:p>
              </w:tc>
            </w:tr>
            <w:tr w14:paraId="24505848">
              <w:tc>
                <w:tcPr>
                  <w:tcW w:w="29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29575990">
                  <w:r>
                    <w:rPr>
                      <w:rFonts w:ascii="Arial" w:hAnsi="Arial" w:eastAsia="Arial" w:cs="Arial"/>
                      <w:sz w:val="22"/>
                      <w:szCs w:val="22"/>
                    </w:rPr>
                    <w:t>Data download failures from Lightkurve or MAST</w:t>
                  </w:r>
                </w:p>
              </w:tc>
              <w:tc>
                <w:tcPr>
                  <w:tcW w:w="18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6CA34B5E">
                  <w:r>
                    <w:rPr>
                      <w:rFonts w:ascii="Arial" w:hAnsi="Arial" w:eastAsia="Arial" w:cs="Arial"/>
                      <w:sz w:val="22"/>
                      <w:szCs w:val="22"/>
                    </w:rPr>
                    <w:t>Low</w:t>
                  </w:r>
                </w:p>
              </w:tc>
              <w:tc>
                <w:tcPr>
                  <w:tcW w:w="46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134B1625">
                  <w:r>
                    <w:rPr>
                      <w:rFonts w:ascii="Arial" w:hAnsi="Arial" w:eastAsia="Arial" w:cs="Arial"/>
                      <w:sz w:val="22"/>
                      <w:szCs w:val="22"/>
                    </w:rPr>
                    <w:t>All light curves are cached locally after the first download. The preprocessed Mendeley dataset is available as an immediate alternative.</w:t>
                  </w:r>
                </w:p>
              </w:tc>
            </w:tr>
            <w:tr w14:paraId="52FD5AAB">
              <w:tc>
                <w:tcPr>
                  <w:tcW w:w="29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7079FFA7">
                  <w:r>
                    <w:rPr>
                      <w:rFonts w:ascii="Arial" w:hAnsi="Arial" w:eastAsia="Arial" w:cs="Arial"/>
                      <w:sz w:val="22"/>
                      <w:szCs w:val="22"/>
                    </w:rPr>
                    <w:t>LLM API costs for the explanation module</w:t>
                  </w:r>
                </w:p>
              </w:tc>
              <w:tc>
                <w:tcPr>
                  <w:tcW w:w="18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07A7E280">
                  <w:r>
                    <w:rPr>
                      <w:rFonts w:ascii="Arial" w:hAnsi="Arial" w:eastAsia="Arial" w:cs="Arial"/>
                      <w:sz w:val="22"/>
                      <w:szCs w:val="22"/>
                    </w:rPr>
                    <w:t>Medium</w:t>
                  </w:r>
                </w:p>
              </w:tc>
              <w:tc>
                <w:tcPr>
                  <w:tcW w:w="46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33D4F955">
                  <w:r>
                    <w:rPr>
                      <w:rFonts w:ascii="Arial" w:hAnsi="Arial" w:eastAsia="Arial" w:cs="Arial"/>
                      <w:sz w:val="22"/>
                      <w:szCs w:val="22"/>
                    </w:rPr>
                    <w:t>The free tier of the Claude API or a locally run Ollama model will be used. A template-based explanation format is prepared as a fallback.</w:t>
                  </w:r>
                </w:p>
              </w:tc>
            </w:tr>
            <w:tr w14:paraId="53B0D9F7">
              <w:tc>
                <w:tcPr>
                  <w:tcW w:w="29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361A03E5">
                  <w:r>
                    <w:rPr>
                      <w:rFonts w:ascii="Arial" w:hAnsi="Arial" w:eastAsia="Arial" w:cs="Arial"/>
                      <w:sz w:val="22"/>
                      <w:szCs w:val="22"/>
                    </w:rPr>
                    <w:t>Class imbalance skewing model evaluation</w:t>
                  </w:r>
                </w:p>
              </w:tc>
              <w:tc>
                <w:tcPr>
                  <w:tcW w:w="18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31A5A952">
                  <w:r>
                    <w:rPr>
                      <w:rFonts w:ascii="Arial" w:hAnsi="Arial" w:eastAsia="Arial" w:cs="Arial"/>
                      <w:sz w:val="22"/>
                      <w:szCs w:val="22"/>
                    </w:rPr>
                    <w:t>Medium</w:t>
                  </w:r>
                </w:p>
              </w:tc>
              <w:tc>
                <w:tcPr>
                  <w:tcW w:w="46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15BC97AF">
                  <w:r>
                    <w:rPr>
                      <w:rFonts w:ascii="Arial" w:hAnsi="Arial" w:eastAsia="Arial" w:cs="Arial"/>
                      <w:sz w:val="22"/>
                      <w:szCs w:val="22"/>
                    </w:rPr>
                    <w:t>Stratified splits and weighted loss functions are applied from the start. All evaluation metrics are F1-score and AUC-ROC rather than accuracy.</w:t>
                  </w:r>
                </w:p>
              </w:tc>
            </w:tr>
            <w:tr w14:paraId="3ACFCE4C">
              <w:tc>
                <w:tcPr>
                  <w:tcW w:w="29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57BD342B">
                  <w:r>
                    <w:rPr>
                      <w:rFonts w:ascii="Arial" w:hAnsi="Arial" w:eastAsia="Arial" w:cs="Arial"/>
                      <w:sz w:val="22"/>
                      <w:szCs w:val="22"/>
                    </w:rPr>
                    <w:t>LangGraph integration taking longer than expected</w:t>
                  </w:r>
                </w:p>
              </w:tc>
              <w:tc>
                <w:tcPr>
                  <w:tcW w:w="180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58CEB1AD">
                  <w:r>
                    <w:rPr>
                      <w:rFonts w:ascii="Arial" w:hAnsi="Arial" w:eastAsia="Arial" w:cs="Arial"/>
                      <w:sz w:val="22"/>
                      <w:szCs w:val="22"/>
                    </w:rPr>
                    <w:t>Medium</w:t>
                  </w:r>
                </w:p>
              </w:tc>
              <w:tc>
                <w:tcPr>
                  <w:tcW w:w="46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430DFB28">
                  <w:pPr>
                    <w:rPr>
                      <w:rFonts w:hint="default"/>
                      <w:lang w:val="en-US"/>
                    </w:rPr>
                  </w:pPr>
                  <w:r>
                    <w:rPr>
                      <w:rFonts w:ascii="Arial" w:hAnsi="Arial" w:eastAsia="Arial" w:cs="Arial"/>
                      <w:sz w:val="22"/>
                      <w:szCs w:val="22"/>
                    </w:rPr>
                    <w:t>The agent will be prototyped early in the project. A static RAG module without the agentic loop is sufficient</w:t>
                  </w:r>
                  <w:r>
                    <w:rPr>
                      <w:rFonts w:hint="default" w:cs="Arial"/>
                      <w:sz w:val="22"/>
                      <w:szCs w:val="22"/>
                      <w:lang w:val="en-US"/>
                    </w:rPr>
                    <w:t>.</w:t>
                  </w:r>
                </w:p>
              </w:tc>
            </w:tr>
          </w:tbl>
          <w:p w14:paraId="2A84E54A">
            <w:pPr>
              <w:spacing w:before="140" w:after="0"/>
            </w:pPr>
            <w:r>
              <w:rPr>
                <w:rFonts w:ascii="Arial" w:hAnsi="Arial" w:eastAsia="Arial" w:cs="Arial"/>
                <w:sz w:val="22"/>
                <w:szCs w:val="22"/>
              </w:rPr>
              <w:t>Progress is reviewed in fortnightly meetings with the supervisor. A Gantt chart is maintained in the dissertation appendix and all code is version-controlled in a private GitHub repository with weekly commits.</w:t>
            </w:r>
          </w:p>
        </w:tc>
      </w:tr>
      <w:tr w14:paraId="20298ACD">
        <w:tc>
          <w:tcPr>
            <w:tcW w:w="9360" w:type="dxa"/>
            <w:tcBorders>
              <w:top w:val="single" w:color="2E5FA3" w:sz="4" w:space="0"/>
              <w:left w:val="single" w:color="2E5FA3" w:sz="4" w:space="0"/>
              <w:bottom w:val="single" w:color="2E5FA3" w:sz="4" w:space="0"/>
              <w:right w:val="single" w:color="2E5FA3" w:sz="4" w:space="0"/>
            </w:tcBorders>
            <w:shd w:val="clear" w:color="auto" w:fill="1B3A6B"/>
            <w:tcMar>
              <w:top w:w="120" w:type="dxa"/>
              <w:left w:w="160" w:type="dxa"/>
              <w:bottom w:w="120" w:type="dxa"/>
              <w:right w:w="160" w:type="dxa"/>
            </w:tcMar>
          </w:tcPr>
          <w:p w14:paraId="7549173D">
            <w:r>
              <w:rPr>
                <w:rFonts w:ascii="Arial" w:hAnsi="Arial" w:eastAsia="Arial" w:cs="Arial"/>
                <w:b/>
                <w:bCs/>
                <w:color w:val="FFFFFF"/>
                <w:sz w:val="26"/>
                <w:szCs w:val="26"/>
              </w:rPr>
              <w:t>References in IEEE Format</w:t>
            </w:r>
          </w:p>
        </w:tc>
      </w:tr>
      <w:tr w14:paraId="533218F0">
        <w:tc>
          <w:tcPr>
            <w:tcW w:w="9360" w:type="dxa"/>
            <w:tcBorders>
              <w:top w:val="single" w:color="AAAAAA" w:sz="2" w:space="0"/>
              <w:left w:val="single" w:color="AAAAAA" w:sz="2" w:space="0"/>
              <w:bottom w:val="single" w:color="AAAAAA" w:sz="2" w:space="0"/>
              <w:right w:val="single" w:color="AAAAAA" w:sz="2" w:space="0"/>
            </w:tcBorders>
            <w:tcMar>
              <w:top w:w="120" w:type="dxa"/>
              <w:left w:w="160" w:type="dxa"/>
              <w:bottom w:w="120" w:type="dxa"/>
              <w:right w:w="160" w:type="dxa"/>
            </w:tcMar>
          </w:tcPr>
          <w:p w14:paraId="58F4A1B9">
            <w:pPr>
              <w:pStyle w:val="16"/>
              <w:numPr>
                <w:ilvl w:val="0"/>
                <w:numId w:val="2"/>
              </w:numPr>
              <w:spacing w:after="100"/>
            </w:pPr>
            <w:r>
              <w:rPr>
                <w:rFonts w:ascii="Arial" w:hAnsi="Arial" w:eastAsia="Arial" w:cs="Arial"/>
                <w:sz w:val="22"/>
                <w:szCs w:val="22"/>
              </w:rPr>
              <w:t>[1] C. J. Shallue and A. Vanderburg, "Identifying Exoplanets with Deep Learning: A Five-Planet Resonant Chain around Kepler-80 and an Eighth Planet around Kepler-90," The Astronomical Journal, vol. 155, no. 2, p. 94, Feb. 2018. doi: 10.3847/1538-3881/aa9e09</w:t>
            </w:r>
          </w:p>
          <w:p w14:paraId="118B50B9">
            <w:pPr>
              <w:pStyle w:val="16"/>
              <w:numPr>
                <w:ilvl w:val="0"/>
                <w:numId w:val="2"/>
              </w:numPr>
              <w:spacing w:after="100"/>
            </w:pPr>
            <w:r>
              <w:rPr>
                <w:rFonts w:ascii="Arial" w:hAnsi="Arial" w:eastAsia="Arial" w:cs="Arial"/>
                <w:sz w:val="22"/>
                <w:szCs w:val="22"/>
              </w:rPr>
              <w:t>[2] A. Dosovitskiy, L. Beyer, A. Kolesnikov et al., "An Image is Worth 16x16 Words: Transformers for Image Recognition at Scale," in Proc. ICLR, 2021. arXiv:2010.11929</w:t>
            </w:r>
          </w:p>
          <w:p w14:paraId="77A44D2C">
            <w:pPr>
              <w:pStyle w:val="16"/>
              <w:numPr>
                <w:ilvl w:val="0"/>
                <w:numId w:val="2"/>
              </w:numPr>
              <w:spacing w:after="100"/>
            </w:pPr>
            <w:r>
              <w:rPr>
                <w:rFonts w:ascii="Arial" w:hAnsi="Arial" w:eastAsia="Arial" w:cs="Arial"/>
                <w:sz w:val="22"/>
                <w:szCs w:val="22"/>
              </w:rPr>
              <w:t>[3] E. J. Hu, Y. Shen, P. Wallis et al., "LoRA: Low-Rank Adaptation of Large Language Models," in Proc. ICLR, 2022. arXiv:2106.09685</w:t>
            </w:r>
          </w:p>
          <w:p w14:paraId="7216B06C">
            <w:pPr>
              <w:pStyle w:val="16"/>
              <w:numPr>
                <w:ilvl w:val="0"/>
                <w:numId w:val="2"/>
              </w:numPr>
              <w:spacing w:after="100"/>
            </w:pPr>
            <w:r>
              <w:rPr>
                <w:rFonts w:ascii="Arial" w:hAnsi="Arial" w:eastAsia="Arial" w:cs="Arial"/>
                <w:sz w:val="22"/>
                <w:szCs w:val="22"/>
              </w:rPr>
              <w:t>[4] P. Lewis, E. Perez, A. Piktus et al., "Retrieval-Augmented Generation for Knowledge-Intensive NLP Tasks," in Proc. NeurIPS, vol. 33, pp. 9459-9474, 2020. arXiv:2005.11401</w:t>
            </w:r>
          </w:p>
          <w:p w14:paraId="5D0B4115">
            <w:pPr>
              <w:pStyle w:val="16"/>
              <w:numPr>
                <w:ilvl w:val="0"/>
                <w:numId w:val="2"/>
              </w:numPr>
              <w:spacing w:after="100"/>
            </w:pPr>
            <w:r>
              <w:rPr>
                <w:rFonts w:ascii="Arial" w:hAnsi="Arial" w:eastAsia="Arial" w:cs="Arial"/>
                <w:sz w:val="22"/>
                <w:szCs w:val="22"/>
              </w:rPr>
              <w:t>[5] A. Choudhary, S. Bandari, B. S. Kushvah and C. Swastik, "Exoplanet Classification through Vision Transformers with Temporal Image Analysis," accepted at The Astronomical Journal, 2025. arXiv:2506.16597</w:t>
            </w:r>
          </w:p>
          <w:p w14:paraId="6BE9C7DD">
            <w:pPr>
              <w:pStyle w:val="16"/>
              <w:numPr>
                <w:ilvl w:val="0"/>
                <w:numId w:val="2"/>
              </w:numPr>
              <w:spacing w:after="100"/>
            </w:pPr>
            <w:r>
              <w:rPr>
                <w:rFonts w:ascii="Arial" w:hAnsi="Arial" w:eastAsia="Arial" w:cs="Arial"/>
                <w:sz w:val="22"/>
                <w:szCs w:val="22"/>
              </w:rPr>
              <w:t>[6] B. H. D. Macedo and W. Zalewski, "Automated Light Curve Processing for Exoplanet Detection Using Machine Learning Algorithms," Rev. Bras. de Iniciacao Cientifica, vol. 11, e024021, 2024. Dataset: https://data.mendeley.com/datasets/wctcv34962/3</w:t>
            </w:r>
          </w:p>
        </w:tc>
      </w:tr>
    </w:tbl>
    <w:p w14:paraId="29CD4D1F"/>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6EC012"/>
    <w:multiLevelType w:val="singleLevel"/>
    <w:tmpl w:val="B16EC012"/>
    <w:lvl w:ilvl="0" w:tentative="0">
      <w:start w:val="1"/>
      <w:numFmt w:val="bullet"/>
      <w:lvlText w:val="•"/>
      <w:lvlJc w:val="left"/>
      <w:pPr>
        <w:ind w:left="480" w:hanging="240"/>
      </w:pPr>
    </w:lvl>
  </w:abstractNum>
  <w:abstractNum w:abstractNumId="1">
    <w:nsid w:val="4BEC021C"/>
    <w:multiLevelType w:val="singleLevel"/>
    <w:tmpl w:val="4BEC021C"/>
    <w:lvl w:ilvl="0" w:tentative="0">
      <w:start w:val="1"/>
      <w:numFmt w:val="decimal"/>
      <w:lvlText w:val="%1."/>
      <w:lvlJc w:val="left"/>
      <w:pPr>
        <w:ind w:left="480" w:hanging="24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6"/>
  <w:displayBackgroundShape w:val="1"/>
  <w:documentProtection w:enforcement="0"/>
  <w:compat>
    <w:compatSetting w:name="compatibilityMode" w:uri="http://schemas.microsoft.com/office/word" w:val="15"/>
  </w:compat>
  <w:rsids>
    <w:rsidRoot w:val="00000000"/>
    <w:rsid w:val="7DFD66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3</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Fayyaz</cp:lastModifiedBy>
  <dcterms:modified xsi:type="dcterms:W3CDTF">2026-06-06T18:25:49Z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12D560167F65CC5CDD1F246A972B2A7F_42</vt:lpwstr>
  </property>
</Properties>
</file>