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0B6650"/>
          <w:sz w:val="72"/>
          <w:szCs w:val="72"/>
        </w:rPr>
        <w:t xml:space="preserve">MON SUCRE</w:t>
      </w:r>
    </w:p>
    <w:p>
      <w:pPr>
        <w:spacing w:after="400" w:before="0"/>
        <w:jc w:val="center"/>
      </w:pPr>
      <w:r>
        <w:rPr>
          <w:rFonts w:ascii="Arial" w:cs="Arial" w:eastAsia="Arial" w:hAnsi="Arial"/>
          <w:color w:val="6B7280"/>
          <w:sz w:val="32"/>
          <w:szCs w:val="32"/>
        </w:rPr>
        <w:t xml:space="preserve">Application PWA — Diabète Senior</w:t>
      </w:r>
    </w:p>
    <w:p>
      <w:pPr>
        <w:pBdr>
          <w:top w:val="single" w:color="0B6650" w:sz="3" w:space="4"/>
          <w:bottom w:val="single" w:color="0B6650" w:sz="3" w:space="4"/>
        </w:pBdr>
        <w:spacing w:after="200" w:before="200"/>
        <w:jc w:val="center"/>
      </w:pPr>
      <w:r>
        <w:rPr>
          <w:rFonts w:ascii="Arial" w:cs="Arial" w:eastAsia="Arial" w:hAnsi="Arial"/>
          <w:b/>
          <w:bCs/>
          <w:color w:val="1D3A6E"/>
          <w:sz w:val="40"/>
          <w:szCs w:val="40"/>
        </w:rPr>
        <w:t xml:space="preserve">EXPERTISE FINANCIÈRE</w:t>
      </w:r>
    </w:p>
    <w:p>
      <w:pPr>
        <w:spacing w:after="200" w:before="200"/>
        <w:jc w:val="center"/>
      </w:pPr>
      <w:r>
        <w:rPr>
          <w:rFonts w:ascii="Arial" w:cs="Arial" w:eastAsia="Arial" w:hAnsi="Arial"/>
          <w:i/>
          <w:iCs/>
          <w:color w:val="6B7280"/>
          <w:sz w:val="24"/>
          <w:szCs w:val="24"/>
        </w:rPr>
        <w:t xml:space="preserve">Coûts de développement  ·  Coûts à l'usage  ·  Pricing  ·  Marges</w:t>
      </w:r>
    </w:p>
    <w:p>
      <w:pPr>
        <w:spacing w:after="0" w:before="600"/>
        <w:jc w:val="center"/>
      </w:pPr>
      <w:r>
        <w:rPr>
          <w:rFonts w:ascii="Arial" w:cs="Arial" w:eastAsia="Arial" w:hAnsi="Arial"/>
          <w:color w:val="6B7280"/>
          <w:sz w:val="20"/>
          <w:szCs w:val="20"/>
        </w:rPr>
        <w:t xml:space="preserve">Mai 2026  —  Confidentiel</w:t>
      </w:r>
    </w:p>
    <w:p>
      <w:r>
        <w:br w:type="page"/>
      </w:r>
    </w:p>
    <w:p>
      <w:pPr>
        <w:pStyle w:val="Heading1"/>
        <w:pBdr>
          <w:bottom w:val="single" w:color="0B6650" w:sz="4" w:space="6"/>
        </w:pBdr>
        <w:spacing w:after="200" w:before="400"/>
      </w:pPr>
      <w:r>
        <w:rPr>
          <w:rFonts w:ascii="Arial" w:cs="Arial" w:eastAsia="Arial" w:hAnsi="Arial"/>
          <w:b/>
          <w:bCs/>
          <w:color w:val="1D3A6E"/>
          <w:sz w:val="32"/>
          <w:szCs w:val="32"/>
        </w:rPr>
        <w:t xml:space="preserve">1. Architecture Technique &amp; APIs Utilisées</w:t>
      </w:r>
    </w:p>
    <w:p>
      <w:pPr>
        <w:spacing w:after="100" w:before="60"/>
      </w:pPr>
      <w:r>
        <w:rPr>
          <w:rFonts w:ascii="Arial" w:cs="Arial" w:eastAsia="Arial" w:hAnsi="Arial"/>
          <w:color w:val="1E1E1E"/>
          <w:sz w:val="22"/>
          <w:szCs w:val="22"/>
        </w:rPr>
        <w:t xml:space="preserve">Mon Sucre est une Progressive Web App (PWA) hébergée sur Vercel (serverless) avec Redis comme base de données. Elle repose sur quatre fournisseurs d'API externes.</w:t>
      </w:r>
    </w:p>
    <w:p>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300"/>
        <w:gridCol w:w="2506"/>
      </w:tblGrid>
      <w:tr>
        <w:trPr>
          <w:tblHeader/>
        </w:trPr>
        <w:tc>
          <w:tcPr>
            <w:tcW w:type="dxa" w:w="2200"/>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Service</w:t>
            </w:r>
          </w:p>
        </w:tc>
        <w:tc>
          <w:tcPr>
            <w:tcW w:type="dxa" w:w="2500"/>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Usage dans l'app</w:t>
            </w:r>
          </w:p>
        </w:tc>
        <w:tc>
          <w:tcPr>
            <w:tcW w:type="dxa" w:w="2300"/>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Plan actuel</w:t>
            </w:r>
          </w:p>
        </w:tc>
        <w:tc>
          <w:tcPr>
            <w:tcW w:type="dxa" w:w="2506"/>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Tarif</w:t>
            </w:r>
          </w:p>
        </w:tc>
      </w:tr>
      <w:tr>
        <w:tc>
          <w:tcPr>
            <w:tcW w:type="dxa" w:w="22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0B6650"/>
                <w:sz w:val="22"/>
                <w:szCs w:val="22"/>
              </w:rPr>
              <w:t xml:space="preserve">ElevenLabs TTS</w:t>
            </w:r>
          </w:p>
        </w:tc>
        <w:tc>
          <w:tcPr>
            <w:tcW w:type="dxa" w:w="2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Voix Matilda — salutation, feedback glycémie, résultats repas</w:t>
            </w:r>
          </w:p>
        </w:tc>
        <w:tc>
          <w:tcPr>
            <w:tcW w:type="dxa" w:w="23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Creator / Pro</w:t>
            </w:r>
          </w:p>
        </w:tc>
        <w:tc>
          <w:tcPr>
            <w:tcW w:type="dxa" w:w="25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$0,18–0,30 / 1 000 chars</w:t>
            </w:r>
          </w:p>
        </w:tc>
      </w:tr>
      <w:tr>
        <w:tc>
          <w:tcPr>
            <w:tcW w:type="dxa" w:w="22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D3A6E"/>
                <w:sz w:val="22"/>
                <w:szCs w:val="22"/>
              </w:rPr>
              <w:t xml:space="preserve">OpenAI GPT-4o</w:t>
            </w:r>
          </w:p>
        </w:tc>
        <w:tc>
          <w:tcPr>
            <w:tcW w:type="dxa" w:w="2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Analyse photo repas (Vision), analyse vocale repas, scan médicament</w:t>
            </w:r>
          </w:p>
        </w:tc>
        <w:tc>
          <w:tcPr>
            <w:tcW w:type="dxa" w:w="23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Pay-as-you-go</w:t>
            </w:r>
          </w:p>
        </w:tc>
        <w:tc>
          <w:tcPr>
            <w:tcW w:type="dxa" w:w="25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$2,50 / 1M tokens input
$10 / 1M tokens output</w:t>
            </w:r>
          </w:p>
        </w:tc>
      </w:tr>
      <w:tr>
        <w:tc>
          <w:tcPr>
            <w:tcW w:type="dxa" w:w="22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C05E00"/>
                <w:sz w:val="22"/>
                <w:szCs w:val="22"/>
              </w:rPr>
              <w:t xml:space="preserve">SMS (OTP Auth)</w:t>
            </w:r>
          </w:p>
        </w:tc>
        <w:tc>
          <w:tcPr>
            <w:tcW w:type="dxa" w:w="2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Code de vérification à la connexion (sécurité sans mot de passe)</w:t>
            </w:r>
          </w:p>
        </w:tc>
        <w:tc>
          <w:tcPr>
            <w:tcW w:type="dxa" w:w="23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Pay-as-you-go</w:t>
            </w:r>
          </w:p>
        </w:tc>
        <w:tc>
          <w:tcPr>
            <w:tcW w:type="dxa" w:w="25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±€0,07 / SMS Belgique</w:t>
            </w:r>
          </w:p>
        </w:tc>
      </w:tr>
      <w:tr>
        <w:tc>
          <w:tcPr>
            <w:tcW w:type="dxa" w:w="22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1E1E"/>
                <w:sz w:val="22"/>
                <w:szCs w:val="22"/>
              </w:rPr>
              <w:t xml:space="preserve">Vercel + Redis</w:t>
            </w:r>
          </w:p>
        </w:tc>
        <w:tc>
          <w:tcPr>
            <w:tcW w:type="dxa" w:w="2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Hébergement serverless + base de données utilisateurs</w:t>
            </w:r>
          </w:p>
        </w:tc>
        <w:tc>
          <w:tcPr>
            <w:tcW w:type="dxa" w:w="23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Pro + Upstash</w:t>
            </w:r>
          </w:p>
        </w:tc>
        <w:tc>
          <w:tcPr>
            <w:tcW w:type="dxa" w:w="25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$20 fixe + usage</w:t>
            </w:r>
          </w:p>
        </w:tc>
      </w:tr>
    </w:tbl>
    <w:p>
      <w:r>
        <w:t xml:space="preserve"/>
      </w:r>
    </w:p>
    <w:p>
      <w:pPr>
        <w:pStyle w:val="Heading1"/>
        <w:pBdr>
          <w:bottom w:val="single" w:color="0B6650" w:sz="4" w:space="6"/>
        </w:pBdr>
        <w:spacing w:after="200" w:before="400"/>
      </w:pPr>
      <w:r>
        <w:rPr>
          <w:rFonts w:ascii="Arial" w:cs="Arial" w:eastAsia="Arial" w:hAnsi="Arial"/>
          <w:b/>
          <w:bCs/>
          <w:color w:val="1D3A6E"/>
          <w:sz w:val="32"/>
          <w:szCs w:val="32"/>
        </w:rPr>
        <w:t xml:space="preserve">2. Investissement Développement</w:t>
      </w:r>
    </w:p>
    <w:p>
      <w:pPr>
        <w:pStyle w:val="Heading2"/>
        <w:spacing w:after="140" w:before="280"/>
      </w:pPr>
      <w:r>
        <w:rPr>
          <w:rFonts w:ascii="Arial" w:cs="Arial" w:eastAsia="Arial" w:hAnsi="Arial"/>
          <w:b/>
          <w:bCs/>
          <w:color w:val="0B6650"/>
          <w:sz w:val="26"/>
          <w:szCs w:val="26"/>
        </w:rPr>
        <w:t xml:space="preserve">2.1 Valeur marché — développement classique</w:t>
      </w:r>
    </w:p>
    <w:p>
      <w:pPr>
        <w:spacing w:after="100" w:before="60"/>
      </w:pPr>
      <w:r>
        <w:rPr>
          <w:rFonts w:ascii="Arial" w:cs="Arial" w:eastAsia="Arial" w:hAnsi="Arial"/>
          <w:color w:val="1E1E1E"/>
          <w:sz w:val="22"/>
          <w:szCs w:val="22"/>
        </w:rPr>
        <w:t xml:space="preserve">Si ce projet avait été développé par une équipe externe, le coût estimé serait :</w:t>
      </w:r>
    </w:p>
    <w:p>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800"/>
        <w:gridCol w:w="2106"/>
      </w:tblGrid>
      <w:tr>
        <w:trPr>
          <w:tblHeader/>
        </w:trPr>
        <w:tc>
          <w:tcPr>
            <w:tcW w:type="dxa" w:w="3800"/>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Poste</w:t>
            </w:r>
          </w:p>
        </w:tc>
        <w:tc>
          <w:tcPr>
            <w:tcW w:type="dxa" w:w="1800"/>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Jours estimés</w:t>
            </w:r>
          </w:p>
        </w:tc>
        <w:tc>
          <w:tcPr>
            <w:tcW w:type="dxa" w:w="1800"/>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Taux (€/j)</w:t>
            </w:r>
          </w:p>
        </w:tc>
        <w:tc>
          <w:tcPr>
            <w:tcW w:type="dxa" w:w="2106"/>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Coût estimé</w:t>
            </w:r>
          </w:p>
        </w:tc>
      </w:tr>
      <w:tr>
        <w:tc>
          <w:tcPr>
            <w:tcW w:type="dxa" w:w="3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Frontend PWA (HTML/CSS/JS, iOS Safari, SW, offline)</w:t>
            </w:r>
          </w:p>
        </w:tc>
        <w:tc>
          <w:tcPr>
            <w:tcW w:type="dxa" w:w="1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15 j</w:t>
            </w:r>
          </w:p>
        </w:tc>
        <w:tc>
          <w:tcPr>
            <w:tcW w:type="dxa" w:w="1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€800</w:t>
            </w:r>
          </w:p>
        </w:tc>
        <w:tc>
          <w:tcPr>
            <w:tcW w:type="dxa" w:w="21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bCs/>
                <w:color w:val="1E1E1E"/>
                <w:sz w:val="22"/>
                <w:szCs w:val="22"/>
              </w:rPr>
              <w:t xml:space="preserve">€12 000</w:t>
            </w:r>
          </w:p>
        </w:tc>
      </w:tr>
      <w:tr>
        <w:tc>
          <w:tcPr>
            <w:tcW w:type="dxa" w:w="3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Backend Vercel (8 routes serverless, auth SMS, sync)</w:t>
            </w:r>
          </w:p>
        </w:tc>
        <w:tc>
          <w:tcPr>
            <w:tcW w:type="dxa" w:w="1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10 j</w:t>
            </w:r>
          </w:p>
        </w:tc>
        <w:tc>
          <w:tcPr>
            <w:tcW w:type="dxa" w:w="1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€800</w:t>
            </w:r>
          </w:p>
        </w:tc>
        <w:tc>
          <w:tcPr>
            <w:tcW w:type="dxa" w:w="21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bCs/>
                <w:color w:val="1E1E1E"/>
                <w:sz w:val="22"/>
                <w:szCs w:val="22"/>
              </w:rPr>
              <w:t xml:space="preserve">€8 000</w:t>
            </w:r>
          </w:p>
        </w:tc>
      </w:tr>
      <w:tr>
        <w:tc>
          <w:tcPr>
            <w:tcW w:type="dxa" w:w="3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Design UX/UI senior-friendly (accessibilité, tests)</w:t>
            </w:r>
          </w:p>
        </w:tc>
        <w:tc>
          <w:tcPr>
            <w:tcW w:type="dxa" w:w="1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5 j</w:t>
            </w:r>
          </w:p>
        </w:tc>
        <w:tc>
          <w:tcPr>
            <w:tcW w:type="dxa" w:w="1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€800</w:t>
            </w:r>
          </w:p>
        </w:tc>
        <w:tc>
          <w:tcPr>
            <w:tcW w:type="dxa" w:w="21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bCs/>
                <w:color w:val="1E1E1E"/>
                <w:sz w:val="22"/>
                <w:szCs w:val="22"/>
              </w:rPr>
              <w:t xml:space="preserve">€4 000</w:t>
            </w:r>
          </w:p>
        </w:tc>
      </w:tr>
      <w:tr>
        <w:tc>
          <w:tcPr>
            <w:tcW w:type="dxa" w:w="3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Intégrations API (ElevenLabs, OpenAI, SMS, Redis)</w:t>
            </w:r>
          </w:p>
        </w:tc>
        <w:tc>
          <w:tcPr>
            <w:tcW w:type="dxa" w:w="1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5 j</w:t>
            </w:r>
          </w:p>
        </w:tc>
        <w:tc>
          <w:tcPr>
            <w:tcW w:type="dxa" w:w="1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€800</w:t>
            </w:r>
          </w:p>
        </w:tc>
        <w:tc>
          <w:tcPr>
            <w:tcW w:type="dxa" w:w="21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bCs/>
                <w:color w:val="1E1E1E"/>
                <w:sz w:val="22"/>
                <w:szCs w:val="22"/>
              </w:rPr>
              <w:t xml:space="preserve">€4 000</w:t>
            </w:r>
          </w:p>
        </w:tc>
      </w:tr>
      <w:tr>
        <w:tc>
          <w:tcPr>
            <w:tcW w:type="dxa" w:w="3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Tests, déploiement, sécurité, audits</w:t>
            </w:r>
          </w:p>
        </w:tc>
        <w:tc>
          <w:tcPr>
            <w:tcW w:type="dxa" w:w="1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5 j</w:t>
            </w:r>
          </w:p>
        </w:tc>
        <w:tc>
          <w:tcPr>
            <w:tcW w:type="dxa" w:w="1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€800</w:t>
            </w:r>
          </w:p>
        </w:tc>
        <w:tc>
          <w:tcPr>
            <w:tcW w:type="dxa" w:w="21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bCs/>
                <w:color w:val="1E1E1E"/>
                <w:sz w:val="22"/>
                <w:szCs w:val="22"/>
              </w:rPr>
              <w:t xml:space="preserve">€4 000</w:t>
            </w:r>
          </w:p>
        </w:tc>
      </w:tr>
      <w:tr>
        <w:tc>
          <w:tcPr>
            <w:tcW w:type="dxa" w:w="3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1E1E"/>
                <w:sz w:val="22"/>
                <w:szCs w:val="22"/>
              </w:rPr>
              <w:t xml:space="preserve">TOTAL développement classique</w:t>
            </w:r>
          </w:p>
        </w:tc>
        <w:tc>
          <w:tcPr>
            <w:tcW w:type="dxa" w:w="1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E1E1E"/>
                <w:sz w:val="22"/>
                <w:szCs w:val="22"/>
              </w:rPr>
              <w:t xml:space="preserve">40 j</w:t>
            </w:r>
          </w:p>
        </w:tc>
        <w:tc>
          <w:tcPr>
            <w:tcW w:type="dxa" w:w="1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
            </w:r>
          </w:p>
        </w:tc>
        <w:tc>
          <w:tcPr>
            <w:tcW w:type="dxa" w:w="21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bCs/>
                <w:color w:val="C0392B"/>
                <w:sz w:val="22"/>
                <w:szCs w:val="22"/>
              </w:rPr>
              <w:t xml:space="preserve">€32 000</w:t>
            </w:r>
          </w:p>
        </w:tc>
      </w:tr>
    </w:tbl>
    <w:p>
      <w:r>
        <w:t xml:space="preserve"/>
      </w:r>
    </w:p>
    <w:p>
      <w:pPr>
        <w:pStyle w:val="Heading2"/>
        <w:spacing w:after="140" w:before="280"/>
      </w:pPr>
      <w:r>
        <w:rPr>
          <w:rFonts w:ascii="Arial" w:cs="Arial" w:eastAsia="Arial" w:hAnsi="Arial"/>
          <w:b/>
          <w:bCs/>
          <w:color w:val="0B6650"/>
          <w:sz w:val="26"/>
          <w:szCs w:val="26"/>
        </w:rPr>
        <w:t xml:space="preserve">2.2 Coût réel — développement assisté par IA (Claude)</w:t>
      </w:r>
    </w:p>
    <w:p>
      <w:pPr>
        <w:spacing w:after="100" w:before="60"/>
      </w:pPr>
      <w:r>
        <w:rPr>
          <w:rFonts w:ascii="Arial" w:cs="Arial" w:eastAsia="Arial" w:hAnsi="Arial"/>
          <w:color w:val="1E1E1E"/>
          <w:sz w:val="22"/>
          <w:szCs w:val="22"/>
        </w:rPr>
        <w:t xml:space="preserve">Grâce à l'assistance IA (Claude Cowork), le développement a été réalisé avec un facteur d'accélération ×8 à ×10 :</w:t>
      </w:r>
    </w:p>
    <w:p>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506"/>
      </w:tblGrid>
      <w:tr>
        <w:trPr>
          <w:tblHeader/>
        </w:trPr>
        <w:tc>
          <w:tcPr>
            <w:tcW w:type="dxa" w:w="4500"/>
            <w:tcBorders>
              <w:top w:val="single" w:color="D0D5DD" w:sz="1"/>
              <w:left w:val="single" w:color="D0D5DD" w:sz="1"/>
              <w:bottom w:val="single" w:color="D0D5DD" w:sz="1"/>
              <w:right w:val="single" w:color="D0D5DD" w:sz="1"/>
            </w:tcBorders>
            <w:shd w:fill="0B6650"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Poste</w:t>
            </w:r>
          </w:p>
        </w:tc>
        <w:tc>
          <w:tcPr>
            <w:tcW w:type="dxa" w:w="2500"/>
            <w:tcBorders>
              <w:top w:val="single" w:color="D0D5DD" w:sz="1"/>
              <w:left w:val="single" w:color="D0D5DD" w:sz="1"/>
              <w:bottom w:val="single" w:color="D0D5DD" w:sz="1"/>
              <w:right w:val="single" w:color="D0D5DD" w:sz="1"/>
            </w:tcBorders>
            <w:shd w:fill="0B6650"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Détail</w:t>
            </w:r>
          </w:p>
        </w:tc>
        <w:tc>
          <w:tcPr>
            <w:tcW w:type="dxa" w:w="2506"/>
            <w:tcBorders>
              <w:top w:val="single" w:color="D0D5DD" w:sz="1"/>
              <w:left w:val="single" w:color="D0D5DD" w:sz="1"/>
              <w:bottom w:val="single" w:color="D0D5DD" w:sz="1"/>
              <w:right w:val="single" w:color="D0D5DD" w:sz="1"/>
            </w:tcBorders>
            <w:shd w:fill="0B6650"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Coût</w:t>
            </w:r>
          </w:p>
        </w:tc>
      </w:tr>
      <w:tr>
        <w:tc>
          <w:tcPr>
            <w:tcW w:type="dxa" w:w="4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Supervision &amp; validation (développeur senior)</w:t>
            </w:r>
          </w:p>
        </w:tc>
        <w:tc>
          <w:tcPr>
            <w:tcW w:type="dxa" w:w="2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~40h × €150/h</w:t>
            </w:r>
          </w:p>
        </w:tc>
        <w:tc>
          <w:tcPr>
            <w:tcW w:type="dxa" w:w="25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bCs/>
                <w:color w:val="1E1E1E"/>
                <w:sz w:val="22"/>
                <w:szCs w:val="22"/>
              </w:rPr>
              <w:t xml:space="preserve">€6 000</w:t>
            </w:r>
          </w:p>
        </w:tc>
      </w:tr>
      <w:tr>
        <w:tc>
          <w:tcPr>
            <w:tcW w:type="dxa" w:w="4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Abonnement Claude Pro (3 mois)</w:t>
            </w:r>
          </w:p>
        </w:tc>
        <w:tc>
          <w:tcPr>
            <w:tcW w:type="dxa" w:w="2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€20/mois × 3</w:t>
            </w:r>
          </w:p>
        </w:tc>
        <w:tc>
          <w:tcPr>
            <w:tcW w:type="dxa" w:w="25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bCs/>
                <w:color w:val="1E1E1E"/>
                <w:sz w:val="22"/>
                <w:szCs w:val="22"/>
              </w:rPr>
              <w:t xml:space="preserve">€60</w:t>
            </w:r>
          </w:p>
        </w:tc>
      </w:tr>
      <w:tr>
        <w:tc>
          <w:tcPr>
            <w:tcW w:type="dxa" w:w="4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Outils &amp; domaine (Vercel, Redis setup)</w:t>
            </w:r>
          </w:p>
        </w:tc>
        <w:tc>
          <w:tcPr>
            <w:tcW w:type="dxa" w:w="2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Frais initiaux</w:t>
            </w:r>
          </w:p>
        </w:tc>
        <w:tc>
          <w:tcPr>
            <w:tcW w:type="dxa" w:w="25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bCs/>
                <w:color w:val="1E1E1E"/>
                <w:sz w:val="22"/>
                <w:szCs w:val="22"/>
              </w:rPr>
              <w:t xml:space="preserve">€200</w:t>
            </w:r>
          </w:p>
        </w:tc>
      </w:tr>
      <w:tr>
        <w:tc>
          <w:tcPr>
            <w:tcW w:type="dxa" w:w="4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1E1E"/>
                <w:sz w:val="22"/>
                <w:szCs w:val="22"/>
              </w:rPr>
              <w:t xml:space="preserve">COÛT RÉEL DE DÉVELOPPEMENT</w:t>
            </w:r>
          </w:p>
        </w:tc>
        <w:tc>
          <w:tcPr>
            <w:tcW w:type="dxa" w:w="2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0B6650"/>
                <w:sz w:val="22"/>
                <w:szCs w:val="22"/>
              </w:rPr>
              <w:t xml:space="preserve">Économie : 81 %</w:t>
            </w:r>
          </w:p>
        </w:tc>
        <w:tc>
          <w:tcPr>
            <w:tcW w:type="dxa" w:w="25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bCs/>
                <w:color w:val="0B6650"/>
                <w:sz w:val="22"/>
                <w:szCs w:val="22"/>
              </w:rPr>
              <w:t xml:space="preserve">€6 260</w:t>
            </w:r>
          </w:p>
        </w:tc>
      </w:tr>
    </w:tbl>
    <w:p>
      <w:r>
        <w:t xml:space="preserve"/>
      </w:r>
    </w:p>
    <w:p>
      <w:pPr>
        <w:spacing w:after="60" w:before="40"/>
        <w:ind w:left="360"/>
      </w:pPr>
      <w:r>
        <w:rPr>
          <w:rFonts w:ascii="Arial" w:cs="Arial" w:eastAsia="Arial" w:hAnsi="Arial"/>
          <w:i/>
          <w:iCs/>
          <w:color w:val="6B7280"/>
          <w:sz w:val="20"/>
          <w:szCs w:val="20"/>
        </w:rPr>
        <w:t xml:space="preserve">→  Valeur technologique créée : €32 000 — Investissement réel : €6 260 — Plus-value immédiate : €25 740</w:t>
      </w:r>
    </w:p>
    <w:p>
      <w:r>
        <w:br w:type="page"/>
      </w:r>
    </w:p>
    <w:p>
      <w:pPr>
        <w:pStyle w:val="Heading1"/>
        <w:pBdr>
          <w:bottom w:val="single" w:color="0B6650" w:sz="4" w:space="6"/>
        </w:pBdr>
        <w:spacing w:after="200" w:before="400"/>
      </w:pPr>
      <w:r>
        <w:rPr>
          <w:rFonts w:ascii="Arial" w:cs="Arial" w:eastAsia="Arial" w:hAnsi="Arial"/>
          <w:b/>
          <w:bCs/>
          <w:color w:val="1D3A6E"/>
          <w:sz w:val="32"/>
          <w:szCs w:val="32"/>
        </w:rPr>
        <w:t xml:space="preserve">3. Coûts Variables à l'Usage (par utilisateur/mois)</w:t>
      </w:r>
    </w:p>
    <w:p>
      <w:pPr>
        <w:pStyle w:val="Heading2"/>
        <w:spacing w:after="140" w:before="280"/>
      </w:pPr>
      <w:r>
        <w:rPr>
          <w:rFonts w:ascii="Arial" w:cs="Arial" w:eastAsia="Arial" w:hAnsi="Arial"/>
          <w:b/>
          <w:bCs/>
          <w:color w:val="0B6650"/>
          <w:sz w:val="26"/>
          <w:szCs w:val="26"/>
        </w:rPr>
        <w:t xml:space="preserve">3.1 Hypothèses de consommation (utilisateur type)</w:t>
      </w:r>
    </w:p>
    <w:p>
      <w:pPr>
        <w:spacing w:after="100" w:before="60"/>
      </w:pPr>
      <w:r>
        <w:rPr>
          <w:rFonts w:ascii="Arial" w:cs="Arial" w:eastAsia="Arial" w:hAnsi="Arial"/>
          <w:color w:val="1E1E1E"/>
          <w:sz w:val="22"/>
          <w:szCs w:val="22"/>
        </w:rPr>
        <w:t xml:space="preserve">Profil : senior diabétique, usage quotidien modéré.</w:t>
      </w:r>
    </w:p>
    <w:p>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00"/>
        <w:gridCol w:w="3006"/>
      </w:tblGrid>
      <w:tr>
        <w:trPr>
          <w:tblHeader/>
        </w:trPr>
        <w:tc>
          <w:tcPr>
            <w:tcW w:type="dxa" w:w="3000"/>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Action</w:t>
            </w:r>
          </w:p>
        </w:tc>
        <w:tc>
          <w:tcPr>
            <w:tcW w:type="dxa" w:w="1500"/>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Fréquence/mois</w:t>
            </w:r>
          </w:p>
        </w:tc>
        <w:tc>
          <w:tcPr>
            <w:tcW w:type="dxa" w:w="2000"/>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Consommation</w:t>
            </w:r>
          </w:p>
        </w:tc>
        <w:tc>
          <w:tcPr>
            <w:tcW w:type="dxa" w:w="3006"/>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Note</w:t>
            </w:r>
          </w:p>
        </w:tc>
      </w:tr>
      <w:tr>
        <w:tc>
          <w:tcPr>
            <w:tcW w:type="dxa" w:w="3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Salutation vocale à l'ouverture</w:t>
            </w:r>
          </w:p>
        </w:tc>
        <w:tc>
          <w:tcPr>
            <w:tcW w:type="dxa" w:w="1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30×</w:t>
            </w:r>
          </w:p>
        </w:tc>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~300 chars/fois</w:t>
            </w:r>
          </w:p>
        </w:tc>
        <w:tc>
          <w:tcPr>
            <w:tcW w:type="dxa" w:w="30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9 000 chars/mois</w:t>
            </w:r>
          </w:p>
        </w:tc>
      </w:tr>
      <w:tr>
        <w:tc>
          <w:tcPr>
            <w:tcW w:type="dxa" w:w="3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Feedback glycémie (vocal)</w:t>
            </w:r>
          </w:p>
        </w:tc>
        <w:tc>
          <w:tcPr>
            <w:tcW w:type="dxa" w:w="1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30×</w:t>
            </w:r>
          </w:p>
        </w:tc>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~350 chars/fois</w:t>
            </w:r>
          </w:p>
        </w:tc>
        <w:tc>
          <w:tcPr>
            <w:tcW w:type="dxa" w:w="30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10 500 chars/mois</w:t>
            </w:r>
          </w:p>
        </w:tc>
      </w:tr>
      <w:tr>
        <w:tc>
          <w:tcPr>
            <w:tcW w:type="dxa" w:w="3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Conseil repas (vocal)</w:t>
            </w:r>
          </w:p>
        </w:tc>
        <w:tc>
          <w:tcPr>
            <w:tcW w:type="dxa" w:w="1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30×</w:t>
            </w:r>
          </w:p>
        </w:tc>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~400 chars/fois</w:t>
            </w:r>
          </w:p>
        </w:tc>
        <w:tc>
          <w:tcPr>
            <w:tcW w:type="dxa" w:w="30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12 000 chars/mois</w:t>
            </w:r>
          </w:p>
        </w:tc>
      </w:tr>
      <w:tr>
        <w:tc>
          <w:tcPr>
            <w:tcW w:type="dxa" w:w="3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Analyse photo repas (GPT-4o Vision)</w:t>
            </w:r>
          </w:p>
        </w:tc>
        <w:tc>
          <w:tcPr>
            <w:tcW w:type="dxa" w:w="1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20×</w:t>
            </w:r>
          </w:p>
        </w:tc>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~1 800 tokens/fois</w:t>
            </w:r>
          </w:p>
        </w:tc>
        <w:tc>
          <w:tcPr>
            <w:tcW w:type="dxa" w:w="30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36 000 tokens/mois</w:t>
            </w:r>
          </w:p>
        </w:tc>
      </w:tr>
      <w:tr>
        <w:tc>
          <w:tcPr>
            <w:tcW w:type="dxa" w:w="3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Analyse vocale repas (GPT-4o)</w:t>
            </w:r>
          </w:p>
        </w:tc>
        <w:tc>
          <w:tcPr>
            <w:tcW w:type="dxa" w:w="1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15×</w:t>
            </w:r>
          </w:p>
        </w:tc>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~500 tokens/fois</w:t>
            </w:r>
          </w:p>
        </w:tc>
        <w:tc>
          <w:tcPr>
            <w:tcW w:type="dxa" w:w="30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7 500 tokens/mois</w:t>
            </w:r>
          </w:p>
        </w:tc>
      </w:tr>
      <w:tr>
        <w:tc>
          <w:tcPr>
            <w:tcW w:type="dxa" w:w="3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Scan médicament (GPT-4o Vision)</w:t>
            </w:r>
          </w:p>
        </w:tc>
        <w:tc>
          <w:tcPr>
            <w:tcW w:type="dxa" w:w="1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3×</w:t>
            </w:r>
          </w:p>
        </w:tc>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~1 800 tokens/fois</w:t>
            </w:r>
          </w:p>
        </w:tc>
        <w:tc>
          <w:tcPr>
            <w:tcW w:type="dxa" w:w="30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5 400 tokens/mois</w:t>
            </w:r>
          </w:p>
        </w:tc>
      </w:tr>
      <w:tr>
        <w:tc>
          <w:tcPr>
            <w:tcW w:type="dxa" w:w="3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OTP SMS (ré-authentification)</w:t>
            </w:r>
          </w:p>
        </w:tc>
        <w:tc>
          <w:tcPr>
            <w:tcW w:type="dxa" w:w="1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1×</w:t>
            </w:r>
          </w:p>
        </w:tc>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1 SMS</w:t>
            </w:r>
          </w:p>
        </w:tc>
        <w:tc>
          <w:tcPr>
            <w:tcW w:type="dxa" w:w="30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1 SMS/mois</w:t>
            </w:r>
          </w:p>
        </w:tc>
      </w:tr>
    </w:tbl>
    <w:p>
      <w:r>
        <w:t xml:space="preserve"/>
      </w:r>
    </w:p>
    <w:p>
      <w:pPr>
        <w:pStyle w:val="Heading2"/>
        <w:spacing w:after="140" w:before="280"/>
      </w:pPr>
      <w:r>
        <w:rPr>
          <w:rFonts w:ascii="Arial" w:cs="Arial" w:eastAsia="Arial" w:hAnsi="Arial"/>
          <w:b/>
          <w:bCs/>
          <w:color w:val="0B6650"/>
          <w:sz w:val="26"/>
          <w:szCs w:val="26"/>
        </w:rPr>
        <w:t xml:space="preserve">3.2 Coût par utilisateur/mois — sans optimisation</w:t>
      </w:r>
    </w:p>
    <w:p>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706"/>
      </w:tblGrid>
      <w:tr>
        <w:trPr>
          <w:tblHeader/>
        </w:trPr>
        <w:tc>
          <w:tcPr>
            <w:tcW w:type="dxa" w:w="2800"/>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Service</w:t>
            </w:r>
          </w:p>
        </w:tc>
        <w:tc>
          <w:tcPr>
            <w:tcW w:type="dxa" w:w="2000"/>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Volume mensuel/user</w:t>
            </w:r>
          </w:p>
        </w:tc>
        <w:tc>
          <w:tcPr>
            <w:tcW w:type="dxa" w:w="2000"/>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Tarif unitaire</w:t>
            </w:r>
          </w:p>
        </w:tc>
        <w:tc>
          <w:tcPr>
            <w:tcW w:type="dxa" w:w="2706"/>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Coût/user/mois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0B6650"/>
                <w:sz w:val="22"/>
                <w:szCs w:val="22"/>
              </w:rPr>
              <w:t xml:space="preserve">ElevenLabs TTS</w:t>
            </w:r>
          </w:p>
        </w:tc>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31 500 chars</w:t>
            </w:r>
          </w:p>
        </w:tc>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$0,24 / 1k chars</w:t>
            </w:r>
          </w:p>
        </w:tc>
        <w:tc>
          <w:tcPr>
            <w:tcW w:type="dxa" w:w="27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bCs/>
                <w:color w:val="C0392B"/>
                <w:sz w:val="22"/>
                <w:szCs w:val="22"/>
              </w:rPr>
              <w:t xml:space="preserve">$7,56</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OpenAI GPT-4o (input)</w:t>
            </w:r>
          </w:p>
        </w:tc>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48 900 tokens</w:t>
            </w:r>
          </w:p>
        </w:tc>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$2,50 / 1M tokens</w:t>
            </w:r>
          </w:p>
        </w:tc>
        <w:tc>
          <w:tcPr>
            <w:tcW w:type="dxa" w:w="27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E1E1E"/>
                <w:sz w:val="22"/>
                <w:szCs w:val="22"/>
              </w:rPr>
              <w:t xml:space="preserve">$0,12</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OpenAI GPT-4o (output)</w:t>
            </w:r>
          </w:p>
        </w:tc>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~12 000 tokens</w:t>
            </w:r>
          </w:p>
        </w:tc>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$10 / 1M tokens</w:t>
            </w:r>
          </w:p>
        </w:tc>
        <w:tc>
          <w:tcPr>
            <w:tcW w:type="dxa" w:w="27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E1E1E"/>
                <w:sz w:val="22"/>
                <w:szCs w:val="22"/>
              </w:rPr>
              <w:t xml:space="preserve">$0,12</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SMS OTP (Twilio/Vonage)</w:t>
            </w:r>
          </w:p>
        </w:tc>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1 SMS</w:t>
            </w:r>
          </w:p>
        </w:tc>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€0,07 / SMS</w:t>
            </w:r>
          </w:p>
        </w:tc>
        <w:tc>
          <w:tcPr>
            <w:tcW w:type="dxa" w:w="27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E1E1E"/>
                <w:sz w:val="22"/>
                <w:szCs w:val="22"/>
              </w:rPr>
              <w:t xml:space="preserve">$0,07</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Vercel + Redis (quote-part)</w:t>
            </w:r>
          </w:p>
        </w:tc>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~600 req + ~1 500 cmds</w:t>
            </w:r>
          </w:p>
        </w:tc>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Forfait $20/mois</w:t>
            </w:r>
          </w:p>
        </w:tc>
        <w:tc>
          <w:tcPr>
            <w:tcW w:type="dxa" w:w="27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E1E1E"/>
                <w:sz w:val="22"/>
                <w:szCs w:val="22"/>
              </w:rPr>
              <w:t xml:space="preserve">$0,02</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1E1E"/>
                <w:sz w:val="22"/>
                <w:szCs w:val="22"/>
              </w:rPr>
              <w:t xml:space="preserve">TOTAL SANS OPTIMISATION</w:t>
            </w:r>
          </w:p>
        </w:tc>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
            </w:r>
          </w:p>
        </w:tc>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
            </w:r>
          </w:p>
        </w:tc>
        <w:tc>
          <w:tcPr>
            <w:tcW w:type="dxa" w:w="27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bCs/>
                <w:color w:val="C0392B"/>
                <w:sz w:val="22"/>
                <w:szCs w:val="22"/>
              </w:rPr>
              <w:t xml:space="preserve">≈ $7,89 / user / mois</w:t>
            </w:r>
          </w:p>
        </w:tc>
      </w:tr>
    </w:tbl>
    <w:p>
      <w:r>
        <w:t xml:space="preserve"/>
      </w:r>
    </w:p>
    <w:p>
      <w:pPr>
        <w:pStyle w:val="Heading2"/>
        <w:spacing w:after="140" w:before="280"/>
      </w:pPr>
      <w:r>
        <w:rPr>
          <w:rFonts w:ascii="Arial" w:cs="Arial" w:eastAsia="Arial" w:hAnsi="Arial"/>
          <w:b/>
          <w:bCs/>
          <w:color w:val="0B6650"/>
          <w:sz w:val="26"/>
          <w:szCs w:val="26"/>
        </w:rPr>
        <w:t xml:space="preserve">3.3 Coût par utilisateur/mois — avec optimisation TTS</w:t>
      </w:r>
    </w:p>
    <w:p>
      <w:pPr>
        <w:spacing w:after="100" w:before="60"/>
      </w:pPr>
      <w:r>
        <w:rPr>
          <w:rFonts w:ascii="Arial" w:cs="Arial" w:eastAsia="Arial" w:hAnsi="Arial"/>
          <w:color w:val="1E1E1E"/>
          <w:sz w:val="22"/>
          <w:szCs w:val="22"/>
        </w:rPr>
        <w:t xml:space="preserve">Le TTS est le principal poste de coût (96 %). Trois leviers permettent de le réduire significativement :</w:t>
      </w:r>
    </w:p>
    <w:p>
      <w:pPr>
        <w:pStyle w:val="ListParagraph"/>
        <w:numPr>
          <w:ilvl w:val="0"/>
          <w:numId w:val="2"/>
        </w:numPr>
        <w:spacing w:after="40" w:before="40"/>
      </w:pPr>
      <w:r>
        <w:rPr>
          <w:rFonts w:ascii="Arial" w:cs="Arial" w:eastAsia="Arial" w:hAnsi="Arial"/>
          <w:b w:val="false"/>
          <w:bCs w:val="false"/>
          <w:color w:val="1E1E1E"/>
          <w:sz w:val="22"/>
          <w:szCs w:val="22"/>
        </w:rPr>
        <w:t xml:space="preserve">Cache audio serveur : même texte = même fichier audio servi en cache (les 4 niveaux glycémie × 3 plages horaires = 12 audios pré-générés)</w:t>
      </w:r>
    </w:p>
    <w:p>
      <w:pPr>
        <w:pStyle w:val="ListParagraph"/>
        <w:numPr>
          <w:ilvl w:val="0"/>
          <w:numId w:val="2"/>
        </w:numPr>
        <w:spacing w:after="40" w:before="40"/>
      </w:pPr>
      <w:r>
        <w:rPr>
          <w:rFonts w:ascii="Arial" w:cs="Arial" w:eastAsia="Arial" w:hAnsi="Arial"/>
          <w:b w:val="false"/>
          <w:bCs w:val="false"/>
          <w:color w:val="1E1E1E"/>
          <w:sz w:val="22"/>
          <w:szCs w:val="22"/>
        </w:rPr>
        <w:t xml:space="preserve">Modèle Flash v2 ElevenLabs ($0,11/1k chars au lieu de $0,24) pour les textes courts</w:t>
      </w:r>
    </w:p>
    <w:p>
      <w:pPr>
        <w:pStyle w:val="ListParagraph"/>
        <w:numPr>
          <w:ilvl w:val="0"/>
          <w:numId w:val="2"/>
        </w:numPr>
        <w:spacing w:after="40" w:before="40"/>
      </w:pPr>
      <w:r>
        <w:rPr>
          <w:rFonts w:ascii="Arial" w:cs="Arial" w:eastAsia="Arial" w:hAnsi="Arial"/>
          <w:b w:val="false"/>
          <w:bCs w:val="false"/>
          <w:color w:val="1E1E1E"/>
          <w:sz w:val="22"/>
          <w:szCs w:val="22"/>
        </w:rPr>
        <w:t xml:space="preserve">OpenAI TTS ($0,015/1k chars) en fallback si quota ElevenLabs dépassé</w:t>
      </w:r>
    </w:p>
    <w:p>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506"/>
      </w:tblGrid>
      <w:tr>
        <w:trPr>
          <w:tblHeader/>
        </w:trPr>
        <w:tc>
          <w:tcPr>
            <w:tcW w:type="dxa" w:w="3500"/>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Scénario</w:t>
            </w:r>
          </w:p>
        </w:tc>
        <w:tc>
          <w:tcPr>
            <w:tcW w:type="dxa" w:w="2500"/>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Coût TTS/user/mois</w:t>
            </w:r>
          </w:p>
        </w:tc>
        <w:tc>
          <w:tcPr>
            <w:tcW w:type="dxa" w:w="3506"/>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Coût TOTAL/user/mois</w:t>
            </w:r>
          </w:p>
        </w:tc>
      </w:tr>
      <w:tr>
        <w:tc>
          <w:tcPr>
            <w:tcW w:type="dxa" w:w="3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Sans optimisation (actuel)</w:t>
            </w:r>
          </w:p>
        </w:tc>
        <w:tc>
          <w:tcPr>
            <w:tcW w:type="dxa" w:w="2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C0392B"/>
                <w:sz w:val="22"/>
                <w:szCs w:val="22"/>
              </w:rPr>
              <w:t xml:space="preserve">$7,56</w:t>
            </w:r>
          </w:p>
        </w:tc>
        <w:tc>
          <w:tcPr>
            <w:tcW w:type="dxa" w:w="35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C0392B"/>
                <w:sz w:val="22"/>
                <w:szCs w:val="22"/>
              </w:rPr>
              <w:t xml:space="preserve">≈ $7,89</w:t>
            </w:r>
          </w:p>
        </w:tc>
      </w:tr>
      <w:tr>
        <w:tc>
          <w:tcPr>
            <w:tcW w:type="dxa" w:w="3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Cache 40 % + modèle Flash</w:t>
            </w:r>
          </w:p>
        </w:tc>
        <w:tc>
          <w:tcPr>
            <w:tcW w:type="dxa" w:w="2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C05E00"/>
                <w:sz w:val="22"/>
                <w:szCs w:val="22"/>
              </w:rPr>
              <w:t xml:space="preserve">$2,72</w:t>
            </w:r>
          </w:p>
        </w:tc>
        <w:tc>
          <w:tcPr>
            <w:tcW w:type="dxa" w:w="35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C05E00"/>
                <w:sz w:val="22"/>
                <w:szCs w:val="22"/>
              </w:rPr>
              <w:t xml:space="preserve">≈ $3,05</w:t>
            </w:r>
          </w:p>
        </w:tc>
      </w:tr>
      <w:tr>
        <w:tc>
          <w:tcPr>
            <w:tcW w:type="dxa" w:w="3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Cache 60 % + Flash + limites usage</w:t>
            </w:r>
          </w:p>
        </w:tc>
        <w:tc>
          <w:tcPr>
            <w:tcW w:type="dxa" w:w="2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0B6650"/>
                <w:sz w:val="22"/>
                <w:szCs w:val="22"/>
              </w:rPr>
              <w:t xml:space="preserve">$1,68</w:t>
            </w:r>
          </w:p>
        </w:tc>
        <w:tc>
          <w:tcPr>
            <w:tcW w:type="dxa" w:w="35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0B6650"/>
                <w:sz w:val="22"/>
                <w:szCs w:val="22"/>
              </w:rPr>
              <w:t xml:space="preserve">≈ $2,01</w:t>
            </w:r>
          </w:p>
        </w:tc>
      </w:tr>
    </w:tbl>
    <w:p>
      <w:r>
        <w:t xml:space="preserve"/>
      </w:r>
    </w:p>
    <w:p>
      <w:pPr>
        <w:spacing w:after="60" w:before="40"/>
        <w:ind w:left="360"/>
      </w:pPr>
      <w:r>
        <w:rPr>
          <w:rFonts w:ascii="Arial" w:cs="Arial" w:eastAsia="Arial" w:hAnsi="Arial"/>
          <w:i/>
          <w:iCs/>
          <w:color w:val="6B7280"/>
          <w:sz w:val="20"/>
          <w:szCs w:val="20"/>
        </w:rPr>
        <w:t xml:space="preserve">→  Recommandation : implémenter le cache TTS en priorité absolue. ROI immédiat et sans impact sur l'expérience utilisateur.</w:t>
      </w:r>
    </w:p>
    <w:p>
      <w:r>
        <w:br w:type="page"/>
      </w:r>
    </w:p>
    <w:p>
      <w:pPr>
        <w:pStyle w:val="Heading1"/>
        <w:pBdr>
          <w:bottom w:val="single" w:color="0B6650" w:sz="4" w:space="6"/>
        </w:pBdr>
        <w:spacing w:after="200" w:before="400"/>
      </w:pPr>
      <w:r>
        <w:rPr>
          <w:rFonts w:ascii="Arial" w:cs="Arial" w:eastAsia="Arial" w:hAnsi="Arial"/>
          <w:b/>
          <w:bCs/>
          <w:color w:val="1D3A6E"/>
          <w:sz w:val="32"/>
          <w:szCs w:val="32"/>
        </w:rPr>
        <w:t xml:space="preserve">4. Modèles de Tarification Recommandés</w:t>
      </w:r>
    </w:p>
    <w:p>
      <w:pPr>
        <w:pStyle w:val="Heading2"/>
        <w:spacing w:after="140" w:before="280"/>
      </w:pPr>
      <w:r>
        <w:rPr>
          <w:rFonts w:ascii="Arial" w:cs="Arial" w:eastAsia="Arial" w:hAnsi="Arial"/>
          <w:b/>
          <w:bCs/>
          <w:color w:val="0B6650"/>
          <w:sz w:val="26"/>
          <w:szCs w:val="26"/>
        </w:rPr>
        <w:t xml:space="preserve">4.1 B2C — Abonnement direct patient / aidant</w:t>
      </w:r>
    </w:p>
    <w:p>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506"/>
      </w:tblGrid>
      <w:tr>
        <w:trPr>
          <w:tblHeader/>
        </w:trPr>
        <w:tc>
          <w:tcPr>
            <w:tcW w:type="dxa" w:w="2000"/>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Plan</w:t>
            </w:r>
          </w:p>
        </w:tc>
        <w:tc>
          <w:tcPr>
            <w:tcW w:type="dxa" w:w="2000"/>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Prix</w:t>
            </w:r>
          </w:p>
        </w:tc>
        <w:tc>
          <w:tcPr>
            <w:tcW w:type="dxa" w:w="2000"/>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Coût revient</w:t>
            </w:r>
          </w:p>
        </w:tc>
        <w:tc>
          <w:tcPr>
            <w:tcW w:type="dxa" w:w="3506"/>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Marge brute</w:t>
            </w:r>
          </w:p>
        </w:tc>
      </w:tr>
      <w:tr>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Essai gratuit (7 jours)</w:t>
            </w:r>
          </w:p>
        </w:tc>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€0</w:t>
            </w:r>
          </w:p>
        </w:tc>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 €1,85</w:t>
            </w:r>
          </w:p>
        </w:tc>
        <w:tc>
          <w:tcPr>
            <w:tcW w:type="dxa" w:w="35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6B7280"/>
                <w:sz w:val="22"/>
                <w:szCs w:val="22"/>
              </w:rPr>
              <w:t xml:space="preserve">Acquisition client</w:t>
            </w:r>
          </w:p>
        </w:tc>
      </w:tr>
      <w:tr>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Mensuel</w:t>
            </w:r>
          </w:p>
        </w:tc>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1E1E"/>
                <w:sz w:val="22"/>
                <w:szCs w:val="22"/>
              </w:rPr>
              <w:t xml:space="preserve">€12,99 / mois</w:t>
            </w:r>
          </w:p>
        </w:tc>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 €7,89 → €3,05*</w:t>
            </w:r>
          </w:p>
        </w:tc>
        <w:tc>
          <w:tcPr>
            <w:tcW w:type="dxa" w:w="35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0B6650"/>
                <w:sz w:val="22"/>
                <w:szCs w:val="22"/>
              </w:rPr>
              <w:t xml:space="preserve">38 % → 76 %  (*avec optim.)</w:t>
            </w:r>
          </w:p>
        </w:tc>
      </w:tr>
      <w:tr>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Annuel (–23 %)</w:t>
            </w:r>
          </w:p>
        </w:tc>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1E1E"/>
                <w:sz w:val="22"/>
                <w:szCs w:val="22"/>
              </w:rPr>
              <w:t xml:space="preserve">€9,99 / mois (€119,88/an)</w:t>
            </w:r>
          </w:p>
        </w:tc>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 €3,05*</w:t>
            </w:r>
          </w:p>
        </w:tc>
        <w:tc>
          <w:tcPr>
            <w:tcW w:type="dxa" w:w="35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0B6650"/>
                <w:sz w:val="22"/>
                <w:szCs w:val="22"/>
              </w:rPr>
              <w:t xml:space="preserve">69 %  (*avec optim.)</w:t>
            </w:r>
          </w:p>
        </w:tc>
      </w:tr>
    </w:tbl>
    <w:p>
      <w:r>
        <w:t xml:space="preserve"/>
      </w:r>
    </w:p>
    <w:p>
      <w:pPr>
        <w:pStyle w:val="Heading2"/>
        <w:spacing w:after="140" w:before="280"/>
      </w:pPr>
      <w:r>
        <w:rPr>
          <w:rFonts w:ascii="Arial" w:cs="Arial" w:eastAsia="Arial" w:hAnsi="Arial"/>
          <w:b/>
          <w:bCs/>
          <w:color w:val="0B6650"/>
          <w:sz w:val="26"/>
          <w:szCs w:val="26"/>
        </w:rPr>
        <w:t xml:space="preserve">4.2 B2B — Institutions (maisons de repos, CPAS, mutuelles)</w:t>
      </w:r>
    </w:p>
    <w:p>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906"/>
      </w:tblGrid>
      <w:tr>
        <w:trPr>
          <w:tblHeader/>
        </w:trPr>
        <w:tc>
          <w:tcPr>
            <w:tcW w:type="dxa" w:w="2200"/>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Volume résidents</w:t>
            </w:r>
          </w:p>
        </w:tc>
        <w:tc>
          <w:tcPr>
            <w:tcW w:type="dxa" w:w="1800"/>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Prix / résident / mois</w:t>
            </w:r>
          </w:p>
        </w:tc>
        <w:tc>
          <w:tcPr>
            <w:tcW w:type="dxa" w:w="1800"/>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Coût revient</w:t>
            </w:r>
          </w:p>
        </w:tc>
        <w:tc>
          <w:tcPr>
            <w:tcW w:type="dxa" w:w="1800"/>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Marge brute</w:t>
            </w:r>
          </w:p>
        </w:tc>
        <w:tc>
          <w:tcPr>
            <w:tcW w:type="dxa" w:w="1906"/>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Revenu mensuel ex.</w:t>
            </w:r>
          </w:p>
        </w:tc>
      </w:tr>
      <w:tr>
        <w:tc>
          <w:tcPr>
            <w:tcW w:type="dxa" w:w="22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1–10</w:t>
            </w:r>
          </w:p>
        </w:tc>
        <w:tc>
          <w:tcPr>
            <w:tcW w:type="dxa" w:w="1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€10,99</w:t>
            </w:r>
          </w:p>
        </w:tc>
        <w:tc>
          <w:tcPr>
            <w:tcW w:type="dxa" w:w="1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 €3,05</w:t>
            </w:r>
          </w:p>
        </w:tc>
        <w:tc>
          <w:tcPr>
            <w:tcW w:type="dxa" w:w="1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B6650"/>
                <w:sz w:val="22"/>
                <w:szCs w:val="22"/>
              </w:rPr>
              <w:t xml:space="preserve">72 %</w:t>
            </w:r>
          </w:p>
        </w:tc>
        <w:tc>
          <w:tcPr>
            <w:tcW w:type="dxa" w:w="19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€110 (10 résid.)</w:t>
            </w:r>
          </w:p>
        </w:tc>
      </w:tr>
      <w:tr>
        <w:tc>
          <w:tcPr>
            <w:tcW w:type="dxa" w:w="22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11–50</w:t>
            </w:r>
          </w:p>
        </w:tc>
        <w:tc>
          <w:tcPr>
            <w:tcW w:type="dxa" w:w="1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€8,99</w:t>
            </w:r>
          </w:p>
        </w:tc>
        <w:tc>
          <w:tcPr>
            <w:tcW w:type="dxa" w:w="1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 €2,80</w:t>
            </w:r>
          </w:p>
        </w:tc>
        <w:tc>
          <w:tcPr>
            <w:tcW w:type="dxa" w:w="1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B6650"/>
                <w:sz w:val="22"/>
                <w:szCs w:val="22"/>
              </w:rPr>
              <w:t xml:space="preserve">69 %</w:t>
            </w:r>
          </w:p>
        </w:tc>
        <w:tc>
          <w:tcPr>
            <w:tcW w:type="dxa" w:w="19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€450 (50 résid.)</w:t>
            </w:r>
          </w:p>
        </w:tc>
      </w:tr>
      <w:tr>
        <w:tc>
          <w:tcPr>
            <w:tcW w:type="dxa" w:w="22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51–200</w:t>
            </w:r>
          </w:p>
        </w:tc>
        <w:tc>
          <w:tcPr>
            <w:tcW w:type="dxa" w:w="1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€6,99</w:t>
            </w:r>
          </w:p>
        </w:tc>
        <w:tc>
          <w:tcPr>
            <w:tcW w:type="dxa" w:w="1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 €2,50</w:t>
            </w:r>
          </w:p>
        </w:tc>
        <w:tc>
          <w:tcPr>
            <w:tcW w:type="dxa" w:w="1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B6650"/>
                <w:sz w:val="22"/>
                <w:szCs w:val="22"/>
              </w:rPr>
              <w:t xml:space="preserve">64 %</w:t>
            </w:r>
          </w:p>
        </w:tc>
        <w:tc>
          <w:tcPr>
            <w:tcW w:type="dxa" w:w="19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€1 399 (200 résid.)</w:t>
            </w:r>
          </w:p>
        </w:tc>
      </w:tr>
      <w:tr>
        <w:tc>
          <w:tcPr>
            <w:tcW w:type="dxa" w:w="22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200+ (enterprise)</w:t>
            </w:r>
          </w:p>
        </w:tc>
        <w:tc>
          <w:tcPr>
            <w:tcW w:type="dxa" w:w="1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Devis</w:t>
            </w:r>
          </w:p>
        </w:tc>
        <w:tc>
          <w:tcPr>
            <w:tcW w:type="dxa" w:w="1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 €2,00</w:t>
            </w:r>
          </w:p>
        </w:tc>
        <w:tc>
          <w:tcPr>
            <w:tcW w:type="dxa" w:w="1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B6650"/>
                <w:sz w:val="22"/>
                <w:szCs w:val="22"/>
              </w:rPr>
              <w:t xml:space="preserve">&gt;60 %</w:t>
            </w:r>
          </w:p>
        </w:tc>
        <w:tc>
          <w:tcPr>
            <w:tcW w:type="dxa" w:w="19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Sur mesure</w:t>
            </w:r>
          </w:p>
        </w:tc>
      </w:tr>
    </w:tbl>
    <w:p>
      <w:r>
        <w:t xml:space="preserve"/>
      </w:r>
    </w:p>
    <w:p>
      <w:pPr>
        <w:pStyle w:val="Heading2"/>
        <w:spacing w:after="140" w:before="280"/>
      </w:pPr>
      <w:r>
        <w:rPr>
          <w:rFonts w:ascii="Arial" w:cs="Arial" w:eastAsia="Arial" w:hAnsi="Arial"/>
          <w:b/>
          <w:bCs/>
          <w:color w:val="0B6650"/>
          <w:sz w:val="26"/>
          <w:szCs w:val="26"/>
        </w:rPr>
        <w:t xml:space="preserve">4.3 B2B2C — Pharmacies partenaires</w:t>
      </w:r>
    </w:p>
    <w:p>
      <w:pPr>
        <w:spacing w:after="100" w:before="60"/>
      </w:pPr>
      <w:r>
        <w:rPr>
          <w:rFonts w:ascii="Arial" w:cs="Arial" w:eastAsia="Arial" w:hAnsi="Arial"/>
          <w:color w:val="1E1E1E"/>
          <w:sz w:val="22"/>
          <w:szCs w:val="22"/>
        </w:rPr>
        <w:t xml:space="preserve">Modèle gagnant-gagnant : la pharmacie devient prescriptrice de l'app.</w:t>
      </w:r>
    </w:p>
    <w:p>
      <w:pPr>
        <w:pStyle w:val="ListParagraph"/>
        <w:numPr>
          <w:ilvl w:val="0"/>
          <w:numId w:val="2"/>
        </w:numPr>
        <w:spacing w:after="40" w:before="40"/>
      </w:pPr>
      <w:r>
        <w:rPr>
          <w:rFonts w:ascii="Arial" w:cs="Arial" w:eastAsia="Arial" w:hAnsi="Arial"/>
          <w:b w:val="false"/>
          <w:bCs w:val="false"/>
          <w:color w:val="1E1E1E"/>
          <w:sz w:val="22"/>
          <w:szCs w:val="22"/>
        </w:rPr>
        <w:t xml:space="preserve">Abonnement pharmacie (back-office rapport patients + logo co-branding) : €49/mois</w:t>
      </w:r>
    </w:p>
    <w:p>
      <w:pPr>
        <w:pStyle w:val="ListParagraph"/>
        <w:numPr>
          <w:ilvl w:val="0"/>
          <w:numId w:val="2"/>
        </w:numPr>
        <w:spacing w:after="40" w:before="40"/>
      </w:pPr>
      <w:r>
        <w:rPr>
          <w:rFonts w:ascii="Arial" w:cs="Arial" w:eastAsia="Arial" w:hAnsi="Arial"/>
          <w:b w:val="false"/>
          <w:bCs w:val="false"/>
          <w:color w:val="1E1E1E"/>
          <w:sz w:val="22"/>
          <w:szCs w:val="22"/>
        </w:rPr>
        <w:t xml:space="preserve">Prix patient via pharmacie : €9,99/mois — marge pharmacie : €2/patient/mois</w:t>
      </w:r>
    </w:p>
    <w:p>
      <w:pPr>
        <w:pStyle w:val="ListParagraph"/>
        <w:numPr>
          <w:ilvl w:val="0"/>
          <w:numId w:val="2"/>
        </w:numPr>
        <w:spacing w:after="40" w:before="40"/>
      </w:pPr>
      <w:r>
        <w:rPr>
          <w:rFonts w:ascii="Arial" w:cs="Arial" w:eastAsia="Arial" w:hAnsi="Arial"/>
          <w:b w:val="false"/>
          <w:bCs w:val="false"/>
          <w:color w:val="1E1E1E"/>
          <w:sz w:val="22"/>
          <w:szCs w:val="22"/>
        </w:rPr>
        <w:t xml:space="preserve">Marge Mon Sucre : €7,99 − €3,05 = €4,94/patient/mois (62 %)</w:t>
      </w:r>
    </w:p>
    <w:p>
      <w:r>
        <w:br w:type="page"/>
      </w:r>
    </w:p>
    <w:p>
      <w:pPr>
        <w:pStyle w:val="Heading1"/>
        <w:pBdr>
          <w:bottom w:val="single" w:color="0B6650" w:sz="4" w:space="6"/>
        </w:pBdr>
        <w:spacing w:after="200" w:before="400"/>
      </w:pPr>
      <w:r>
        <w:rPr>
          <w:rFonts w:ascii="Arial" w:cs="Arial" w:eastAsia="Arial" w:hAnsi="Arial"/>
          <w:b/>
          <w:bCs/>
          <w:color w:val="1D3A6E"/>
          <w:sz w:val="32"/>
          <w:szCs w:val="32"/>
        </w:rPr>
        <w:t xml:space="preserve">5. Projections de Rentabilité</w:t>
      </w:r>
    </w:p>
    <w:p>
      <w:pPr>
        <w:spacing w:after="100" w:before="60"/>
      </w:pPr>
      <w:r>
        <w:rPr>
          <w:rFonts w:ascii="Arial" w:cs="Arial" w:eastAsia="Arial" w:hAnsi="Arial"/>
          <w:color w:val="1E1E1E"/>
          <w:sz w:val="22"/>
          <w:szCs w:val="22"/>
        </w:rPr>
        <w:t xml:space="preserve">Toutes les projections utilisent le coût optimisé (cache TTS) de €3,05/user/mois.</w:t>
      </w:r>
    </w:p>
    <w:p>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600"/>
        <w:gridCol w:w="1500"/>
        <w:gridCol w:w="1500"/>
        <w:gridCol w:w="1006"/>
      </w:tblGrid>
      <w:tr>
        <w:trPr>
          <w:tblHeader/>
        </w:trPr>
        <w:tc>
          <w:tcPr>
            <w:tcW w:type="dxa" w:w="2400"/>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Scénario</w:t>
            </w:r>
          </w:p>
        </w:tc>
        <w:tc>
          <w:tcPr>
            <w:tcW w:type="dxa" w:w="1500"/>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Utilisateurs</w:t>
            </w:r>
          </w:p>
        </w:tc>
        <w:tc>
          <w:tcPr>
            <w:tcW w:type="dxa" w:w="1600"/>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Revenus/mois</w:t>
            </w:r>
          </w:p>
        </w:tc>
        <w:tc>
          <w:tcPr>
            <w:tcW w:type="dxa" w:w="1500"/>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Coûts variables</w:t>
            </w:r>
          </w:p>
        </w:tc>
        <w:tc>
          <w:tcPr>
            <w:tcW w:type="dxa" w:w="1500"/>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Coûts fixes</w:t>
            </w:r>
          </w:p>
        </w:tc>
        <w:tc>
          <w:tcPr>
            <w:tcW w:type="dxa" w:w="1006"/>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Marge</w:t>
            </w:r>
          </w:p>
        </w:tc>
      </w:tr>
      <w:tr>
        <w:tc>
          <w:tcPr>
            <w:tcW w:type="dxa" w:w="24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1E1E"/>
                <w:sz w:val="22"/>
                <w:szCs w:val="22"/>
              </w:rPr>
              <w:t xml:space="preserve">A — Lancement B2C</w:t>
            </w:r>
          </w:p>
        </w:tc>
        <w:tc>
          <w:tcPr>
            <w:tcW w:type="dxa" w:w="1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50 users</w:t>
            </w:r>
          </w:p>
        </w:tc>
        <w:tc>
          <w:tcPr>
            <w:tcW w:type="dxa" w:w="16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E1E1E"/>
                <w:sz w:val="22"/>
                <w:szCs w:val="22"/>
              </w:rPr>
              <w:t xml:space="preserve">€650</w:t>
            </w:r>
          </w:p>
        </w:tc>
        <w:tc>
          <w:tcPr>
            <w:tcW w:type="dxa" w:w="1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E1E1E"/>
                <w:sz w:val="22"/>
                <w:szCs w:val="22"/>
              </w:rPr>
              <w:t xml:space="preserve">€153</w:t>
            </w:r>
          </w:p>
        </w:tc>
        <w:tc>
          <w:tcPr>
            <w:tcW w:type="dxa" w:w="1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E1E1E"/>
                <w:sz w:val="22"/>
                <w:szCs w:val="22"/>
              </w:rPr>
              <w:t xml:space="preserve">€120</w:t>
            </w:r>
          </w:p>
        </w:tc>
        <w:tc>
          <w:tcPr>
            <w:tcW w:type="dxa" w:w="10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C05E00"/>
                <w:sz w:val="22"/>
                <w:szCs w:val="22"/>
              </w:rPr>
              <w:t xml:space="preserve">57 %</w:t>
            </w:r>
          </w:p>
        </w:tc>
      </w:tr>
      <w:tr>
        <w:tc>
          <w:tcPr>
            <w:tcW w:type="dxa" w:w="24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1E1E"/>
                <w:sz w:val="22"/>
                <w:szCs w:val="22"/>
              </w:rPr>
              <w:t xml:space="preserve">B — Croissance B2C</w:t>
            </w:r>
          </w:p>
        </w:tc>
        <w:tc>
          <w:tcPr>
            <w:tcW w:type="dxa" w:w="1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250 users</w:t>
            </w:r>
          </w:p>
        </w:tc>
        <w:tc>
          <w:tcPr>
            <w:tcW w:type="dxa" w:w="16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E1E1E"/>
                <w:sz w:val="22"/>
                <w:szCs w:val="22"/>
              </w:rPr>
              <w:t xml:space="preserve">€3 248</w:t>
            </w:r>
          </w:p>
        </w:tc>
        <w:tc>
          <w:tcPr>
            <w:tcW w:type="dxa" w:w="1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E1E1E"/>
                <w:sz w:val="22"/>
                <w:szCs w:val="22"/>
              </w:rPr>
              <w:t xml:space="preserve">€763</w:t>
            </w:r>
          </w:p>
        </w:tc>
        <w:tc>
          <w:tcPr>
            <w:tcW w:type="dxa" w:w="1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E1E1E"/>
                <w:sz w:val="22"/>
                <w:szCs w:val="22"/>
              </w:rPr>
              <w:t xml:space="preserve">€150</w:t>
            </w:r>
          </w:p>
        </w:tc>
        <w:tc>
          <w:tcPr>
            <w:tcW w:type="dxa" w:w="10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B6650"/>
                <w:sz w:val="22"/>
                <w:szCs w:val="22"/>
              </w:rPr>
              <w:t xml:space="preserve">71 %</w:t>
            </w:r>
          </w:p>
        </w:tc>
      </w:tr>
      <w:tr>
        <w:tc>
          <w:tcPr>
            <w:tcW w:type="dxa" w:w="24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1E1E"/>
                <w:sz w:val="22"/>
                <w:szCs w:val="22"/>
              </w:rPr>
              <w:t xml:space="preserve">C — 5 maisons de repos (50 résid.)</w:t>
            </w:r>
          </w:p>
        </w:tc>
        <w:tc>
          <w:tcPr>
            <w:tcW w:type="dxa" w:w="1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250 résid.</w:t>
            </w:r>
          </w:p>
        </w:tc>
        <w:tc>
          <w:tcPr>
            <w:tcW w:type="dxa" w:w="16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E1E1E"/>
                <w:sz w:val="22"/>
                <w:szCs w:val="22"/>
              </w:rPr>
              <w:t xml:space="preserve">€2 248</w:t>
            </w:r>
          </w:p>
        </w:tc>
        <w:tc>
          <w:tcPr>
            <w:tcW w:type="dxa" w:w="1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E1E1E"/>
                <w:sz w:val="22"/>
                <w:szCs w:val="22"/>
              </w:rPr>
              <w:t xml:space="preserve">€700</w:t>
            </w:r>
          </w:p>
        </w:tc>
        <w:tc>
          <w:tcPr>
            <w:tcW w:type="dxa" w:w="1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E1E1E"/>
                <w:sz w:val="22"/>
                <w:szCs w:val="22"/>
              </w:rPr>
              <w:t xml:space="preserve">€150</w:t>
            </w:r>
          </w:p>
        </w:tc>
        <w:tc>
          <w:tcPr>
            <w:tcW w:type="dxa" w:w="10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B6650"/>
                <w:sz w:val="22"/>
                <w:szCs w:val="22"/>
              </w:rPr>
              <w:t xml:space="preserve">62 %</w:t>
            </w:r>
          </w:p>
        </w:tc>
      </w:tr>
      <w:tr>
        <w:tc>
          <w:tcPr>
            <w:tcW w:type="dxa" w:w="24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1E1E"/>
                <w:sz w:val="22"/>
                <w:szCs w:val="22"/>
              </w:rPr>
              <w:t xml:space="preserve">D — Scale (B2C + B2B mixte)</w:t>
            </w:r>
          </w:p>
        </w:tc>
        <w:tc>
          <w:tcPr>
            <w:tcW w:type="dxa" w:w="1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1 000 users</w:t>
            </w:r>
          </w:p>
        </w:tc>
        <w:tc>
          <w:tcPr>
            <w:tcW w:type="dxa" w:w="16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E1E1E"/>
                <w:sz w:val="22"/>
                <w:szCs w:val="22"/>
              </w:rPr>
              <w:t xml:space="preserve">€11 990</w:t>
            </w:r>
          </w:p>
        </w:tc>
        <w:tc>
          <w:tcPr>
            <w:tcW w:type="dxa" w:w="1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E1E1E"/>
                <w:sz w:val="22"/>
                <w:szCs w:val="22"/>
              </w:rPr>
              <w:t xml:space="preserve">€2 500</w:t>
            </w:r>
          </w:p>
        </w:tc>
        <w:tc>
          <w:tcPr>
            <w:tcW w:type="dxa" w:w="1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E1E1E"/>
                <w:sz w:val="22"/>
                <w:szCs w:val="22"/>
              </w:rPr>
              <w:t xml:space="preserve">€300</w:t>
            </w:r>
          </w:p>
        </w:tc>
        <w:tc>
          <w:tcPr>
            <w:tcW w:type="dxa" w:w="10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B6650"/>
                <w:sz w:val="22"/>
                <w:szCs w:val="22"/>
              </w:rPr>
              <w:t xml:space="preserve">77 %</w:t>
            </w:r>
          </w:p>
        </w:tc>
      </w:tr>
    </w:tbl>
    <w:p>
      <w:r>
        <w:t xml:space="preserve"/>
      </w:r>
    </w:p>
    <w:p>
      <w:pPr>
        <w:pStyle w:val="Heading2"/>
        <w:spacing w:after="140" w:before="280"/>
      </w:pPr>
      <w:r>
        <w:rPr>
          <w:rFonts w:ascii="Arial" w:cs="Arial" w:eastAsia="Arial" w:hAnsi="Arial"/>
          <w:b/>
          <w:bCs/>
          <w:color w:val="0B6650"/>
          <w:sz w:val="26"/>
          <w:szCs w:val="26"/>
        </w:rPr>
        <w:t xml:space="preserve">5.1 Seuil de rentabilité (Break-Even)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006"/>
      </w:tblGrid>
      <w:tr>
        <w:trPr>
          <w:tblHeader/>
        </w:trPr>
        <w:tc>
          <w:tcPr>
            <w:tcW w:type="dxa" w:w="3500"/>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Canal</w:t>
            </w:r>
          </w:p>
        </w:tc>
        <w:tc>
          <w:tcPr>
            <w:tcW w:type="dxa" w:w="3000"/>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Break-Even (users)</w:t>
            </w:r>
          </w:p>
        </w:tc>
        <w:tc>
          <w:tcPr>
            <w:tcW w:type="dxa" w:w="3006"/>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Revenu mensuel au BE</w:t>
            </w:r>
          </w:p>
        </w:tc>
      </w:tr>
      <w:tr>
        <w:tc>
          <w:tcPr>
            <w:tcW w:type="dxa" w:w="3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B2C mensuel (€12,99)</w:t>
            </w:r>
          </w:p>
        </w:tc>
        <w:tc>
          <w:tcPr>
            <w:tcW w:type="dxa" w:w="3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B6650"/>
                <w:sz w:val="22"/>
                <w:szCs w:val="22"/>
              </w:rPr>
              <w:t xml:space="preserve">12 utilisateurs</w:t>
            </w:r>
          </w:p>
        </w:tc>
        <w:tc>
          <w:tcPr>
            <w:tcW w:type="dxa" w:w="30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E1E1E"/>
                <w:sz w:val="22"/>
                <w:szCs w:val="22"/>
              </w:rPr>
              <w:t xml:space="preserve">€156/mois</w:t>
            </w:r>
          </w:p>
        </w:tc>
      </w:tr>
      <w:tr>
        <w:tc>
          <w:tcPr>
            <w:tcW w:type="dxa" w:w="3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B2B maison de repos (€8,99)</w:t>
            </w:r>
          </w:p>
        </w:tc>
        <w:tc>
          <w:tcPr>
            <w:tcW w:type="dxa" w:w="3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B6650"/>
                <w:sz w:val="22"/>
                <w:szCs w:val="22"/>
              </w:rPr>
              <w:t xml:space="preserve">16 résidents</w:t>
            </w:r>
          </w:p>
        </w:tc>
        <w:tc>
          <w:tcPr>
            <w:tcW w:type="dxa" w:w="30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E1E1E"/>
                <w:sz w:val="22"/>
                <w:szCs w:val="22"/>
              </w:rPr>
              <w:t xml:space="preserve">€144/mois</w:t>
            </w:r>
          </w:p>
        </w:tc>
      </w:tr>
      <w:tr>
        <w:tc>
          <w:tcPr>
            <w:tcW w:type="dxa" w:w="35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B2B2C pharmacie (€9,99 via pharma)</w:t>
            </w:r>
          </w:p>
        </w:tc>
        <w:tc>
          <w:tcPr>
            <w:tcW w:type="dxa" w:w="3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B6650"/>
                <w:sz w:val="22"/>
                <w:szCs w:val="22"/>
              </w:rPr>
              <w:t xml:space="preserve">18 patients</w:t>
            </w:r>
          </w:p>
        </w:tc>
        <w:tc>
          <w:tcPr>
            <w:tcW w:type="dxa" w:w="3006"/>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E1E1E"/>
                <w:sz w:val="22"/>
                <w:szCs w:val="22"/>
              </w:rPr>
              <w:t xml:space="preserve">€180/mois</w:t>
            </w:r>
          </w:p>
        </w:tc>
      </w:tr>
    </w:tbl>
    <w:p>
      <w:r>
        <w:t xml:space="preserve"/>
      </w:r>
    </w:p>
    <w:p>
      <w:pPr>
        <w:spacing w:after="60" w:before="40"/>
        <w:ind w:left="360"/>
      </w:pPr>
      <w:r>
        <w:rPr>
          <w:rFonts w:ascii="Arial" w:cs="Arial" w:eastAsia="Arial" w:hAnsi="Arial"/>
          <w:i/>
          <w:iCs/>
          <w:color w:val="6B7280"/>
          <w:sz w:val="20"/>
          <w:szCs w:val="20"/>
        </w:rPr>
        <w:t xml:space="preserve">→  Le seuil de rentabilité est atteint avec seulement 12 à 18 utilisateurs actifs. C'est exceptionnel pour un SaaS médical.</w:t>
      </w:r>
    </w:p>
    <w:p>
      <w:r>
        <w:br w:type="page"/>
      </w:r>
    </w:p>
    <w:p>
      <w:pPr>
        <w:pStyle w:val="Heading1"/>
        <w:pBdr>
          <w:bottom w:val="single" w:color="0B6650" w:sz="4" w:space="6"/>
        </w:pBdr>
        <w:spacing w:after="200" w:before="400"/>
      </w:pPr>
      <w:r>
        <w:rPr>
          <w:rFonts w:ascii="Arial" w:cs="Arial" w:eastAsia="Arial" w:hAnsi="Arial"/>
          <w:b/>
          <w:bCs/>
          <w:color w:val="1D3A6E"/>
          <w:sz w:val="32"/>
          <w:szCs w:val="32"/>
        </w:rPr>
        <w:t xml:space="preserve">6. Roadmap Optimisation Coûts</w:t>
      </w:r>
    </w:p>
    <w:p>
      <w:pPr>
        <w:pStyle w:val="Heading2"/>
        <w:spacing w:after="140" w:before="280"/>
      </w:pPr>
      <w:r>
        <w:rPr>
          <w:rFonts w:ascii="Arial" w:cs="Arial" w:eastAsia="Arial" w:hAnsi="Arial"/>
          <w:b/>
          <w:bCs/>
          <w:color w:val="0B6650"/>
          <w:sz w:val="26"/>
          <w:szCs w:val="26"/>
        </w:rPr>
        <w:t xml:space="preserve">Priorité 1 — Cache TTS (Impact : −60 % coût ElevenLabs)</w:t>
      </w:r>
    </w:p>
    <w:p>
      <w:pPr>
        <w:pStyle w:val="ListParagraph"/>
        <w:numPr>
          <w:ilvl w:val="0"/>
          <w:numId w:val="2"/>
        </w:numPr>
        <w:spacing w:after="40" w:before="40"/>
      </w:pPr>
      <w:r>
        <w:rPr>
          <w:rFonts w:ascii="Arial" w:cs="Arial" w:eastAsia="Arial" w:hAnsi="Arial"/>
          <w:b w:val="false"/>
          <w:bCs w:val="false"/>
          <w:color w:val="1E1E1E"/>
          <w:sz w:val="22"/>
          <w:szCs w:val="22"/>
        </w:rPr>
        <w:t xml:space="preserve">Pré-générer les 12 audios de feedback glycémie (4 niveaux × 3 plages horaires)</w:t>
      </w:r>
    </w:p>
    <w:p>
      <w:pPr>
        <w:pStyle w:val="ListParagraph"/>
        <w:numPr>
          <w:ilvl w:val="0"/>
          <w:numId w:val="2"/>
        </w:numPr>
        <w:spacing w:after="40" w:before="40"/>
      </w:pPr>
      <w:r>
        <w:rPr>
          <w:rFonts w:ascii="Arial" w:cs="Arial" w:eastAsia="Arial" w:hAnsi="Arial"/>
          <w:b w:val="false"/>
          <w:bCs w:val="false"/>
          <w:color w:val="1E1E1E"/>
          <w:sz w:val="22"/>
          <w:szCs w:val="22"/>
        </w:rPr>
        <w:t xml:space="preserve">Mettre en cache les conseils repas récurrents (textes identiques → même fichier)</w:t>
      </w:r>
    </w:p>
    <w:p>
      <w:pPr>
        <w:pStyle w:val="ListParagraph"/>
        <w:numPr>
          <w:ilvl w:val="0"/>
          <w:numId w:val="2"/>
        </w:numPr>
        <w:spacing w:after="40" w:before="40"/>
      </w:pPr>
      <w:r>
        <w:rPr>
          <w:rFonts w:ascii="Arial" w:cs="Arial" w:eastAsia="Arial" w:hAnsi="Arial"/>
          <w:b w:val="false"/>
          <w:bCs w:val="false"/>
          <w:color w:val="1E1E1E"/>
          <w:sz w:val="22"/>
          <w:szCs w:val="22"/>
        </w:rPr>
        <w:t xml:space="preserve">Servir les audios depuis Vercel Edge Cache — zéro latence supplémentaire</w:t>
      </w:r>
    </w:p>
    <w:p>
      <w:pPr>
        <w:spacing w:after="100" w:before="60"/>
      </w:pPr>
      <w:r>
        <w:rPr>
          <w:rFonts w:ascii="Arial" w:cs="Arial" w:eastAsia="Arial" w:hAnsi="Arial"/>
          <w:color w:val="1E1E1E"/>
          <w:sz w:val="22"/>
          <w:szCs w:val="22"/>
        </w:rPr>
        <w:t xml:space="preserve">Impact estimé : réduction coût TTS de $7,56 → $2,72/user/mois</w:t>
      </w:r>
    </w:p>
    <w:p>
      <w:r>
        <w:t xml:space="preserve"/>
      </w:r>
    </w:p>
    <w:p>
      <w:pPr>
        <w:pStyle w:val="Heading2"/>
        <w:spacing w:after="140" w:before="280"/>
      </w:pPr>
      <w:r>
        <w:rPr>
          <w:rFonts w:ascii="Arial" w:cs="Arial" w:eastAsia="Arial" w:hAnsi="Arial"/>
          <w:b/>
          <w:bCs/>
          <w:color w:val="0B6650"/>
          <w:sz w:val="26"/>
          <w:szCs w:val="26"/>
        </w:rPr>
        <w:t xml:space="preserve">Priorité 2 — Modèle Flash ElevenLabs (Impact : −54 % sur chars dynamiques)</w:t>
      </w:r>
    </w:p>
    <w:p>
      <w:pPr>
        <w:pStyle w:val="ListParagraph"/>
        <w:numPr>
          <w:ilvl w:val="0"/>
          <w:numId w:val="2"/>
        </w:numPr>
        <w:spacing w:after="40" w:before="40"/>
      </w:pPr>
      <w:r>
        <w:rPr>
          <w:rFonts w:ascii="Arial" w:cs="Arial" w:eastAsia="Arial" w:hAnsi="Arial"/>
          <w:b w:val="false"/>
          <w:bCs w:val="false"/>
          <w:color w:val="1E1E1E"/>
          <w:sz w:val="22"/>
          <w:szCs w:val="22"/>
        </w:rPr>
        <w:t xml:space="preserve">Utiliser Flash v2 ($0,11/1k chars) pour les textes courts &lt; 200 chars</w:t>
      </w:r>
    </w:p>
    <w:p>
      <w:pPr>
        <w:pStyle w:val="ListParagraph"/>
        <w:numPr>
          <w:ilvl w:val="0"/>
          <w:numId w:val="2"/>
        </w:numPr>
        <w:spacing w:after="40" w:before="40"/>
      </w:pPr>
      <w:r>
        <w:rPr>
          <w:rFonts w:ascii="Arial" w:cs="Arial" w:eastAsia="Arial" w:hAnsi="Arial"/>
          <w:b w:val="false"/>
          <w:bCs w:val="false"/>
          <w:color w:val="1E1E1E"/>
          <w:sz w:val="22"/>
          <w:szCs w:val="22"/>
        </w:rPr>
        <w:t xml:space="preserve">Réserver Multilingual v2 ($0,24/1k) pour les textes longs et critiques (urgence)</w:t>
      </w:r>
    </w:p>
    <w:p>
      <w:r>
        <w:t xml:space="preserve"/>
      </w:r>
    </w:p>
    <w:p>
      <w:pPr>
        <w:pStyle w:val="Heading2"/>
        <w:spacing w:after="140" w:before="280"/>
      </w:pPr>
      <w:r>
        <w:rPr>
          <w:rFonts w:ascii="Arial" w:cs="Arial" w:eastAsia="Arial" w:hAnsi="Arial"/>
          <w:b/>
          <w:bCs/>
          <w:color w:val="0B6650"/>
          <w:sz w:val="26"/>
          <w:szCs w:val="26"/>
        </w:rPr>
        <w:t xml:space="preserve">Priorité 3 — Limite d'usage fair-use (Impact : −20 % coût variable)</w:t>
      </w:r>
    </w:p>
    <w:p>
      <w:pPr>
        <w:pStyle w:val="ListParagraph"/>
        <w:numPr>
          <w:ilvl w:val="0"/>
          <w:numId w:val="2"/>
        </w:numPr>
        <w:spacing w:after="40" w:before="40"/>
      </w:pPr>
      <w:r>
        <w:rPr>
          <w:rFonts w:ascii="Arial" w:cs="Arial" w:eastAsia="Arial" w:hAnsi="Arial"/>
          <w:b w:val="false"/>
          <w:bCs w:val="false"/>
          <w:color w:val="1E1E1E"/>
          <w:sz w:val="22"/>
          <w:szCs w:val="22"/>
        </w:rPr>
        <w:t xml:space="preserve">Plafond vocal : 5 synthèses TTS/jour incluses, surplus facturé ou plan Premium</w:t>
      </w:r>
    </w:p>
    <w:p>
      <w:pPr>
        <w:pStyle w:val="ListParagraph"/>
        <w:numPr>
          <w:ilvl w:val="0"/>
          <w:numId w:val="2"/>
        </w:numPr>
        <w:spacing w:after="40" w:before="40"/>
      </w:pPr>
      <w:r>
        <w:rPr>
          <w:rFonts w:ascii="Arial" w:cs="Arial" w:eastAsia="Arial" w:hAnsi="Arial"/>
          <w:b w:val="false"/>
          <w:bCs w:val="false"/>
          <w:color w:val="1E1E1E"/>
          <w:sz w:val="22"/>
          <w:szCs w:val="22"/>
        </w:rPr>
        <w:t xml:space="preserve">Plafond analyses IA : 30 analyses repas/mois incluses (plan Standard)</w:t>
      </w:r>
    </w:p>
    <w:p>
      <w:pPr>
        <w:pStyle w:val="ListParagraph"/>
        <w:numPr>
          <w:ilvl w:val="0"/>
          <w:numId w:val="2"/>
        </w:numPr>
        <w:spacing w:after="40" w:before="40"/>
      </w:pPr>
      <w:r>
        <w:rPr>
          <w:rFonts w:ascii="Arial" w:cs="Arial" w:eastAsia="Arial" w:hAnsi="Arial"/>
          <w:b w:val="false"/>
          <w:bCs w:val="false"/>
          <w:color w:val="1E1E1E"/>
          <w:sz w:val="22"/>
          <w:szCs w:val="22"/>
        </w:rPr>
        <w:t xml:space="preserve">Implémentation simple via compteur Redis — 2h de développement</w:t>
      </w:r>
    </w:p>
    <w:p>
      <w:r>
        <w:t xml:space="preserve"/>
      </w:r>
    </w:p>
    <w:p>
      <w:pPr>
        <w:pStyle w:val="Heading2"/>
        <w:spacing w:after="140" w:before="280"/>
      </w:pPr>
      <w:r>
        <w:rPr>
          <w:rFonts w:ascii="Arial" w:cs="Arial" w:eastAsia="Arial" w:hAnsi="Arial"/>
          <w:b/>
          <w:bCs/>
          <w:color w:val="0B6650"/>
          <w:sz w:val="26"/>
          <w:szCs w:val="26"/>
        </w:rPr>
        <w:t xml:space="preserve">Priorité 4 — Mutualisation infrastructure (Impact : −30 % coûts fixes à 500+ users)</w:t>
      </w:r>
    </w:p>
    <w:p>
      <w:pPr>
        <w:pStyle w:val="ListParagraph"/>
        <w:numPr>
          <w:ilvl w:val="0"/>
          <w:numId w:val="2"/>
        </w:numPr>
        <w:spacing w:after="40" w:before="40"/>
      </w:pPr>
      <w:r>
        <w:rPr>
          <w:rFonts w:ascii="Arial" w:cs="Arial" w:eastAsia="Arial" w:hAnsi="Arial"/>
          <w:b w:val="false"/>
          <w:bCs w:val="false"/>
          <w:color w:val="1E1E1E"/>
          <w:sz w:val="22"/>
          <w:szCs w:val="22"/>
        </w:rPr>
        <w:t xml:space="preserve">Migrer de Redis Upstash vers Redis dédié (Render, Railway) au-delà de 500 users</w:t>
      </w:r>
    </w:p>
    <w:p>
      <w:pPr>
        <w:pStyle w:val="ListParagraph"/>
        <w:numPr>
          <w:ilvl w:val="0"/>
          <w:numId w:val="2"/>
        </w:numPr>
        <w:spacing w:after="40" w:before="40"/>
      </w:pPr>
      <w:r>
        <w:rPr>
          <w:rFonts w:ascii="Arial" w:cs="Arial" w:eastAsia="Arial" w:hAnsi="Arial"/>
          <w:b w:val="false"/>
          <w:bCs w:val="false"/>
          <w:color w:val="1E1E1E"/>
          <w:sz w:val="22"/>
          <w:szCs w:val="22"/>
        </w:rPr>
        <w:t xml:space="preserve">Vercel Pro couvre jusqu'à ~2 000 users actifs sans surcoût</w:t>
      </w:r>
    </w:p>
    <w:p>
      <w:r>
        <w:t xml:space="preserve"/>
      </w:r>
    </w:p>
    <w:p>
      <w:pPr>
        <w:pStyle w:val="Heading1"/>
        <w:pBdr>
          <w:bottom w:val="single" w:color="0B6650" w:sz="4" w:space="6"/>
        </w:pBdr>
        <w:spacing w:after="200" w:before="400"/>
      </w:pPr>
      <w:r>
        <w:rPr>
          <w:rFonts w:ascii="Arial" w:cs="Arial" w:eastAsia="Arial" w:hAnsi="Arial"/>
          <w:b/>
          <w:bCs/>
          <w:color w:val="1D3A6E"/>
          <w:sz w:val="32"/>
          <w:szCs w:val="32"/>
        </w:rPr>
        <w:t xml:space="preserve">7. Synthèse Financière</w:t>
      </w:r>
    </w:p>
    <w:p>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0"/>
        <w:gridCol w:w="2753"/>
        <w:gridCol w:w="2753"/>
      </w:tblGrid>
      <w:tr>
        <w:trPr>
          <w:tblHeader/>
        </w:trPr>
        <w:tc>
          <w:tcPr>
            <w:tcW w:type="dxa" w:w="4000"/>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Indicateur</w:t>
            </w:r>
          </w:p>
        </w:tc>
        <w:tc>
          <w:tcPr>
            <w:tcW w:type="dxa" w:w="2753"/>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Sans optimisation</w:t>
            </w:r>
          </w:p>
        </w:tc>
        <w:tc>
          <w:tcPr>
            <w:tcW w:type="dxa" w:w="2753"/>
            <w:tcBorders>
              <w:top w:val="single" w:color="D0D5DD" w:sz="1"/>
              <w:left w:val="single" w:color="D0D5DD" w:sz="1"/>
              <w:bottom w:val="single" w:color="D0D5DD" w:sz="1"/>
              <w:right w:val="single" w:color="D0D5DD" w:sz="1"/>
            </w:tcBorders>
            <w:shd w:fill="1D3A6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Avec optimisation</w:t>
            </w:r>
          </w:p>
        </w:tc>
      </w:tr>
      <w:tr>
        <w:tc>
          <w:tcPr>
            <w:tcW w:type="dxa" w:w="4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Investissement développement</w:t>
            </w:r>
          </w:p>
        </w:tc>
        <w:tc>
          <w:tcPr>
            <w:tcW w:type="dxa" w:w="2753"/>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€6 260</w:t>
            </w:r>
          </w:p>
        </w:tc>
        <w:tc>
          <w:tcPr>
            <w:tcW w:type="dxa" w:w="2753"/>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€6 260</w:t>
            </w:r>
          </w:p>
        </w:tc>
      </w:tr>
      <w:tr>
        <w:tc>
          <w:tcPr>
            <w:tcW w:type="dxa" w:w="4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Coût variable / user / mois</w:t>
            </w:r>
          </w:p>
        </w:tc>
        <w:tc>
          <w:tcPr>
            <w:tcW w:type="dxa" w:w="2753"/>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C0392B"/>
                <w:sz w:val="22"/>
                <w:szCs w:val="22"/>
              </w:rPr>
              <w:t xml:space="preserve">≈ €7,89</w:t>
            </w:r>
          </w:p>
        </w:tc>
        <w:tc>
          <w:tcPr>
            <w:tcW w:type="dxa" w:w="2753"/>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B6650"/>
                <w:sz w:val="22"/>
                <w:szCs w:val="22"/>
              </w:rPr>
              <w:t xml:space="preserve">≈ €2,01–3,05</w:t>
            </w:r>
          </w:p>
        </w:tc>
      </w:tr>
      <w:tr>
        <w:tc>
          <w:tcPr>
            <w:tcW w:type="dxa" w:w="4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Prix B2C recommandé</w:t>
            </w:r>
          </w:p>
        </w:tc>
        <w:tc>
          <w:tcPr>
            <w:tcW w:type="dxa" w:w="2753"/>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€12,99/mois</w:t>
            </w:r>
          </w:p>
        </w:tc>
        <w:tc>
          <w:tcPr>
            <w:tcW w:type="dxa" w:w="2753"/>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€12,99/mois</w:t>
            </w:r>
          </w:p>
        </w:tc>
      </w:tr>
      <w:tr>
        <w:tc>
          <w:tcPr>
            <w:tcW w:type="dxa" w:w="4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Marge brute B2C mensuel</w:t>
            </w:r>
          </w:p>
        </w:tc>
        <w:tc>
          <w:tcPr>
            <w:tcW w:type="dxa" w:w="2753"/>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C05E00"/>
                <w:sz w:val="22"/>
                <w:szCs w:val="22"/>
              </w:rPr>
              <w:t xml:space="preserve">38 %</w:t>
            </w:r>
          </w:p>
        </w:tc>
        <w:tc>
          <w:tcPr>
            <w:tcW w:type="dxa" w:w="2753"/>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B6650"/>
                <w:sz w:val="22"/>
                <w:szCs w:val="22"/>
              </w:rPr>
              <w:t xml:space="preserve">72–76 %</w:t>
            </w:r>
          </w:p>
        </w:tc>
      </w:tr>
      <w:tr>
        <w:tc>
          <w:tcPr>
            <w:tcW w:type="dxa" w:w="4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Marge brute B2B institutionnel</w:t>
            </w:r>
          </w:p>
        </w:tc>
        <w:tc>
          <w:tcPr>
            <w:tcW w:type="dxa" w:w="2753"/>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w:t>
            </w:r>
          </w:p>
        </w:tc>
        <w:tc>
          <w:tcPr>
            <w:tcW w:type="dxa" w:w="2753"/>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B6650"/>
                <w:sz w:val="22"/>
                <w:szCs w:val="22"/>
              </w:rPr>
              <w:t xml:space="preserve">60–72 %</w:t>
            </w:r>
          </w:p>
        </w:tc>
      </w:tr>
      <w:tr>
        <w:tc>
          <w:tcPr>
            <w:tcW w:type="dxa" w:w="4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Break-even (users B2C)</w:t>
            </w:r>
          </w:p>
        </w:tc>
        <w:tc>
          <w:tcPr>
            <w:tcW w:type="dxa" w:w="2753"/>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C05E00"/>
                <w:sz w:val="22"/>
                <w:szCs w:val="22"/>
              </w:rPr>
              <w:t xml:space="preserve">32 users</w:t>
            </w:r>
          </w:p>
        </w:tc>
        <w:tc>
          <w:tcPr>
            <w:tcW w:type="dxa" w:w="2753"/>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B6650"/>
                <w:sz w:val="22"/>
                <w:szCs w:val="22"/>
              </w:rPr>
              <w:t xml:space="preserve">12 users</w:t>
            </w:r>
          </w:p>
        </w:tc>
      </w:tr>
      <w:tr>
        <w:tc>
          <w:tcPr>
            <w:tcW w:type="dxa" w:w="4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Revenu projeté à 500 users</w:t>
            </w:r>
          </w:p>
        </w:tc>
        <w:tc>
          <w:tcPr>
            <w:tcW w:type="dxa" w:w="2753"/>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€6 495/mois</w:t>
            </w:r>
          </w:p>
        </w:tc>
        <w:tc>
          <w:tcPr>
            <w:tcW w:type="dxa" w:w="2753"/>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1E1E"/>
                <w:sz w:val="22"/>
                <w:szCs w:val="22"/>
              </w:rPr>
              <w:t xml:space="preserve">€6 495/mois</w:t>
            </w:r>
          </w:p>
        </w:tc>
      </w:tr>
      <w:tr>
        <w:tc>
          <w:tcPr>
            <w:tcW w:type="dxa" w:w="4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1E1E"/>
                <w:sz w:val="22"/>
                <w:szCs w:val="22"/>
              </w:rPr>
              <w:t xml:space="preserve">Marge nette projetée à 500 users</w:t>
            </w:r>
          </w:p>
        </w:tc>
        <w:tc>
          <w:tcPr>
            <w:tcW w:type="dxa" w:w="2753"/>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C05E00"/>
                <w:sz w:val="22"/>
                <w:szCs w:val="22"/>
              </w:rPr>
              <w:t xml:space="preserve">€1 575 (24 %)</w:t>
            </w:r>
          </w:p>
        </w:tc>
        <w:tc>
          <w:tcPr>
            <w:tcW w:type="dxa" w:w="2753"/>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B6650"/>
                <w:sz w:val="22"/>
                <w:szCs w:val="22"/>
              </w:rPr>
              <w:t xml:space="preserve">€4 270 (66 %)</w:t>
            </w:r>
          </w:p>
        </w:tc>
      </w:tr>
    </w:tbl>
    <w:p>
      <w:r>
        <w:t xml:space="preserve"/>
      </w:r>
    </w:p>
    <w:p>
      <w:r>
        <w:t xml:space="preserve"/>
      </w:r>
    </w:p>
    <w:p>
      <w:pPr>
        <w:pBdr>
          <w:top w:val="single" w:color="0B6650" w:sz="2" w:space="8"/>
          <w:bottom w:val="single" w:color="0B6650" w:sz="2" w:space="8"/>
        </w:pBdr>
        <w:spacing w:after="100" w:before="100"/>
        <w:jc w:val="center"/>
      </w:pPr>
      <w:r>
        <w:rPr>
          <w:rFonts w:ascii="Arial" w:cs="Arial" w:eastAsia="Arial" w:hAnsi="Arial"/>
          <w:b/>
          <w:bCs/>
          <w:color w:val="1D3A6E"/>
          <w:sz w:val="22"/>
          <w:szCs w:val="22"/>
        </w:rPr>
        <w:t xml:space="preserve">Conclusion : Mon Sucre est un SaaS à très hautes marges potentielles (60–76 %) avec un break-even minimal.</w:t>
      </w:r>
    </w:p>
    <w:p>
      <w:pPr>
        <w:spacing w:after="60" w:before="60"/>
        <w:jc w:val="center"/>
      </w:pPr>
      <w:r>
        <w:rPr>
          <w:rFonts w:ascii="Arial" w:cs="Arial" w:eastAsia="Arial" w:hAnsi="Arial"/>
          <w:i/>
          <w:iCs/>
          <w:color w:val="1E1E1E"/>
          <w:sz w:val="22"/>
          <w:szCs w:val="22"/>
        </w:rPr>
        <w:t xml:space="preserve">L'implémentation du cache TTS est la priorité n°1 avant toute commercialisation.</w:t>
      </w:r>
    </w:p>
    <w:p>
      <w:r>
        <w:t xml:space="preserve"/>
      </w:r>
    </w:p>
    <w:p>
      <w:pPr>
        <w:pStyle w:val="Heading1"/>
        <w:pBdr>
          <w:bottom w:val="single" w:color="0B6650" w:sz="4" w:space="6"/>
        </w:pBdr>
        <w:spacing w:after="200" w:before="400"/>
      </w:pPr>
      <w:r>
        <w:rPr>
          <w:rFonts w:ascii="Arial" w:cs="Arial" w:eastAsia="Arial" w:hAnsi="Arial"/>
          <w:b/>
          <w:bCs/>
          <w:color w:val="1D3A6E"/>
          <w:sz w:val="32"/>
          <w:szCs w:val="32"/>
        </w:rPr>
        <w:t xml:space="preserve">8. Passage en Application Native (iOS &amp; Android)</w:t>
      </w:r>
    </w:p>
    <w:p>
      <w:pPr>
        <w:spacing w:after="100" w:before="80"/>
      </w:pPr>
      <w:r>
        <w:rPr>
          <w:rFonts w:ascii="Arial" w:cs="Arial" w:eastAsia="Arial" w:hAnsi="Arial"/>
          <w:color w:val="1E1E1E"/>
          <w:sz w:val="22"/>
          <w:szCs w:val="22"/>
        </w:rPr>
        <w:t xml:space="preserve">Mon Sucre est actuellement une Progressive Web App, technologie suffisante pour un lancement rapide. Le passage en application native iOS et Android représente une étape future naturelle si la base d’utilisateurs croît ou si des fonctionnalités spécifiques à la plateforme deviennent nécessaires (Bluetooth glucomètre, HealthKit). Cette section analyse les coûts et implications de cette transition.</w:t>
      </w:r>
    </w:p>
    <w:p>
      <w:pPr>
        <w:pStyle w:val="Heading2"/>
        <w:spacing w:after="120" w:before="280"/>
      </w:pPr>
      <w:r>
        <w:rPr>
          <w:rFonts w:ascii="Arial" w:cs="Arial" w:eastAsia="Arial" w:hAnsi="Arial"/>
          <w:b/>
          <w:bCs/>
          <w:color w:val="0B6650"/>
          <w:sz w:val="26"/>
          <w:szCs w:val="26"/>
        </w:rPr>
        <w:t xml:space="preserve">8.1 Approches de Développement Natif</w:t>
      </w:r>
    </w:p>
    <w:p>
      <w:pPr>
        <w:spacing w:after="60" w:before="60"/>
      </w:pPr>
      <w:r>
        <w:rPr>
          <w:rFonts w:ascii="Arial" w:cs="Arial" w:eastAsia="Arial" w:hAnsi="Arial"/>
          <w:color w:val="1E1E1E"/>
          <w:sz w:val="22"/>
          <w:szCs w:val="22"/>
        </w:rPr>
        <w:t xml:space="preserve">Deux stratégies sont envisageables :</w:t>
      </w:r>
    </w:p>
    <w:p>
      <w:pPr>
        <w:spacing w:after="40" w:before="80"/>
      </w:pPr>
      <w:r>
        <w:rPr>
          <w:rFonts w:ascii="Arial" w:cs="Arial" w:eastAsia="Arial" w:hAnsi="Arial"/>
          <w:b/>
          <w:bCs/>
          <w:color w:val="1D3A6E"/>
          <w:sz w:val="22"/>
          <w:szCs w:val="22"/>
        </w:rPr>
        <w:t xml:space="preserve">Approche A — Multiplateforme (React Native ou Flutter)</w:t>
      </w:r>
    </w:p>
    <w:p>
      <w:pPr>
        <w:spacing w:after="40" w:before="40"/>
      </w:pPr>
      <w:r>
        <w:rPr>
          <w:rFonts w:ascii="Arial" w:cs="Arial" w:eastAsia="Arial" w:hAnsi="Arial"/>
          <w:color w:val="1E1E1E"/>
          <w:sz w:val="22"/>
          <w:szCs w:val="22"/>
        </w:rPr>
        <w:t xml:space="preserve">Une base de code unique génère les apps iOS et Android. La logique métier (API calls, cache Redis, TTS) peut être réutilisée à ~60 %, mais l’interface doit être entièrement réécrite en composants natifs.</w:t>
      </w:r>
    </w:p>
    <w:p>
      <w:pPr>
        <w:spacing w:after="40" w:before="80"/>
      </w:pPr>
      <w:r>
        <w:rPr>
          <w:rFonts w:ascii="Arial" w:cs="Arial" w:eastAsia="Arial" w:hAnsi="Arial"/>
          <w:b/>
          <w:bCs/>
          <w:color w:val="1D3A6E"/>
          <w:sz w:val="22"/>
          <w:szCs w:val="22"/>
        </w:rPr>
        <w:t xml:space="preserve">Approche B — Natif pur (Swift/SwiftUI + Kotlin)</w:t>
      </w:r>
    </w:p>
    <w:p>
      <w:pPr>
        <w:spacing w:after="40" w:before="40"/>
      </w:pPr>
      <w:r>
        <w:rPr>
          <w:rFonts w:ascii="Arial" w:cs="Arial" w:eastAsia="Arial" w:hAnsi="Arial"/>
          <w:color w:val="1E1E1E"/>
          <w:sz w:val="22"/>
          <w:szCs w:val="22"/>
        </w:rPr>
        <w:t xml:space="preserve">Développement séparé pour chaque plateforme. Performances optimales et accès complet aux APIs système (HealthKit, Bluetooth), mais coût double et maintenance double.</w:t>
      </w:r>
    </w:p>
    <w:p>
      <w:pPr>
        <w:pStyle w:val="Heading2"/>
        <w:spacing w:after="120" w:before="280"/>
      </w:pPr>
      <w:r>
        <w:rPr>
          <w:rFonts w:ascii="Arial" w:cs="Arial" w:eastAsia="Arial" w:hAnsi="Arial"/>
          <w:b/>
          <w:bCs/>
          <w:color w:val="0B6650"/>
          <w:sz w:val="26"/>
          <w:szCs w:val="26"/>
        </w:rPr>
        <w:t xml:space="preserve">8.2 Coût de Développement</w:t>
      </w:r>
    </w:p>
    <w:tbl>
      <w:tblPr>
        <w:tblW w:type="dxa" w:w="9506"/>
        <w:tblBorders>
          <w:insideH w:val="single" w:color="D0D5DD" w:sz="1"/>
          <w:insideV w:val="single" w:color="D0D5DD" w:sz="1"/>
        </w:tblBorders>
      </w:tblPr>
      <w:tblGrid>
        <w:gridCol w:w="3800"/>
        <w:gridCol w:w="1902"/>
        <w:gridCol w:w="1902"/>
        <w:gridCol w:w="1902"/>
      </w:tblGrid>
      <w:tr>
        <w:trPr>
          <w:tblHeader/>
        </w:trPr>
        <w:tc>
          <w:tcPr>
            <w:tcW w:type="dxa" w:w="3800"/>
            <w:shd w:fill="1D3A6E" w:val="clear"/>
            <w:tcMar>
              <w:top w:type="dxa" w:w="100"/>
              <w:left w:type="dxa" w:w="140"/>
              <w:bottom w:type="dxa" w:w="100"/>
              <w:right w:type="dxa" w:w="140"/>
            </w:tcMar>
          </w:tcPr>
          <w:p>
            <w:r>
              <w:rPr>
                <w:rFonts w:ascii="Arial" w:cs="Arial" w:eastAsia="Arial" w:hAnsi="Arial"/>
                <w:b/>
                <w:bCs/>
                <w:color w:val="FFFFFF"/>
                <w:sz w:val="20"/>
                <w:szCs w:val="20"/>
              </w:rPr>
              <w:t>Poste</w:t>
            </w:r>
          </w:p>
        </w:tc>
        <w:tc>
          <w:tcPr>
            <w:tcW w:type="dxa" w:w="1902"/>
            <w:shd w:fill="1D3A6E" w:val="clear"/>
            <w:tcMar>
              <w:top w:type="dxa" w:w="100"/>
              <w:left w:type="dxa" w:w="140"/>
              <w:bottom w:type="dxa" w:w="100"/>
              <w:right w:type="dxa" w:w="140"/>
            </w:tcMar>
          </w:tcPr>
          <w:p>
            <w:r>
              <w:rPr>
                <w:rFonts w:ascii="Arial" w:cs="Arial" w:eastAsia="Arial" w:hAnsi="Arial"/>
                <w:b/>
                <w:bCs/>
                <w:color w:val="FFFFFF"/>
                <w:sz w:val="20"/>
                <w:szCs w:val="20"/>
              </w:rPr>
              <w:t>Classique</w:t>
            </w:r>
          </w:p>
        </w:tc>
        <w:tc>
          <w:tcPr>
            <w:tcW w:type="dxa" w:w="1902"/>
            <w:shd w:fill="1D3A6E" w:val="clear"/>
            <w:tcMar>
              <w:top w:type="dxa" w:w="100"/>
              <w:left w:type="dxa" w:w="140"/>
              <w:bottom w:type="dxa" w:w="100"/>
              <w:right w:type="dxa" w:w="140"/>
            </w:tcMar>
          </w:tcPr>
          <w:p>
            <w:r>
              <w:rPr>
                <w:rFonts w:ascii="Arial" w:cs="Arial" w:eastAsia="Arial" w:hAnsi="Arial"/>
                <w:b/>
                <w:bCs/>
                <w:color w:val="FFFFFF"/>
                <w:sz w:val="20"/>
                <w:szCs w:val="20"/>
              </w:rPr>
              <w:t>Assisté IA</w:t>
            </w:r>
          </w:p>
        </w:tc>
        <w:tc>
          <w:tcPr>
            <w:tcW w:type="dxa" w:w="1902"/>
            <w:shd w:fill="1D3A6E" w:val="clear"/>
            <w:tcMar>
              <w:top w:type="dxa" w:w="100"/>
              <w:left w:type="dxa" w:w="140"/>
              <w:bottom w:type="dxa" w:w="100"/>
              <w:right w:type="dxa" w:w="140"/>
            </w:tcMar>
          </w:tcPr>
          <w:p>
            <w:r>
              <w:rPr>
                <w:rFonts w:ascii="Arial" w:cs="Arial" w:eastAsia="Arial" w:hAnsi="Arial"/>
                <w:b/>
                <w:bCs/>
                <w:color w:val="FFFFFF"/>
                <w:sz w:val="20"/>
                <w:szCs w:val="20"/>
              </w:rPr>
              <w:t>Natif pur</w:t>
            </w:r>
          </w:p>
        </w:tc>
      </w:tr>
      <w:tr>
        <w:tc>
          <w:tcPr>
            <w:tcW w:type="dxa" w:w="3800"/>
            <w:shd w:fill="F0F4FA" w:val="clear"/>
            <w:tcMar>
              <w:top w:type="dxa" w:w="100"/>
              <w:left w:type="dxa" w:w="140"/>
              <w:bottom w:type="dxa" w:w="100"/>
              <w:right w:type="dxa" w:w="140"/>
            </w:tcMar>
          </w:tcPr>
          <w:p>
            <w:r>
              <w:rPr>
                <w:rFonts w:ascii="Arial" w:cs="Arial" w:eastAsia="Arial" w:hAnsi="Arial"/>
                <w:color w:val="1E1E1E"/>
                <w:sz w:val="20"/>
                <w:szCs w:val="20"/>
              </w:rPr>
              <w:t xml:space="preserve">Réécriture UI en composants natifs</w:t>
            </w:r>
          </w:p>
        </w:tc>
        <w:tc>
          <w:tcPr>
            <w:tcW w:type="dxa" w:w="1902"/>
            <w:shd w:fill="F0F4FA" w:val="clear"/>
            <w:tcMar>
              <w:top w:type="dxa" w:w="100"/>
              <w:left w:type="dxa" w:w="140"/>
              <w:bottom w:type="dxa" w:w="100"/>
              <w:right w:type="dxa" w:w="140"/>
            </w:tcMar>
          </w:tcPr>
          <w:p>
            <w:r>
              <w:rPr>
                <w:rFonts w:ascii="Arial" w:cs="Arial" w:eastAsia="Arial" w:hAnsi="Arial"/>
                <w:color w:val="1E1E1E"/>
                <w:sz w:val="20"/>
                <w:szCs w:val="20"/>
              </w:rPr>
              <w:t xml:space="preserve">20 j → €16 000</w:t>
            </w:r>
          </w:p>
        </w:tc>
        <w:tc>
          <w:tcPr>
            <w:tcW w:type="dxa" w:w="1902"/>
            <w:shd w:fill="F0F4FA" w:val="clear"/>
            <w:tcMar>
              <w:top w:type="dxa" w:w="100"/>
              <w:left w:type="dxa" w:w="140"/>
              <w:bottom w:type="dxa" w:w="100"/>
              <w:right w:type="dxa" w:w="140"/>
            </w:tcMar>
          </w:tcPr>
          <w:p>
            <w:r>
              <w:rPr>
                <w:rFonts w:ascii="Arial" w:cs="Arial" w:eastAsia="Arial" w:hAnsi="Arial"/>
                <w:color w:val="1E1E1E"/>
                <w:sz w:val="20"/>
                <w:szCs w:val="20"/>
              </w:rPr>
              <w:t xml:space="preserve">~4 j → €600</w:t>
            </w:r>
          </w:p>
        </w:tc>
        <w:tc>
          <w:tcPr>
            <w:tcW w:type="dxa" w:w="1902"/>
            <w:shd w:fill="F0F4FA" w:val="clear"/>
            <w:tcMar>
              <w:top w:type="dxa" w:w="100"/>
              <w:left w:type="dxa" w:w="140"/>
              <w:bottom w:type="dxa" w:w="100"/>
              <w:right w:type="dxa" w:w="140"/>
            </w:tcMar>
          </w:tcPr>
          <w:p>
            <w:r>
              <w:rPr>
                <w:rFonts w:ascii="Arial" w:cs="Arial" w:eastAsia="Arial" w:hAnsi="Arial"/>
                <w:color w:val="1E1E1E"/>
                <w:sz w:val="20"/>
                <w:szCs w:val="20"/>
              </w:rPr>
              <w:t xml:space="preserve">40 j → €32 000</w:t>
            </w:r>
          </w:p>
        </w:tc>
      </w:tr>
      <w:tr>
        <w:tc>
          <w:tcPr>
            <w:tcW w:type="dxa" w:w="3800"/>
            <w:shd w:fill="FFFFFF" w:val="clear"/>
            <w:tcMar>
              <w:top w:type="dxa" w:w="100"/>
              <w:left w:type="dxa" w:w="140"/>
              <w:bottom w:type="dxa" w:w="100"/>
              <w:right w:type="dxa" w:w="140"/>
            </w:tcMar>
          </w:tcPr>
          <w:p>
            <w:r>
              <w:rPr>
                <w:rFonts w:ascii="Arial" w:cs="Arial" w:eastAsia="Arial" w:hAnsi="Arial"/>
                <w:color w:val="1E1E1E"/>
                <w:sz w:val="20"/>
                <w:szCs w:val="20"/>
              </w:rPr>
              <w:t xml:space="preserve">Adaptation logique métier</w:t>
            </w:r>
          </w:p>
        </w:tc>
        <w:tc>
          <w:tcPr>
            <w:tcW w:type="dxa" w:w="1902"/>
            <w:shd w:fill="FFFFFF" w:val="clear"/>
            <w:tcMar>
              <w:top w:type="dxa" w:w="100"/>
              <w:left w:type="dxa" w:w="140"/>
              <w:bottom w:type="dxa" w:w="100"/>
              <w:right w:type="dxa" w:w="140"/>
            </w:tcMar>
          </w:tcPr>
          <w:p>
            <w:r>
              <w:rPr>
                <w:rFonts w:ascii="Arial" w:cs="Arial" w:eastAsia="Arial" w:hAnsi="Arial"/>
                <w:color w:val="1E1E1E"/>
                <w:sz w:val="20"/>
                <w:szCs w:val="20"/>
              </w:rPr>
              <w:t xml:space="preserve">5 j → €4 000</w:t>
            </w:r>
          </w:p>
        </w:tc>
        <w:tc>
          <w:tcPr>
            <w:tcW w:type="dxa" w:w="1902"/>
            <w:shd w:fill="FFFFFF" w:val="clear"/>
            <w:tcMar>
              <w:top w:type="dxa" w:w="100"/>
              <w:left w:type="dxa" w:w="140"/>
              <w:bottom w:type="dxa" w:w="100"/>
              <w:right w:type="dxa" w:w="140"/>
            </w:tcMar>
          </w:tcPr>
          <w:p>
            <w:r>
              <w:rPr>
                <w:rFonts w:ascii="Arial" w:cs="Arial" w:eastAsia="Arial" w:hAnsi="Arial"/>
                <w:color w:val="1E1E1E"/>
                <w:sz w:val="20"/>
                <w:szCs w:val="20"/>
              </w:rPr>
              <w:t xml:space="preserve">~1 j → €150</w:t>
            </w:r>
          </w:p>
        </w:tc>
        <w:tc>
          <w:tcPr>
            <w:tcW w:type="dxa" w:w="1902"/>
            <w:shd w:fill="FFFFFF" w:val="clear"/>
            <w:tcMar>
              <w:top w:type="dxa" w:w="100"/>
              <w:left w:type="dxa" w:w="140"/>
              <w:bottom w:type="dxa" w:w="100"/>
              <w:right w:type="dxa" w:w="140"/>
            </w:tcMar>
          </w:tcPr>
          <w:p>
            <w:r>
              <w:rPr>
                <w:rFonts w:ascii="Arial" w:cs="Arial" w:eastAsia="Arial" w:hAnsi="Arial"/>
                <w:color w:val="1E1E1E"/>
                <w:sz w:val="20"/>
                <w:szCs w:val="20"/>
              </w:rPr>
              <w:t xml:space="preserve">10 j → €8 000</w:t>
            </w:r>
          </w:p>
        </w:tc>
      </w:tr>
      <w:tr>
        <w:tc>
          <w:tcPr>
            <w:tcW w:type="dxa" w:w="3800"/>
            <w:shd w:fill="F0F4FA" w:val="clear"/>
            <w:tcMar>
              <w:top w:type="dxa" w:w="100"/>
              <w:left w:type="dxa" w:w="140"/>
              <w:bottom w:type="dxa" w:w="100"/>
              <w:right w:type="dxa" w:w="140"/>
            </w:tcMar>
          </w:tcPr>
          <w:p>
            <w:r>
              <w:rPr>
                <w:rFonts w:ascii="Arial" w:cs="Arial" w:eastAsia="Arial" w:hAnsi="Arial"/>
                <w:color w:val="1E1E1E"/>
                <w:sz w:val="20"/>
                <w:szCs w:val="20"/>
              </w:rPr>
              <w:t xml:space="preserve">Notifications push natives (APNs + FCM)</w:t>
            </w:r>
          </w:p>
        </w:tc>
        <w:tc>
          <w:tcPr>
            <w:tcW w:type="dxa" w:w="1902"/>
            <w:shd w:fill="F0F4FA" w:val="clear"/>
            <w:tcMar>
              <w:top w:type="dxa" w:w="100"/>
              <w:left w:type="dxa" w:w="140"/>
              <w:bottom w:type="dxa" w:w="100"/>
              <w:right w:type="dxa" w:w="140"/>
            </w:tcMar>
          </w:tcPr>
          <w:p>
            <w:r>
              <w:rPr>
                <w:rFonts w:ascii="Arial" w:cs="Arial" w:eastAsia="Arial" w:hAnsi="Arial"/>
                <w:color w:val="1E1E1E"/>
                <w:sz w:val="20"/>
                <w:szCs w:val="20"/>
              </w:rPr>
              <w:t xml:space="preserve">3 j → €2 400</w:t>
            </w:r>
          </w:p>
        </w:tc>
        <w:tc>
          <w:tcPr>
            <w:tcW w:type="dxa" w:w="1902"/>
            <w:shd w:fill="F0F4FA" w:val="clear"/>
            <w:tcMar>
              <w:top w:type="dxa" w:w="100"/>
              <w:left w:type="dxa" w:w="140"/>
              <w:bottom w:type="dxa" w:w="100"/>
              <w:right w:type="dxa" w:w="140"/>
            </w:tcMar>
          </w:tcPr>
          <w:p>
            <w:r>
              <w:rPr>
                <w:rFonts w:ascii="Arial" w:cs="Arial" w:eastAsia="Arial" w:hAnsi="Arial"/>
                <w:color w:val="1E1E1E"/>
                <w:sz w:val="20"/>
                <w:szCs w:val="20"/>
              </w:rPr>
              <w:t xml:space="preserve">~0,5 j → €75</w:t>
            </w:r>
          </w:p>
        </w:tc>
        <w:tc>
          <w:tcPr>
            <w:tcW w:type="dxa" w:w="1902"/>
            <w:shd w:fill="F0F4FA" w:val="clear"/>
            <w:tcMar>
              <w:top w:type="dxa" w:w="100"/>
              <w:left w:type="dxa" w:w="140"/>
              <w:bottom w:type="dxa" w:w="100"/>
              <w:right w:type="dxa" w:w="140"/>
            </w:tcMar>
          </w:tcPr>
          <w:p>
            <w:r>
              <w:rPr>
                <w:rFonts w:ascii="Arial" w:cs="Arial" w:eastAsia="Arial" w:hAnsi="Arial"/>
                <w:color w:val="1E1E1E"/>
                <w:sz w:val="20"/>
                <w:szCs w:val="20"/>
              </w:rPr>
              <w:t xml:space="preserve">6 j → €4 800</w:t>
            </w:r>
          </w:p>
        </w:tc>
      </w:tr>
      <w:tr>
        <w:tc>
          <w:tcPr>
            <w:tcW w:type="dxa" w:w="3800"/>
            <w:shd w:fill="FFFFFF" w:val="clear"/>
            <w:tcMar>
              <w:top w:type="dxa" w:w="100"/>
              <w:left w:type="dxa" w:w="140"/>
              <w:bottom w:type="dxa" w:w="100"/>
              <w:right w:type="dxa" w:w="140"/>
            </w:tcMar>
          </w:tcPr>
          <w:p>
            <w:r>
              <w:rPr>
                <w:rFonts w:ascii="Arial" w:cs="Arial" w:eastAsia="Arial" w:hAnsi="Arial"/>
                <w:color w:val="1E1E1E"/>
                <w:sz w:val="20"/>
                <w:szCs w:val="20"/>
              </w:rPr>
              <w:t xml:space="preserve">Intégration HealthKit / Google Fit</w:t>
            </w:r>
          </w:p>
        </w:tc>
        <w:tc>
          <w:tcPr>
            <w:tcW w:type="dxa" w:w="1902"/>
            <w:shd w:fill="FFFFFF" w:val="clear"/>
            <w:tcMar>
              <w:top w:type="dxa" w:w="100"/>
              <w:left w:type="dxa" w:w="140"/>
              <w:bottom w:type="dxa" w:w="100"/>
              <w:right w:type="dxa" w:w="140"/>
            </w:tcMar>
          </w:tcPr>
          <w:p>
            <w:r>
              <w:rPr>
                <w:rFonts w:ascii="Arial" w:cs="Arial" w:eastAsia="Arial" w:hAnsi="Arial"/>
                <w:color w:val="1E1E1E"/>
                <w:sz w:val="20"/>
                <w:szCs w:val="20"/>
              </w:rPr>
              <w:t xml:space="preserve">5 j → €4 000</w:t>
            </w:r>
          </w:p>
        </w:tc>
        <w:tc>
          <w:tcPr>
            <w:tcW w:type="dxa" w:w="1902"/>
            <w:shd w:fill="FFFFFF" w:val="clear"/>
            <w:tcMar>
              <w:top w:type="dxa" w:w="100"/>
              <w:left w:type="dxa" w:w="140"/>
              <w:bottom w:type="dxa" w:w="100"/>
              <w:right w:type="dxa" w:w="140"/>
            </w:tcMar>
          </w:tcPr>
          <w:p>
            <w:r>
              <w:rPr>
                <w:rFonts w:ascii="Arial" w:cs="Arial" w:eastAsia="Arial" w:hAnsi="Arial"/>
                <w:color w:val="1E1E1E"/>
                <w:sz w:val="20"/>
                <w:szCs w:val="20"/>
              </w:rPr>
              <w:t xml:space="preserve">~1 j → €150</w:t>
            </w:r>
          </w:p>
        </w:tc>
        <w:tc>
          <w:tcPr>
            <w:tcW w:type="dxa" w:w="1902"/>
            <w:shd w:fill="FFFFFF" w:val="clear"/>
            <w:tcMar>
              <w:top w:type="dxa" w:w="100"/>
              <w:left w:type="dxa" w:w="140"/>
              <w:bottom w:type="dxa" w:w="100"/>
              <w:right w:type="dxa" w:w="140"/>
            </w:tcMar>
          </w:tcPr>
          <w:p>
            <w:r>
              <w:rPr>
                <w:rFonts w:ascii="Arial" w:cs="Arial" w:eastAsia="Arial" w:hAnsi="Arial"/>
                <w:color w:val="1E1E1E"/>
                <w:sz w:val="20"/>
                <w:szCs w:val="20"/>
              </w:rPr>
              <w:t xml:space="preserve">10 j → €8 000</w:t>
            </w:r>
          </w:p>
        </w:tc>
      </w:tr>
      <w:tr>
        <w:tc>
          <w:tcPr>
            <w:tcW w:type="dxa" w:w="3800"/>
            <w:shd w:fill="F0F4FA" w:val="clear"/>
            <w:tcMar>
              <w:top w:type="dxa" w:w="100"/>
              <w:left w:type="dxa" w:w="140"/>
              <w:bottom w:type="dxa" w:w="100"/>
              <w:right w:type="dxa" w:w="140"/>
            </w:tcMar>
          </w:tcPr>
          <w:p>
            <w:r>
              <w:rPr>
                <w:rFonts w:ascii="Arial" w:cs="Arial" w:eastAsia="Arial" w:hAnsi="Arial"/>
                <w:color w:val="1E1E1E"/>
                <w:sz w:val="20"/>
                <w:szCs w:val="20"/>
              </w:rPr>
              <w:t xml:space="preserve">Tests, soumission stores, révision Apple</w:t>
            </w:r>
          </w:p>
        </w:tc>
        <w:tc>
          <w:tcPr>
            <w:tcW w:type="dxa" w:w="1902"/>
            <w:shd w:fill="F0F4FA" w:val="clear"/>
            <w:tcMar>
              <w:top w:type="dxa" w:w="100"/>
              <w:left w:type="dxa" w:w="140"/>
              <w:bottom w:type="dxa" w:w="100"/>
              <w:right w:type="dxa" w:w="140"/>
            </w:tcMar>
          </w:tcPr>
          <w:p>
            <w:r>
              <w:rPr>
                <w:rFonts w:ascii="Arial" w:cs="Arial" w:eastAsia="Arial" w:hAnsi="Arial"/>
                <w:color w:val="1E1E1E"/>
                <w:sz w:val="20"/>
                <w:szCs w:val="20"/>
              </w:rPr>
              <w:t xml:space="preserve">5 j → €4 000</w:t>
            </w:r>
          </w:p>
        </w:tc>
        <w:tc>
          <w:tcPr>
            <w:tcW w:type="dxa" w:w="1902"/>
            <w:shd w:fill="F0F4FA" w:val="clear"/>
            <w:tcMar>
              <w:top w:type="dxa" w:w="100"/>
              <w:left w:type="dxa" w:w="140"/>
              <w:bottom w:type="dxa" w:w="100"/>
              <w:right w:type="dxa" w:w="140"/>
            </w:tcMar>
          </w:tcPr>
          <w:p>
            <w:r>
              <w:rPr>
                <w:rFonts w:ascii="Arial" w:cs="Arial" w:eastAsia="Arial" w:hAnsi="Arial"/>
                <w:color w:val="1E1E1E"/>
                <w:sz w:val="20"/>
                <w:szCs w:val="20"/>
              </w:rPr>
              <w:t xml:space="preserve">~1 j → €150</w:t>
            </w:r>
          </w:p>
        </w:tc>
        <w:tc>
          <w:tcPr>
            <w:tcW w:type="dxa" w:w="1902"/>
            <w:shd w:fill="F0F4FA" w:val="clear"/>
            <w:tcMar>
              <w:top w:type="dxa" w:w="100"/>
              <w:left w:type="dxa" w:w="140"/>
              <w:bottom w:type="dxa" w:w="100"/>
              <w:right w:type="dxa" w:w="140"/>
            </w:tcMar>
          </w:tcPr>
          <w:p>
            <w:r>
              <w:rPr>
                <w:rFonts w:ascii="Arial" w:cs="Arial" w:eastAsia="Arial" w:hAnsi="Arial"/>
                <w:color w:val="1E1E1E"/>
                <w:sz w:val="20"/>
                <w:szCs w:val="20"/>
              </w:rPr>
              <w:t xml:space="preserve">10 j → €8 000</w:t>
            </w:r>
          </w:p>
        </w:tc>
      </w:tr>
      <w:tr>
        <w:tc>
          <w:tcPr>
            <w:tcW w:type="dxa" w:w="3800"/>
            <w:shd w:fill="FFFFFF" w:val="clear"/>
            <w:tcMar>
              <w:top w:type="dxa" w:w="100"/>
              <w:left w:type="dxa" w:w="140"/>
              <w:bottom w:type="dxa" w:w="100"/>
              <w:right w:type="dxa" w:w="140"/>
            </w:tcMar>
          </w:tcPr>
          <w:p>
            <w:r>
              <w:rPr>
                <w:rFonts w:ascii="Arial" w:cs="Arial" w:eastAsia="Arial" w:hAnsi="Arial"/>
                <w:b/>
                <w:bCs/>
                <w:color w:val="1D3A6E"/>
                <w:sz w:val="20"/>
                <w:szCs w:val="20"/>
              </w:rPr>
              <w:t xml:space="preserve">TOTAL (multiplateforme)</w:t>
            </w:r>
          </w:p>
        </w:tc>
        <w:tc>
          <w:tcPr>
            <w:tcW w:type="dxa" w:w="1902"/>
            <w:shd w:fill="FFFFFF" w:val="clear"/>
            <w:tcMar>
              <w:top w:type="dxa" w:w="100"/>
              <w:left w:type="dxa" w:w="140"/>
              <w:bottom w:type="dxa" w:w="100"/>
              <w:right w:type="dxa" w:w="140"/>
            </w:tcMar>
          </w:tcPr>
          <w:p>
            <w:r>
              <w:rPr>
                <w:rFonts w:ascii="Arial" w:cs="Arial" w:eastAsia="Arial" w:hAnsi="Arial"/>
                <w:b/>
                <w:bCs/>
                <w:color w:val="1D3A6E"/>
                <w:sz w:val="20"/>
                <w:szCs w:val="20"/>
              </w:rPr>
              <w:t xml:space="preserve">€30 400</w:t>
            </w:r>
          </w:p>
        </w:tc>
        <w:tc>
          <w:tcPr>
            <w:tcW w:type="dxa" w:w="1902"/>
            <w:shd w:fill="E8F5EE" w:val="clear"/>
            <w:tcMar>
              <w:top w:type="dxa" w:w="100"/>
              <w:left w:type="dxa" w:w="140"/>
              <w:bottom w:type="dxa" w:w="100"/>
              <w:right w:type="dxa" w:w="140"/>
            </w:tcMar>
          </w:tcPr>
          <w:p>
            <w:r>
              <w:rPr>
                <w:rFonts w:ascii="Arial" w:cs="Arial" w:eastAsia="Arial" w:hAnsi="Arial"/>
                <w:b/>
                <w:bCs/>
                <w:color w:val="0B6650"/>
                <w:sz w:val="20"/>
                <w:szCs w:val="20"/>
              </w:rPr>
              <w:t xml:space="preserve">€1 125</w:t>
            </w:r>
          </w:p>
        </w:tc>
        <w:tc>
          <w:tcPr>
            <w:tcW w:type="dxa" w:w="1902"/>
            <w:shd w:fill="FFFFFF" w:val="clear"/>
            <w:tcMar>
              <w:top w:type="dxa" w:w="100"/>
              <w:left w:type="dxa" w:w="140"/>
              <w:bottom w:type="dxa" w:w="100"/>
              <w:right w:type="dxa" w:w="140"/>
            </w:tcMar>
          </w:tcPr>
          <w:p>
            <w:r>
              <w:rPr>
                <w:rFonts w:ascii="Arial" w:cs="Arial" w:eastAsia="Arial" w:hAnsi="Arial"/>
                <w:b/>
                <w:bCs/>
                <w:color w:val="1D3A6E"/>
                <w:sz w:val="20"/>
                <w:szCs w:val="20"/>
              </w:rPr>
              <w:t xml:space="preserve">€60 800</w:t>
            </w:r>
          </w:p>
        </w:tc>
      </w:tr>
    </w:tbl>
    <w:p>
      <w:pPr>
        <w:spacing w:after="80" w:before="120"/>
      </w:pPr>
      <w:r>
        <w:rPr>
          <w:rFonts w:ascii="Arial" w:cs="Arial" w:eastAsia="Arial" w:hAnsi="Arial"/>
          <w:b/>
          <w:bCs/>
          <w:color w:val="0B6650"/>
          <w:sz w:val="22"/>
          <w:szCs w:val="22"/>
        </w:rPr>
        <w:t xml:space="preserve">→  Avec assistance IA, la transition multiplateforme (React Native) est estimée à ~€1 125 de supervision contre €30 400 en développement classique.</w:t>
      </w:r>
    </w:p>
    <w:p>
      <w:pPr>
        <w:pStyle w:val="Heading2"/>
        <w:spacing w:after="120" w:before="280"/>
      </w:pPr>
      <w:r>
        <w:rPr>
          <w:rFonts w:ascii="Arial" w:cs="Arial" w:eastAsia="Arial" w:hAnsi="Arial"/>
          <w:b/>
          <w:bCs/>
          <w:color w:val="0B6650"/>
          <w:sz w:val="26"/>
          <w:szCs w:val="26"/>
        </w:rPr>
        <w:t xml:space="preserve">8.3 Coûts Annuels Supplémentaires des Stores</w:t>
      </w:r>
    </w:p>
    <w:p>
      <w:pPr>
        <w:spacing w:after="60" w:before="60"/>
      </w:pPr>
      <w:r>
        <w:rPr>
          <w:rFonts w:ascii="Arial" w:cs="Arial" w:eastAsia="Arial" w:hAnsi="Arial"/>
          <w:color w:val="1E1E1E"/>
          <w:sz w:val="22"/>
          <w:szCs w:val="22"/>
        </w:rPr>
        <w:t xml:space="preserve">Contrairement à une PWA (zéro frais de distribution), les apps natives impliquent des frais annuels obligatoires :</w:t>
      </w:r>
    </w:p>
    <w:p>
      <w:pPr>
        <w:numPr>
          <w:ilvl w:val="0"/>
          <w:numId w:val="1"/>
        </w:numPr>
        <w:spacing w:after="40" w:before="40"/>
      </w:pPr>
      <w:r>
        <w:rPr>
          <w:rFonts w:ascii="Arial" w:cs="Arial" w:eastAsia="Arial" w:hAnsi="Arial"/>
          <w:color w:val="1E1E1E"/>
          <w:sz w:val="22"/>
          <w:szCs w:val="22"/>
        </w:rPr>
        <w:t xml:space="preserve">Apple Developer Program : 99 USD/an (≈ €92/an) — requis pour publier sur l’App Store et accéder à APNs (notifications push iOS)</w:t>
      </w:r>
    </w:p>
    <w:p>
      <w:pPr>
        <w:numPr>
          <w:ilvl w:val="0"/>
          <w:numId w:val="1"/>
        </w:numPr>
        <w:spacing w:after="40" w:before="40"/>
      </w:pPr>
      <w:r>
        <w:rPr>
          <w:rFonts w:ascii="Arial" w:cs="Arial" w:eastAsia="Arial" w:hAnsi="Arial"/>
          <w:color w:val="1E1E1E"/>
          <w:sz w:val="22"/>
          <w:szCs w:val="22"/>
        </w:rPr>
        <w:t xml:space="preserve">Google Play Console : 25 USD one-time (frais unique) — aucun renouvellement</w:t>
      </w:r>
    </w:p>
    <w:p>
      <w:pPr>
        <w:numPr>
          <w:ilvl w:val="0"/>
          <w:numId w:val="1"/>
        </w:numPr>
        <w:spacing w:after="40" w:before="40"/>
      </w:pPr>
      <w:r>
        <w:rPr>
          <w:rFonts w:ascii="Arial" w:cs="Arial" w:eastAsia="Arial" w:hAnsi="Arial"/>
          <w:color w:val="1E1E1E"/>
          <w:sz w:val="22"/>
          <w:szCs w:val="22"/>
        </w:rPr>
        <w:t xml:space="preserve">Certificats de signature de code (code signing) : inclus dans les frais Apple, gratuit côté Android</w:t>
      </w:r>
    </w:p>
    <w:p>
      <w:pPr>
        <w:numPr>
          <w:ilvl w:val="0"/>
          <w:numId w:val="1"/>
        </w:numPr>
        <w:spacing w:after="40" w:before="40"/>
      </w:pPr>
      <w:r>
        <w:rPr>
          <w:rFonts w:ascii="Arial" w:cs="Arial" w:eastAsia="Arial" w:hAnsi="Arial"/>
          <w:color w:val="1E1E1E"/>
          <w:sz w:val="22"/>
          <w:szCs w:val="22"/>
        </w:rPr>
        <w:t xml:space="preserve">Renouvellement et maintenance OS : chaque mise à jour majeure d’iOS ou Android peut nécessiter 1 à 3 jours de développement</w:t>
      </w:r>
    </w:p>
    <w:p>
      <w:pPr>
        <w:numPr>
          <w:ilvl w:val="0"/>
          <w:numId w:val="1"/>
        </w:numPr>
        <w:spacing w:after="40" w:before="40"/>
      </w:pPr>
      <w:r>
        <w:rPr>
          <w:rFonts w:ascii="Arial" w:cs="Arial" w:eastAsia="Arial" w:hAnsi="Arial"/>
          <w:color w:val="1E1E1E"/>
          <w:sz w:val="22"/>
          <w:szCs w:val="22"/>
        </w:rPr>
        <w:t xml:space="preserve">Délai de validation Apple : 1 à 7 jours ouvrables par version soumise (Google Play : quelques heures)</w:t>
      </w:r>
    </w:p>
    <w:p>
      <w:pPr>
        <w:spacing w:after="80" w:before="120"/>
      </w:pPr>
      <w:r>
        <w:rPr>
          <w:rFonts w:ascii="Arial" w:cs="Arial" w:eastAsia="Arial" w:hAnsi="Arial"/>
          <w:b/>
          <w:bCs/>
          <w:color w:val="0B6650"/>
          <w:sz w:val="22"/>
          <w:szCs w:val="22"/>
        </w:rPr>
        <w:t xml:space="preserve">→  Coût annuel fixe supplémentaire : €92 (Apple) + €23 one-time (Google) + ~€600–1 500 maintenance OS annuelle.</w:t>
      </w:r>
    </w:p>
    <w:p>
      <w:pPr>
        <w:pStyle w:val="Heading2"/>
        <w:spacing w:after="120" w:before="280"/>
      </w:pPr>
      <w:r>
        <w:rPr>
          <w:rFonts w:ascii="Arial" w:cs="Arial" w:eastAsia="Arial" w:hAnsi="Arial"/>
          <w:b/>
          <w:bCs/>
          <w:color w:val="0B6650"/>
          <w:sz w:val="26"/>
          <w:szCs w:val="26"/>
        </w:rPr>
        <w:t xml:space="preserve">8.4 Impact sur les Coûts Variables : la Grande Opportunité TTS</w:t>
      </w:r>
    </w:p>
    <w:p>
      <w:pPr>
        <w:spacing w:after="60" w:before="60"/>
      </w:pPr>
      <w:r>
        <w:rPr>
          <w:rFonts w:ascii="Arial" w:cs="Arial" w:eastAsia="Arial" w:hAnsi="Arial"/>
          <w:color w:val="1E1E1E"/>
          <w:sz w:val="22"/>
          <w:szCs w:val="22"/>
        </w:rPr>
        <w:t xml:space="preserve">Le passage au natif ouvre une opportunité majeure : utiliser la synthèse vocale intégrée au système d’exploitation, éliminant totalement ElevenLabs pour les textes non critiques.</w:t>
      </w:r>
    </w:p>
    <w:p>
      <w:pPr>
        <w:numPr>
          <w:ilvl w:val="0"/>
          <w:numId w:val="1"/>
        </w:numPr>
        <w:spacing w:after="40" w:before="40"/>
      </w:pPr>
      <w:r>
        <w:rPr>
          <w:rFonts w:ascii="Arial" w:cs="Arial" w:eastAsia="Arial" w:hAnsi="Arial"/>
          <w:color w:val="1E1E1E"/>
          <w:sz w:val="22"/>
          <w:szCs w:val="22"/>
        </w:rPr>
        <w:t xml:space="preserve">iOS — AVSpeechSynthesizer : voix haute qualité incluses (Improved Siri voices), en français belge, entièrement gratuit, aucun appel réseau requis, fonctionne hors ligne</w:t>
      </w:r>
    </w:p>
    <w:p>
      <w:pPr>
        <w:numPr>
          <w:ilvl w:val="0"/>
          <w:numId w:val="1"/>
        </w:numPr>
        <w:spacing w:after="40" w:before="40"/>
      </w:pPr>
      <w:r>
        <w:rPr>
          <w:rFonts w:ascii="Arial" w:cs="Arial" w:eastAsia="Arial" w:hAnsi="Arial"/>
          <w:color w:val="1E1E1E"/>
          <w:sz w:val="22"/>
          <w:szCs w:val="22"/>
        </w:rPr>
        <w:t xml:space="preserve">Android — TextToSpeech API : moteur TTS Google disponible sur tous les appareils Android, gratuit, support multilingue, qualité variable selon l’appareil</w:t>
      </w:r>
    </w:p>
    <w:p>
      <w:pPr>
        <w:numPr>
          <w:ilvl w:val="0"/>
          <w:numId w:val="1"/>
        </w:numPr>
        <w:spacing w:after="40" w:before="40"/>
      </w:pPr>
      <w:r>
        <w:rPr>
          <w:rFonts w:ascii="Arial" w:cs="Arial" w:eastAsia="Arial" w:hAnsi="Arial"/>
          <w:color w:val="1E1E1E"/>
          <w:sz w:val="22"/>
          <w:szCs w:val="22"/>
        </w:rPr>
        <w:t xml:space="preserve">Stratégie hybride recommandée : TTS natif pour les messages courants (salutation, confirmations), ElevenLabs conservé uniquement pour les messages à fort impact émotionnel (urgence, hypoglycemia critique)</w:t>
      </w:r>
    </w:p>
    <w:p>
      <w:r>
        <w:t xml:space="preserve"/>
      </w:r>
    </w:p>
    <w:tbl>
      <w:tblPr>
        <w:tblW w:type="dxa" w:w="9506"/>
        <w:tblBorders>
          <w:insideH w:val="single" w:color="D0D5DD" w:sz="1"/>
          <w:insideV w:val="single" w:color="D0D5DD" w:sz="1"/>
        </w:tblBorders>
      </w:tblPr>
      <w:tblGrid>
        <w:gridCol w:w="3800"/>
        <w:gridCol w:w="2853"/>
        <w:gridCol w:w="2853"/>
      </w:tblGrid>
      <w:tr>
        <w:trPr>
          <w:tblHeader/>
        </w:trPr>
        <w:tc>
          <w:tcPr>
            <w:tcW w:type="dxa" w:w="3800"/>
            <w:shd w:fill="1D3A6E" w:val="clear"/>
            <w:tcMar>
              <w:top w:type="dxa" w:w="100"/>
              <w:left w:type="dxa" w:w="140"/>
              <w:bottom w:type="dxa" w:w="100"/>
              <w:right w:type="dxa" w:w="140"/>
            </w:tcMar>
          </w:tcPr>
          <w:p>
            <w:r>
              <w:rPr>
                <w:rFonts w:ascii="Arial" w:cs="Arial" w:eastAsia="Arial" w:hAnsi="Arial"/>
                <w:b/>
                <w:bCs/>
                <w:color w:val="FFFFFF"/>
                <w:sz w:val="20"/>
                <w:szCs w:val="20"/>
              </w:rPr>
              <w:t>Scénario TTS</w:t>
            </w:r>
          </w:p>
        </w:tc>
        <w:tc>
          <w:tcPr>
            <w:tcW w:type="dxa" w:w="2853"/>
            <w:shd w:fill="1D3A6E" w:val="clear"/>
            <w:tcMar>
              <w:top w:type="dxa" w:w="100"/>
              <w:left w:type="dxa" w:w="140"/>
              <w:bottom w:type="dxa" w:w="100"/>
              <w:right w:type="dxa" w:w="140"/>
            </w:tcMar>
          </w:tcPr>
          <w:p>
            <w:r>
              <w:rPr>
                <w:rFonts w:ascii="Arial" w:cs="Arial" w:eastAsia="Arial" w:hAnsi="Arial"/>
                <w:b/>
                <w:bCs/>
                <w:color w:val="FFFFFF"/>
                <w:sz w:val="20"/>
                <w:szCs w:val="20"/>
              </w:rPr>
              <w:t>Coût TTS/user/mois</w:t>
            </w:r>
          </w:p>
        </w:tc>
        <w:tc>
          <w:tcPr>
            <w:tcW w:type="dxa" w:w="2853"/>
            <w:shd w:fill="1D3A6E" w:val="clear"/>
            <w:tcMar>
              <w:top w:type="dxa" w:w="100"/>
              <w:left w:type="dxa" w:w="140"/>
              <w:bottom w:type="dxa" w:w="100"/>
              <w:right w:type="dxa" w:w="140"/>
            </w:tcMar>
          </w:tcPr>
          <w:p>
            <w:r>
              <w:rPr>
                <w:rFonts w:ascii="Arial" w:cs="Arial" w:eastAsia="Arial" w:hAnsi="Arial"/>
                <w:b/>
                <w:bCs/>
                <w:color w:val="FFFFFF"/>
                <w:sz w:val="20"/>
                <w:szCs w:val="20"/>
              </w:rPr>
              <w:t>Coût total variable/user/mois</w:t>
            </w:r>
          </w:p>
        </w:tc>
      </w:tr>
      <w:tr>
        <w:tc>
          <w:tcPr>
            <w:tcW w:type="dxa" w:w="3800"/>
            <w:shd w:fill="F0F4FA" w:val="clear"/>
            <w:tcMar>
              <w:top w:type="dxa" w:w="100"/>
              <w:left w:type="dxa" w:w="140"/>
              <w:bottom w:type="dxa" w:w="100"/>
              <w:right w:type="dxa" w:w="140"/>
            </w:tcMar>
          </w:tcPr>
          <w:p>
            <w:r>
              <w:rPr>
                <w:rFonts w:ascii="Arial" w:cs="Arial" w:eastAsia="Arial" w:hAnsi="Arial"/>
                <w:color w:val="1E1E1E"/>
                <w:sz w:val="20"/>
                <w:szCs w:val="20"/>
              </w:rPr>
              <w:t xml:space="preserve">PWA — ElevenLabs sans cache</w:t>
            </w:r>
          </w:p>
        </w:tc>
        <w:tc>
          <w:tcPr>
            <w:tcW w:type="dxa" w:w="2853"/>
            <w:shd w:fill="F0F4FA" w:val="clear"/>
            <w:tcMar>
              <w:top w:type="dxa" w:w="100"/>
              <w:left w:type="dxa" w:w="140"/>
              <w:bottom w:type="dxa" w:w="100"/>
              <w:right w:type="dxa" w:w="140"/>
            </w:tcMar>
          </w:tcPr>
          <w:p>
            <w:r>
              <w:rPr>
                <w:rFonts w:ascii="Arial" w:cs="Arial" w:eastAsia="Arial" w:hAnsi="Arial"/>
                <w:color w:val="1E1E1E"/>
                <w:sz w:val="20"/>
                <w:szCs w:val="20"/>
              </w:rPr>
              <w:t xml:space="preserve">$7,56</w:t>
            </w:r>
          </w:p>
        </w:tc>
        <w:tc>
          <w:tcPr>
            <w:tcW w:type="dxa" w:w="2853"/>
            <w:shd w:fill="F0F4FA" w:val="clear"/>
            <w:tcMar>
              <w:top w:type="dxa" w:w="100"/>
              <w:left w:type="dxa" w:w="140"/>
              <w:bottom w:type="dxa" w:w="100"/>
              <w:right w:type="dxa" w:w="140"/>
            </w:tcMar>
          </w:tcPr>
          <w:p>
            <w:r>
              <w:rPr>
                <w:rFonts w:ascii="Arial" w:cs="Arial" w:eastAsia="Arial" w:hAnsi="Arial"/>
                <w:color w:val="1E1E1E"/>
                <w:sz w:val="20"/>
                <w:szCs w:val="20"/>
              </w:rPr>
              <w:t xml:space="preserve">€7,89</w:t>
            </w:r>
          </w:p>
        </w:tc>
      </w:tr>
      <w:tr>
        <w:tc>
          <w:tcPr>
            <w:tcW w:type="dxa" w:w="3800"/>
            <w:shd w:fill="FFFFFF" w:val="clear"/>
            <w:tcMar>
              <w:top w:type="dxa" w:w="100"/>
              <w:left w:type="dxa" w:w="140"/>
              <w:bottom w:type="dxa" w:w="100"/>
              <w:right w:type="dxa" w:w="140"/>
            </w:tcMar>
          </w:tcPr>
          <w:p>
            <w:r>
              <w:rPr>
                <w:rFonts w:ascii="Arial" w:cs="Arial" w:eastAsia="Arial" w:hAnsi="Arial"/>
                <w:color w:val="1E1E1E"/>
                <w:sz w:val="20"/>
                <w:szCs w:val="20"/>
              </w:rPr>
              <w:t xml:space="preserve">PWA — ElevenLabs avec cache Redis (actuel)</w:t>
            </w:r>
          </w:p>
        </w:tc>
        <w:tc>
          <w:tcPr>
            <w:tcW w:type="dxa" w:w="2853"/>
            <w:shd w:fill="FFFFFF" w:val="clear"/>
            <w:tcMar>
              <w:top w:type="dxa" w:w="100"/>
              <w:left w:type="dxa" w:w="140"/>
              <w:bottom w:type="dxa" w:w="100"/>
              <w:right w:type="dxa" w:w="140"/>
            </w:tcMar>
          </w:tcPr>
          <w:p>
            <w:r>
              <w:rPr>
                <w:rFonts w:ascii="Arial" w:cs="Arial" w:eastAsia="Arial" w:hAnsi="Arial"/>
                <w:color w:val="1E1E1E"/>
                <w:sz w:val="20"/>
                <w:szCs w:val="20"/>
              </w:rPr>
              <w:t xml:space="preserve">$2,72</w:t>
            </w:r>
          </w:p>
        </w:tc>
        <w:tc>
          <w:tcPr>
            <w:tcW w:type="dxa" w:w="2853"/>
            <w:shd w:fill="FFFFFF" w:val="clear"/>
            <w:tcMar>
              <w:top w:type="dxa" w:w="100"/>
              <w:left w:type="dxa" w:w="140"/>
              <w:bottom w:type="dxa" w:w="100"/>
              <w:right w:type="dxa" w:w="140"/>
            </w:tcMar>
          </w:tcPr>
          <w:p>
            <w:r>
              <w:rPr>
                <w:rFonts w:ascii="Arial" w:cs="Arial" w:eastAsia="Arial" w:hAnsi="Arial"/>
                <w:color w:val="1E1E1E"/>
                <w:sz w:val="20"/>
                <w:szCs w:val="20"/>
              </w:rPr>
              <w:t xml:space="preserve">€3,05</w:t>
            </w:r>
          </w:p>
        </w:tc>
      </w:tr>
      <w:tr>
        <w:tc>
          <w:tcPr>
            <w:tcW w:type="dxa" w:w="3800"/>
            <w:shd w:fill="F0F4FA" w:val="clear"/>
            <w:tcMar>
              <w:top w:type="dxa" w:w="100"/>
              <w:left w:type="dxa" w:w="140"/>
              <w:bottom w:type="dxa" w:w="100"/>
              <w:right w:type="dxa" w:w="140"/>
            </w:tcMar>
          </w:tcPr>
          <w:p>
            <w:r>
              <w:rPr>
                <w:rFonts w:ascii="Arial" w:cs="Arial" w:eastAsia="Arial" w:hAnsi="Arial"/>
                <w:color w:val="1E1E1E"/>
                <w:sz w:val="20"/>
                <w:szCs w:val="20"/>
              </w:rPr>
              <w:t xml:space="preserve">Natif — TTS système uniquement (100 %)</w:t>
            </w:r>
          </w:p>
        </w:tc>
        <w:tc>
          <w:tcPr>
            <w:tcW w:type="dxa" w:w="2853"/>
            <w:shd w:fill="F0F4FA" w:val="clear"/>
            <w:tcMar>
              <w:top w:type="dxa" w:w="100"/>
              <w:left w:type="dxa" w:w="140"/>
              <w:bottom w:type="dxa" w:w="100"/>
              <w:right w:type="dxa" w:w="140"/>
            </w:tcMar>
          </w:tcPr>
          <w:p>
            <w:r>
              <w:rPr>
                <w:rFonts w:ascii="Arial" w:cs="Arial" w:eastAsia="Arial" w:hAnsi="Arial"/>
                <w:color w:val="1E1E1E"/>
                <w:sz w:val="20"/>
                <w:szCs w:val="20"/>
              </w:rPr>
              <w:t xml:space="preserve">$0,00</w:t>
            </w:r>
          </w:p>
        </w:tc>
        <w:tc>
          <w:tcPr>
            <w:tcW w:type="dxa" w:w="2853"/>
            <w:shd w:fill="F0F4FA" w:val="clear"/>
            <w:tcMar>
              <w:top w:type="dxa" w:w="100"/>
              <w:left w:type="dxa" w:w="140"/>
              <w:bottom w:type="dxa" w:w="100"/>
              <w:right w:type="dxa" w:w="140"/>
            </w:tcMar>
          </w:tcPr>
          <w:p>
            <w:r>
              <w:rPr>
                <w:rFonts w:ascii="Arial" w:cs="Arial" w:eastAsia="Arial" w:hAnsi="Arial"/>
                <w:color w:val="1E1E1E"/>
                <w:sz w:val="20"/>
                <w:szCs w:val="20"/>
              </w:rPr>
              <w:t xml:space="preserve">€0,33</w:t>
            </w:r>
          </w:p>
        </w:tc>
      </w:tr>
      <w:tr>
        <w:tc>
          <w:tcPr>
            <w:tcW w:type="dxa" w:w="3800"/>
            <w:shd w:fill="FFFFFF" w:val="clear"/>
            <w:tcMar>
              <w:top w:type="dxa" w:w="100"/>
              <w:left w:type="dxa" w:w="140"/>
              <w:bottom w:type="dxa" w:w="100"/>
              <w:right w:type="dxa" w:w="140"/>
            </w:tcMar>
          </w:tcPr>
          <w:p>
            <w:r>
              <w:rPr>
                <w:rFonts w:ascii="Arial" w:cs="Arial" w:eastAsia="Arial" w:hAnsi="Arial"/>
                <w:b/>
                <w:bCs/>
                <w:color w:val="1E1E1E"/>
                <w:sz w:val="20"/>
                <w:szCs w:val="20"/>
              </w:rPr>
              <w:t xml:space="preserve">Natif — Hybride (80 % système + 20 % ElevenLabs)</w:t>
            </w:r>
          </w:p>
        </w:tc>
        <w:tc>
          <w:tcPr>
            <w:tcW w:type="dxa" w:w="2853"/>
            <w:shd w:fill="FFFFFF" w:val="clear"/>
            <w:tcMar>
              <w:top w:type="dxa" w:w="100"/>
              <w:left w:type="dxa" w:w="140"/>
              <w:bottom w:type="dxa" w:w="100"/>
              <w:right w:type="dxa" w:w="140"/>
            </w:tcMar>
          </w:tcPr>
          <w:p>
            <w:r>
              <w:rPr>
                <w:rFonts w:ascii="Arial" w:cs="Arial" w:eastAsia="Arial" w:hAnsi="Arial"/>
                <w:b/>
                <w:bCs/>
                <w:color w:val="1E1E1E"/>
                <w:sz w:val="20"/>
                <w:szCs w:val="20"/>
              </w:rPr>
              <w:t xml:space="preserve">$0,54</w:t>
            </w:r>
          </w:p>
        </w:tc>
        <w:tc>
          <w:tcPr>
            <w:tcW w:type="dxa" w:w="2853"/>
            <w:shd w:fill="E8F5EE" w:val="clear"/>
            <w:tcMar>
              <w:top w:type="dxa" w:w="100"/>
              <w:left w:type="dxa" w:w="140"/>
              <w:bottom w:type="dxa" w:w="100"/>
              <w:right w:type="dxa" w:w="140"/>
            </w:tcMar>
          </w:tcPr>
          <w:p>
            <w:r>
              <w:rPr>
                <w:rFonts w:ascii="Arial" w:cs="Arial" w:eastAsia="Arial" w:hAnsi="Arial"/>
                <w:b/>
                <w:bCs/>
                <w:color w:val="0B6650"/>
                <w:sz w:val="20"/>
                <w:szCs w:val="20"/>
              </w:rPr>
              <w:t xml:space="preserve">€0,87</w:t>
            </w:r>
          </w:p>
        </w:tc>
      </w:tr>
    </w:tbl>
    <w:p>
      <w:pPr>
        <w:spacing w:after="80" w:before="120"/>
      </w:pPr>
      <w:r>
        <w:rPr>
          <w:rFonts w:ascii="Arial" w:cs="Arial" w:eastAsia="Arial" w:hAnsi="Arial"/>
          <w:b/>
          <w:bCs/>
          <w:color w:val="0B6650"/>
          <w:sz w:val="22"/>
          <w:szCs w:val="22"/>
        </w:rPr>
        <w:t xml:space="preserve">→  Le scénario hybride (80 % TTS natif + 20 % ElevenLabs pour les moments clés) ramène le coût variable à €0,87/user/mois — soit une réduction de 89 % vs la PWA sans optimisation.</w:t>
      </w:r>
    </w:p>
    <w:p>
      <w:pPr>
        <w:pStyle w:val="Heading2"/>
        <w:spacing w:after="120" w:before="280"/>
      </w:pPr>
      <w:r>
        <w:rPr>
          <w:rFonts w:ascii="Arial" w:cs="Arial" w:eastAsia="Arial" w:hAnsi="Arial"/>
          <w:b/>
          <w:bCs/>
          <w:color w:val="0B6650"/>
          <w:sz w:val="26"/>
          <w:szCs w:val="26"/>
        </w:rPr>
        <w:t xml:space="preserve">8.5 Avantages et Contraintes du Natif</w:t>
      </w:r>
    </w:p>
    <w:p>
      <w:pPr>
        <w:spacing w:after="40" w:before="80"/>
      </w:pPr>
      <w:r>
        <w:rPr>
          <w:rFonts w:ascii="Arial" w:cs="Arial" w:eastAsia="Arial" w:hAnsi="Arial"/>
          <w:b/>
          <w:bCs/>
          <w:color w:val="0B6650"/>
          <w:sz w:val="22"/>
          <w:szCs w:val="22"/>
        </w:rPr>
        <w:t xml:space="preserve">Ce que le natif apporte en plus :</w:t>
      </w:r>
    </w:p>
    <w:p>
      <w:pPr>
        <w:numPr>
          <w:ilvl w:val="0"/>
          <w:numId w:val="1"/>
        </w:numPr>
        <w:spacing w:after="40" w:before="40"/>
      </w:pPr>
      <w:r>
        <w:rPr>
          <w:rFonts w:ascii="Arial" w:cs="Arial" w:eastAsia="Arial" w:hAnsi="Arial"/>
          <w:color w:val="1E1E1E"/>
          <w:sz w:val="22"/>
          <w:szCs w:val="22"/>
        </w:rPr>
        <w:t xml:space="preserve">Notifications push fiables en arrière-plan (APNs iOS — les SW notifications sont limitées sur iOS Safari)</w:t>
      </w:r>
    </w:p>
    <w:p>
      <w:pPr>
        <w:numPr>
          <w:ilvl w:val="0"/>
          <w:numId w:val="1"/>
        </w:numPr>
        <w:spacing w:after="40" w:before="40"/>
      </w:pPr>
      <w:r>
        <w:rPr>
          <w:rFonts w:ascii="Arial" w:cs="Arial" w:eastAsia="Arial" w:hAnsi="Arial"/>
          <w:color w:val="1E1E1E"/>
          <w:sz w:val="22"/>
          <w:szCs w:val="22"/>
        </w:rPr>
        <w:t xml:space="preserve">Intégration HealthKit (iOS) et Google Fit (Android) : import automatique des données de glycémie depuis des appareils connectés</w:t>
      </w:r>
    </w:p>
    <w:p>
      <w:pPr>
        <w:numPr>
          <w:ilvl w:val="0"/>
          <w:numId w:val="1"/>
        </w:numPr>
        <w:spacing w:after="40" w:before="40"/>
      </w:pPr>
      <w:r>
        <w:rPr>
          <w:rFonts w:ascii="Arial" w:cs="Arial" w:eastAsia="Arial" w:hAnsi="Arial"/>
          <w:color w:val="1E1E1E"/>
          <w:sz w:val="22"/>
          <w:szCs w:val="22"/>
        </w:rPr>
        <w:t xml:space="preserve">Bluetooth : connexion directe avec glucomètres (Dexcom, Abbott FreeStyle, Contour) sans interface manuelle</w:t>
      </w:r>
    </w:p>
    <w:p>
      <w:pPr>
        <w:numPr>
          <w:ilvl w:val="0"/>
          <w:numId w:val="1"/>
        </w:numPr>
        <w:spacing w:after="40" w:before="40"/>
      </w:pPr>
      <w:r>
        <w:rPr>
          <w:rFonts w:ascii="Arial" w:cs="Arial" w:eastAsia="Arial" w:hAnsi="Arial"/>
          <w:color w:val="1E1E1E"/>
          <w:sz w:val="22"/>
          <w:szCs w:val="22"/>
        </w:rPr>
        <w:t xml:space="preserve">Performance et animations natives — expérience plus fluide, accès aux APIs haptics, accéléromètre</w:t>
      </w:r>
    </w:p>
    <w:p>
      <w:pPr>
        <w:numPr>
          <w:ilvl w:val="0"/>
          <w:numId w:val="1"/>
        </w:numPr>
        <w:spacing w:after="40" w:before="40"/>
      </w:pPr>
      <w:r>
        <w:rPr>
          <w:rFonts w:ascii="Arial" w:cs="Arial" w:eastAsia="Arial" w:hAnsi="Arial"/>
          <w:color w:val="1E1E1E"/>
          <w:sz w:val="22"/>
          <w:szCs w:val="22"/>
        </w:rPr>
        <w:t xml:space="preserve">Présence dans les stores : meilleure visibilité et crédibilité pour une app médicale</w:t>
      </w:r>
    </w:p>
    <w:p>
      <w:pPr>
        <w:spacing w:after="40" w:before="80"/>
      </w:pPr>
      <w:r>
        <w:rPr>
          <w:rFonts w:ascii="Arial" w:cs="Arial" w:eastAsia="Arial" w:hAnsi="Arial"/>
          <w:b/>
          <w:bCs/>
          <w:color w:val="C0392B"/>
          <w:sz w:val="22"/>
          <w:szCs w:val="22"/>
        </w:rPr>
        <w:t xml:space="preserve">Ce que le natif coûte en plus :</w:t>
      </w:r>
    </w:p>
    <w:p>
      <w:pPr>
        <w:numPr>
          <w:ilvl w:val="0"/>
          <w:numId w:val="1"/>
        </w:numPr>
        <w:spacing w:after="40" w:before="40"/>
      </w:pPr>
      <w:r>
        <w:rPr>
          <w:rFonts w:ascii="Arial" w:cs="Arial" w:eastAsia="Arial" w:hAnsi="Arial"/>
          <w:color w:val="1E1E1E"/>
          <w:sz w:val="22"/>
          <w:szCs w:val="22"/>
        </w:rPr>
        <w:t xml:space="preserve">Cycle de développement plus long : chaque fonctionnalité doit être implémentée et testée sur deux plateformes</w:t>
      </w:r>
    </w:p>
    <w:p>
      <w:pPr>
        <w:numPr>
          <w:ilvl w:val="0"/>
          <w:numId w:val="1"/>
        </w:numPr>
        <w:spacing w:after="40" w:before="40"/>
      </w:pPr>
      <w:r>
        <w:rPr>
          <w:rFonts w:ascii="Arial" w:cs="Arial" w:eastAsia="Arial" w:hAnsi="Arial"/>
          <w:color w:val="1E1E1E"/>
          <w:sz w:val="22"/>
          <w:szCs w:val="22"/>
        </w:rPr>
        <w:t xml:space="preserve">Soumission Apple contraignante : validation manuelle, risque de rejet (conformité aux guidelines médicales App Store)</w:t>
      </w:r>
    </w:p>
    <w:p>
      <w:pPr>
        <w:numPr>
          <w:ilvl w:val="0"/>
          <w:numId w:val="1"/>
        </w:numPr>
        <w:spacing w:after="40" w:before="40"/>
      </w:pPr>
      <w:r>
        <w:rPr>
          <w:rFonts w:ascii="Arial" w:cs="Arial" w:eastAsia="Arial" w:hAnsi="Arial"/>
          <w:color w:val="1E1E1E"/>
          <w:sz w:val="22"/>
          <w:szCs w:val="22"/>
        </w:rPr>
        <w:t xml:space="preserve">Maintenance OS : mises à jour obligatoires à chaque nouvelle version d’iOS / Android (1–3 j/an)</w:t>
      </w:r>
    </w:p>
    <w:p>
      <w:pPr>
        <w:numPr>
          <w:ilvl w:val="0"/>
          <w:numId w:val="1"/>
        </w:numPr>
        <w:spacing w:after="40" w:before="40"/>
      </w:pPr>
      <w:r>
        <w:rPr>
          <w:rFonts w:ascii="Arial" w:cs="Arial" w:eastAsia="Arial" w:hAnsi="Arial"/>
          <w:color w:val="1E1E1E"/>
          <w:sz w:val="22"/>
          <w:szCs w:val="22"/>
        </w:rPr>
        <w:t xml:space="preserve">Perte de la souplesse PWA : déploiement instantané impossible, chaque modification nécessite une soumission store</w:t>
      </w:r>
    </w:p>
    <w:p>
      <w:pPr>
        <w:pStyle w:val="Heading2"/>
        <w:spacing w:after="120" w:before="280"/>
      </w:pPr>
      <w:r>
        <w:rPr>
          <w:rFonts w:ascii="Arial" w:cs="Arial" w:eastAsia="Arial" w:hAnsi="Arial"/>
          <w:b/>
          <w:bCs/>
          <w:color w:val="0B6650"/>
          <w:sz w:val="26"/>
          <w:szCs w:val="26"/>
        </w:rPr>
        <w:t xml:space="preserve">8.6 Recommandation Stratégique</w:t>
      </w:r>
    </w:p>
    <w:p>
      <w:pPr>
        <w:spacing w:after="60" w:before="60"/>
      </w:pPr>
      <w:r>
        <w:rPr>
          <w:rFonts w:ascii="Arial" w:cs="Arial" w:eastAsia="Arial" w:hAnsi="Arial"/>
          <w:color w:val="1E1E1E"/>
          <w:sz w:val="22"/>
          <w:szCs w:val="22"/>
        </w:rPr>
        <w:t xml:space="preserve">La PWA reste la bonne décision pour la phase actuelle. Le passage au natif se justifiera lorsque :</w:t>
      </w:r>
    </w:p>
    <w:p>
      <w:pPr>
        <w:numPr>
          <w:ilvl w:val="0"/>
          <w:numId w:val="1"/>
        </w:numPr>
        <w:spacing w:after="40" w:before="40"/>
      </w:pPr>
      <w:r>
        <w:rPr>
          <w:rFonts w:ascii="Arial" w:cs="Arial" w:eastAsia="Arial" w:hAnsi="Arial"/>
          <w:color w:val="1E1E1E"/>
          <w:sz w:val="22"/>
          <w:szCs w:val="22"/>
        </w:rPr>
        <w:t xml:space="preserve">La base atteint 200+ utilisateurs actifs et que les marges valident l’investissement supplémentaire</w:t>
      </w:r>
    </w:p>
    <w:p>
      <w:pPr>
        <w:numPr>
          <w:ilvl w:val="0"/>
          <w:numId w:val="1"/>
        </w:numPr>
        <w:spacing w:after="40" w:before="40"/>
      </w:pPr>
      <w:r>
        <w:rPr>
          <w:rFonts w:ascii="Arial" w:cs="Arial" w:eastAsia="Arial" w:hAnsi="Arial"/>
          <w:color w:val="1E1E1E"/>
          <w:sz w:val="22"/>
          <w:szCs w:val="22"/>
        </w:rPr>
        <w:t xml:space="preserve">L’intégration Bluetooth glucomètre devient une demande forte des utilisateurs ou prescripteurs</w:t>
      </w:r>
    </w:p>
    <w:p>
      <w:pPr>
        <w:numPr>
          <w:ilvl w:val="0"/>
          <w:numId w:val="1"/>
        </w:numPr>
        <w:spacing w:after="40" w:before="40"/>
      </w:pPr>
      <w:r>
        <w:rPr>
          <w:rFonts w:ascii="Arial" w:cs="Arial" w:eastAsia="Arial" w:hAnsi="Arial"/>
          <w:color w:val="1E1E1E"/>
          <w:sz w:val="22"/>
          <w:szCs w:val="22"/>
        </w:rPr>
        <w:t xml:space="preserve">Les limitations iOS Safari (notifications, offline) deviennent un frein réel à la rétention</w:t>
      </w:r>
    </w:p>
    <w:p>
      <w:pPr>
        <w:spacing w:after="40" w:before="80"/>
      </w:pPr>
      <w:r>
        <w:rPr>
          <w:rFonts w:ascii="Arial" w:cs="Arial" w:eastAsia="Arial" w:hAnsi="Arial"/>
          <w:b/>
          <w:bCs/>
          <w:color w:val="1D3A6E"/>
          <w:sz w:val="22"/>
          <w:szCs w:val="22"/>
        </w:rPr>
        <w:t xml:space="preserve">Le chemin recommandé :</w:t>
      </w:r>
    </w:p>
    <w:p>
      <w:pPr>
        <w:numPr>
          <w:ilvl w:val="0"/>
          <w:numId w:val="1"/>
        </w:numPr>
        <w:spacing w:after="40" w:before="40"/>
      </w:pPr>
      <w:r>
        <w:rPr>
          <w:rFonts w:ascii="Arial" w:cs="Arial" w:eastAsia="Arial" w:hAnsi="Arial"/>
          <w:color w:val="1E1E1E"/>
          <w:sz w:val="22"/>
          <w:szCs w:val="22"/>
        </w:rPr>
        <w:t xml:space="preserve">Phase 1 (maintenant) : PWA optimisée avec cache TTS — coût variable €3,05/user/mois, time-to-market immédiat</w:t>
      </w:r>
    </w:p>
    <w:p>
      <w:pPr>
        <w:numPr>
          <w:ilvl w:val="0"/>
          <w:numId w:val="1"/>
        </w:numPr>
        <w:spacing w:after="40" w:before="40"/>
      </w:pPr>
      <w:r>
        <w:rPr>
          <w:rFonts w:ascii="Arial" w:cs="Arial" w:eastAsia="Arial" w:hAnsi="Arial"/>
          <w:color w:val="1E1E1E"/>
          <w:sz w:val="22"/>
          <w:szCs w:val="22"/>
        </w:rPr>
        <w:t xml:space="preserve">Phase 2 (à 200 users) : App native React Native assistée IA — investissement €1 125, TTS hybride à €0,87/user/mois</w:t>
      </w:r>
    </w:p>
    <w:p>
      <w:pPr>
        <w:numPr>
          <w:ilvl w:val="0"/>
          <w:numId w:val="1"/>
        </w:numPr>
        <w:spacing w:after="40" w:before="40"/>
      </w:pPr>
      <w:r>
        <w:rPr>
          <w:rFonts w:ascii="Arial" w:cs="Arial" w:eastAsia="Arial" w:hAnsi="Arial"/>
          <w:color w:val="1E1E1E"/>
          <w:sz w:val="22"/>
          <w:szCs w:val="22"/>
        </w:rPr>
        <w:t xml:space="preserve">Phase 3 (à 500+ users) : Natif pur Swift + Kotlin si HealthKit / Bluetooth requis — investissement €60 800 classique ou €6 000–8 000 assisté IA</w:t>
      </w:r>
    </w:p>
    <w:p>
      <w:pPr>
        <w:spacing w:after="80" w:before="120"/>
      </w:pPr>
      <w:r>
        <w:rPr>
          <w:rFonts w:ascii="Arial" w:cs="Arial" w:eastAsia="Arial" w:hAnsi="Arial"/>
          <w:b/>
          <w:bCs/>
          <w:color w:val="0B6650"/>
          <w:sz w:val="22"/>
          <w:szCs w:val="22"/>
        </w:rPr>
        <w:t xml:space="preserve">→  Conclusion : le natif multiplateforme assisté par IA réduit le coût de développement de €30 400 à €1 125 et élimine jusqu’à 89 % du coût TTS. C’est une étape rentable à partir de 200 utilisateurs.</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2" w:space="4"/>
      </w:pBdr>
      <w:jc w:val="center"/>
    </w:pPr>
    <w:r>
      <w:rPr>
        <w:rFonts w:ascii="Arial" w:cs="Arial" w:eastAsia="Arial" w:hAnsi="Arial"/>
        <w:color w:val="6B7280"/>
        <w:sz w:val="18"/>
        <w:szCs w:val="18"/>
      </w:rPr>
      <w:t xml:space="preserve">Confidentiel  —  </w:t>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Mai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6650" w:sz="2" w:space="4"/>
      </w:pBdr>
    </w:pPr>
    <w:r>
      <w:rPr>
        <w:rFonts w:ascii="Arial" w:cs="Arial" w:eastAsia="Arial" w:hAnsi="Arial"/>
        <w:b/>
        <w:bCs/>
        <w:color w:val="0B6650"/>
        <w:sz w:val="20"/>
        <w:szCs w:val="20"/>
      </w:rPr>
      <w:t xml:space="preserve">Mon Sucre PWA</w:t>
    </w:r>
    <w:r>
      <w:rPr>
        <w:rFonts w:ascii="Arial" w:cs="Arial" w:eastAsia="Arial" w:hAnsi="Arial"/>
        <w:color w:val="6B7280"/>
        <w:sz w:val="20"/>
        <w:szCs w:val="20"/>
      </w:rPr>
      <w:t xml:space="preserve">   |   Analyse Financière &amp; Modèle Économique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D3A6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B665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D3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2026-05-22T12:47:49.217Z</dcterms:created>
  <dcterms:modified xsi:type="dcterms:W3CDTF">2026-05-22T12:47:49.218Z</dcterms:modified>
</cp:coreProperties>
</file>

<file path=docProps/custom.xml><?xml version="1.0" encoding="utf-8"?>
<Properties xmlns="http://schemas.openxmlformats.org/officeDocument/2006/custom-properties" xmlns:vt="http://schemas.openxmlformats.org/officeDocument/2006/docPropsVTypes"/>
</file>