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color w:val="0B6650"/>
          <w:sz w:val="72"/>
          <w:szCs w:val="72"/>
        </w:rPr>
        <w:t xml:space="preserve">MON SUCRE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6B7280"/>
          <w:sz w:val="32"/>
          <w:szCs w:val="32"/>
        </w:rPr>
        <w:t xml:space="preserve">Application PWA — Diabète Senior</w:t>
      </w:r>
    </w:p>
    <w:p>
      <w:pPr>
        <w:pBdr>
          <w:top w:val="single" w:color="0B6650" w:sz="3" w:space="4"/>
          <w:bottom w:val="single" w:color="0B6650" w:sz="3" w:space="4"/>
        </w:pBdr>
        <w:spacing w:after="200" w:before="200"/>
        <w:jc w:val="center"/>
      </w:pPr>
      <w:r>
        <w:rPr>
          <w:rFonts w:ascii="Arial" w:cs="Arial" w:eastAsia="Arial" w:hAnsi="Arial"/>
          <w:b/>
          <w:bCs/>
          <w:color w:val="1D3A6E"/>
          <w:sz w:val="40"/>
          <w:szCs w:val="40"/>
        </w:rPr>
        <w:t xml:space="preserve">EXPERTISE FINANCIÈRE</w:t>
      </w:r>
    </w:p>
    <w:p>
      <w:pPr>
        <w:spacing w:after="200" w:before="20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Coûts de développement  ·  Coûts à l'usage  ·  Pricing  ·  Marges</w:t>
      </w:r>
    </w:p>
    <w:p>
      <w:pPr>
        <w:spacing w:after="0" w:before="60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Mai 2026  —  Confidentiel</w:t>
      </w:r>
    </w:p>
    <w:p>
      <w:r>
        <w:br w:type="page"/>
      </w:r>
    </w:p>
    <w:p>
      <w:pPr>
        <w:pStyle w:val="Heading1"/>
        <w:pBdr>
          <w:bottom w:val="single" w:color="0B6650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D3A6E"/>
          <w:sz w:val="32"/>
          <w:szCs w:val="32"/>
        </w:rPr>
        <w:t xml:space="preserve">1. Architecture Technique &amp; APIs Utilisées</w:t>
      </w:r>
    </w:p>
    <w:p>
      <w:pPr>
        <w:spacing w:after="100" w:before="60"/>
      </w:pPr>
      <w:r>
        <w:rPr>
          <w:rFonts w:ascii="Arial" w:cs="Arial" w:eastAsia="Arial" w:hAnsi="Arial"/>
          <w:color w:val="1E1E1E"/>
          <w:sz w:val="22"/>
          <w:szCs w:val="22"/>
        </w:rPr>
        <w:t xml:space="preserve">Mon Sucre est une Progressive Web App (PWA) hébergée sur Vercel (serverless) avec Redis comme base de données. Elle repose sur quatre fournisseurs d'API externes.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00"/>
        <w:gridCol w:w="2300"/>
        <w:gridCol w:w="2506"/>
      </w:tblGrid>
      <w:tr>
        <w:trPr>
          <w:tblHeader/>
        </w:trP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Service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Usage dans l'app</w:t>
            </w:r>
          </w:p>
        </w:tc>
        <w:tc>
          <w:tcPr>
            <w:tcW w:type="dxa" w:w="2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Plan actuel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Tarif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ElevenLabs TTS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Voix Matilda — salutation, feedback glycémie, résultats repas</w:t>
            </w:r>
          </w:p>
        </w:tc>
        <w:tc>
          <w:tcPr>
            <w:tcW w:type="dxa" w:w="2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Creator / Pro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$0,18–0,30 / 1 000 chars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D3A6E"/>
                <w:sz w:val="22"/>
                <w:szCs w:val="22"/>
              </w:rPr>
              <w:t xml:space="preserve">OpenAI GPT-4o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Analyse photo repas (Vision), analyse vocale repas, scan médicament</w:t>
            </w:r>
          </w:p>
        </w:tc>
        <w:tc>
          <w:tcPr>
            <w:tcW w:type="dxa" w:w="2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Pay-as-you-go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$2,50 / 1M tokens input
$10 / 1M tokens output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5E00"/>
                <w:sz w:val="22"/>
                <w:szCs w:val="22"/>
              </w:rPr>
              <w:t xml:space="preserve">SMS (OTP Auth)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Code de vérification à la connexion (sécurité sans mot de passe)</w:t>
            </w:r>
          </w:p>
        </w:tc>
        <w:tc>
          <w:tcPr>
            <w:tcW w:type="dxa" w:w="2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Pay-as-you-go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±€0,07 / SMS Belgique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Vercel + Redis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Hébergement serverless + base de données utilisateurs</w:t>
            </w:r>
          </w:p>
        </w:tc>
        <w:tc>
          <w:tcPr>
            <w:tcW w:type="dxa" w:w="2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Pro + Upstash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$20 fixe + usage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0B6650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D3A6E"/>
          <w:sz w:val="32"/>
          <w:szCs w:val="32"/>
        </w:rPr>
        <w:t xml:space="preserve">2. Investissement Développement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2.1 Valeur marché — développement classique</w:t>
      </w:r>
    </w:p>
    <w:p>
      <w:pPr>
        <w:spacing w:after="100" w:before="60"/>
      </w:pPr>
      <w:r>
        <w:rPr>
          <w:rFonts w:ascii="Arial" w:cs="Arial" w:eastAsia="Arial" w:hAnsi="Arial"/>
          <w:color w:val="1E1E1E"/>
          <w:sz w:val="22"/>
          <w:szCs w:val="22"/>
        </w:rPr>
        <w:t xml:space="preserve">Si ce projet avait été développé par une équipe externe, le coût estimé serait :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800"/>
        <w:gridCol w:w="1800"/>
        <w:gridCol w:w="2106"/>
      </w:tblGrid>
      <w:tr>
        <w:trPr>
          <w:tblHeader/>
        </w:trP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Poste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Jours estimés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Taux (€/j)</w:t>
            </w:r>
          </w:p>
        </w:tc>
        <w:tc>
          <w:tcPr>
            <w:tcW w:type="dxa" w:w="21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Coût estimé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Frontend PWA (HTML/CSS/JS, iOS Safari, SW, offline)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15 j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€800</w:t>
            </w:r>
          </w:p>
        </w:tc>
        <w:tc>
          <w:tcPr>
            <w:tcW w:type="dxa" w:w="21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€12 000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Backend Vercel (8 routes serverless, auth SMS, sync)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10 j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€800</w:t>
            </w:r>
          </w:p>
        </w:tc>
        <w:tc>
          <w:tcPr>
            <w:tcW w:type="dxa" w:w="21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€8 000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Design UX/UI senior-friendly (accessibilité, tests)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5 j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€800</w:t>
            </w:r>
          </w:p>
        </w:tc>
        <w:tc>
          <w:tcPr>
            <w:tcW w:type="dxa" w:w="21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€4 000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Intégrations API (ElevenLabs, OpenAI, SMS, Redis)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5 j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€800</w:t>
            </w:r>
          </w:p>
        </w:tc>
        <w:tc>
          <w:tcPr>
            <w:tcW w:type="dxa" w:w="21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€4 000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Tests, déploiement, sécurité, audits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5 j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€800</w:t>
            </w:r>
          </w:p>
        </w:tc>
        <w:tc>
          <w:tcPr>
            <w:tcW w:type="dxa" w:w="21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€4 000</w:t>
            </w:r>
          </w:p>
        </w:tc>
      </w:tr>
      <w:tr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TOTAL développement classique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40 j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/>
            </w:r>
          </w:p>
        </w:tc>
        <w:tc>
          <w:tcPr>
            <w:tcW w:type="dxa" w:w="21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€32 000</w:t>
            </w:r>
          </w:p>
        </w:tc>
      </w:tr>
    </w:tbl>
    <w:p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2.2 Coût réel — développement assisté par IA (Claude)</w:t>
      </w:r>
    </w:p>
    <w:p>
      <w:pPr>
        <w:spacing w:after="100" w:before="60"/>
      </w:pPr>
      <w:r>
        <w:rPr>
          <w:rFonts w:ascii="Arial" w:cs="Arial" w:eastAsia="Arial" w:hAnsi="Arial"/>
          <w:color w:val="1E1E1E"/>
          <w:sz w:val="22"/>
          <w:szCs w:val="22"/>
        </w:rPr>
        <w:t xml:space="preserve">Grâce à l'assistance IA (Claude Cowork), le développement a été réalisé avec un facteur d'accélération ×8 à ×10 :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500"/>
        <w:gridCol w:w="2506"/>
      </w:tblGrid>
      <w:tr>
        <w:trPr>
          <w:tblHeader/>
        </w:trPr>
        <w:tc>
          <w:tcPr>
            <w:tcW w:type="dxa" w:w="4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0B665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Poste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0B665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Détail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0B665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Coût</w:t>
            </w:r>
          </w:p>
        </w:tc>
      </w:tr>
      <w:tr>
        <w:tc>
          <w:tcPr>
            <w:tcW w:type="dxa" w:w="4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Supervision &amp; validation (développeur senior)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~40h × €150/h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€6 000</w:t>
            </w:r>
          </w:p>
        </w:tc>
      </w:tr>
      <w:tr>
        <w:tc>
          <w:tcPr>
            <w:tcW w:type="dxa" w:w="4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Abonnement Claude Pro (3 mois)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€20/mois × 3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€60</w:t>
            </w:r>
          </w:p>
        </w:tc>
      </w:tr>
      <w:tr>
        <w:tc>
          <w:tcPr>
            <w:tcW w:type="dxa" w:w="4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Outils &amp; domaine (Vercel, Redis setup)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Frais initiaux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€200</w:t>
            </w:r>
          </w:p>
        </w:tc>
      </w:tr>
      <w:tr>
        <w:tc>
          <w:tcPr>
            <w:tcW w:type="dxa" w:w="4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COÛT RÉEL DE DÉVELOPPEMENT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Économie : 81 %</w:t>
            </w:r>
          </w:p>
        </w:tc>
        <w:tc>
          <w:tcPr>
            <w:tcW w:type="dxa" w:w="2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€6 260</w:t>
            </w:r>
          </w:p>
        </w:tc>
      </w:tr>
    </w:tbl>
    <w:p>
      <w:r>
        <w:t xml:space="preserve"/>
      </w:r>
    </w:p>
    <w:p>
      <w:pPr>
        <w:spacing w:after="60" w:before="40"/>
        <w:ind w:left="36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→  Valeur technologique créée : €32 000 — Investissement réel : €6 260 — Plus-value immédiate : €25 740</w:t>
      </w:r>
    </w:p>
    <w:p>
      <w:r>
        <w:br w:type="page"/>
      </w:r>
    </w:p>
    <w:p>
      <w:pPr>
        <w:pStyle w:val="Heading1"/>
        <w:pBdr>
          <w:bottom w:val="single" w:color="0B6650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D3A6E"/>
          <w:sz w:val="32"/>
          <w:szCs w:val="32"/>
        </w:rPr>
        <w:t xml:space="preserve">3. Coûts Variables à l'Usage (par utilisateur/mois)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3.1 Hypothèses de consommation (utilisateur type)</w:t>
      </w:r>
    </w:p>
    <w:p>
      <w:pPr>
        <w:spacing w:after="100" w:before="60"/>
      </w:pPr>
      <w:r>
        <w:rPr>
          <w:rFonts w:ascii="Arial" w:cs="Arial" w:eastAsia="Arial" w:hAnsi="Arial"/>
          <w:color w:val="1E1E1E"/>
          <w:sz w:val="22"/>
          <w:szCs w:val="22"/>
        </w:rPr>
        <w:t xml:space="preserve">Profil : senior diabétique, usage quotidien modéré.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000"/>
        <w:gridCol w:w="3006"/>
      </w:tblGrid>
      <w:tr>
        <w:trPr>
          <w:tblHeader/>
        </w:trP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Fréquence/mois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Consommation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Note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Salutation vocale à l'ouverture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30×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~300 chars/fois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9 000 chars/mois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Feedback glycémie (vocal)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30×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~350 chars/fois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10 500 chars/mois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Conseil repas (vocal)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30×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~400 chars/fois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12 000 chars/mois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Analyse photo repas (GPT-4o Vision)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20×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~1 800 tokens/fois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36 000 tokens/mois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Analyse vocale repas (GPT-4o)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15×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~500 tokens/fois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7 500 tokens/mois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Scan médicament (GPT-4o Vision)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3×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~1 800 tokens/fois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5 400 tokens/mois</w:t>
            </w:r>
          </w:p>
        </w:tc>
      </w:tr>
      <w:tr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OTP SMS (ré-authentification)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1×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 SMS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 SMS/mois</w:t>
            </w:r>
          </w:p>
        </w:tc>
      </w:tr>
    </w:tbl>
    <w:p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3.2 Coût par utilisateur/mois — sans optimisation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2706"/>
      </w:tblGrid>
      <w:tr>
        <w:trPr>
          <w:tblHeader/>
        </w:trP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Service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Volume mensuel/user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Tarif unitaire</w:t>
            </w:r>
          </w:p>
        </w:tc>
        <w:tc>
          <w:tcPr>
            <w:tcW w:type="dxa" w:w="27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Coût/user/mois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ElevenLabs TTS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31 500 chars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$0,24 / 1k chars</w:t>
            </w:r>
          </w:p>
        </w:tc>
        <w:tc>
          <w:tcPr>
            <w:tcW w:type="dxa" w:w="27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$7,56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OpenAI GPT-4o (input)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48 900 tokens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$2,50 / 1M tokens</w:t>
            </w:r>
          </w:p>
        </w:tc>
        <w:tc>
          <w:tcPr>
            <w:tcW w:type="dxa" w:w="27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$0,12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OpenAI GPT-4o (output)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~12 000 tokens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$10 / 1M tokens</w:t>
            </w:r>
          </w:p>
        </w:tc>
        <w:tc>
          <w:tcPr>
            <w:tcW w:type="dxa" w:w="27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$0,12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SMS OTP (Twilio/Vonage)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 SMS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€0,07 / SMS</w:t>
            </w:r>
          </w:p>
        </w:tc>
        <w:tc>
          <w:tcPr>
            <w:tcW w:type="dxa" w:w="27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$0,07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Vercel + Redis (quote-part)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~600 req + ~1 500 cmds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Forfait $20/mois</w:t>
            </w:r>
          </w:p>
        </w:tc>
        <w:tc>
          <w:tcPr>
            <w:tcW w:type="dxa" w:w="27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$0,02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TOTAL SANS OPTIMISATION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/>
            </w:r>
          </w:p>
        </w:tc>
        <w:tc>
          <w:tcPr>
            <w:tcW w:type="dxa" w:w="27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≈ $7,89 / user / mois</w:t>
            </w:r>
          </w:p>
        </w:tc>
      </w:tr>
    </w:tbl>
    <w:p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3.3 Coût par utilisateur/mois — avec optimisation TTS</w:t>
      </w:r>
    </w:p>
    <w:p>
      <w:pPr>
        <w:spacing w:after="100" w:before="60"/>
      </w:pPr>
      <w:r>
        <w:rPr>
          <w:rFonts w:ascii="Arial" w:cs="Arial" w:eastAsia="Arial" w:hAnsi="Arial"/>
          <w:color w:val="1E1E1E"/>
          <w:sz w:val="22"/>
          <w:szCs w:val="22"/>
        </w:rPr>
        <w:t xml:space="preserve">Le TTS est le principal poste de coût (96 %). Trois leviers permettent de le réduire significativement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Cache audio serveur : même texte = même fichier audio servi en cache (les 4 niveaux glycémie × 3 plages horaires = 12 audios pré-générés)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Modèle Flash v2 ElevenLabs ($0,11/1k chars au lieu de $0,24) pour les textes courts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OpenAI TTS ($0,015/1k chars) en fallback si quota ElevenLabs dépassé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506"/>
      </w:tblGrid>
      <w:tr>
        <w:trPr>
          <w:tblHeader/>
        </w:trPr>
        <w:tc>
          <w:tcPr>
            <w:tcW w:type="dxa" w:w="3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Scénario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Coût TTS/user/mois</w:t>
            </w:r>
          </w:p>
        </w:tc>
        <w:tc>
          <w:tcPr>
            <w:tcW w:type="dxa" w:w="3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Coût TOTAL/user/mois</w:t>
            </w:r>
          </w:p>
        </w:tc>
      </w:tr>
      <w:tr>
        <w:tc>
          <w:tcPr>
            <w:tcW w:type="dxa" w:w="3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Sans optimisation (actuel)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$7,56</w:t>
            </w:r>
          </w:p>
        </w:tc>
        <w:tc>
          <w:tcPr>
            <w:tcW w:type="dxa" w:w="3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≈ $7,89</w:t>
            </w:r>
          </w:p>
        </w:tc>
      </w:tr>
      <w:tr>
        <w:tc>
          <w:tcPr>
            <w:tcW w:type="dxa" w:w="3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Cache 40 % + modèle Flash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5E00"/>
                <w:sz w:val="22"/>
                <w:szCs w:val="22"/>
              </w:rPr>
              <w:t xml:space="preserve">$2,72</w:t>
            </w:r>
          </w:p>
        </w:tc>
        <w:tc>
          <w:tcPr>
            <w:tcW w:type="dxa" w:w="3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5E00"/>
                <w:sz w:val="22"/>
                <w:szCs w:val="22"/>
              </w:rPr>
              <w:t xml:space="preserve">≈ $3,05</w:t>
            </w:r>
          </w:p>
        </w:tc>
      </w:tr>
      <w:tr>
        <w:tc>
          <w:tcPr>
            <w:tcW w:type="dxa" w:w="3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Cache 60 % + Flash + limites usage</w:t>
            </w:r>
          </w:p>
        </w:tc>
        <w:tc>
          <w:tcPr>
            <w:tcW w:type="dxa" w:w="2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$1,68</w:t>
            </w:r>
          </w:p>
        </w:tc>
        <w:tc>
          <w:tcPr>
            <w:tcW w:type="dxa" w:w="3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≈ $2,01</w:t>
            </w:r>
          </w:p>
        </w:tc>
      </w:tr>
    </w:tbl>
    <w:p>
      <w:r>
        <w:t xml:space="preserve"/>
      </w:r>
    </w:p>
    <w:p>
      <w:pPr>
        <w:spacing w:after="60" w:before="40"/>
        <w:ind w:left="36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→  Recommandation : implémenter le cache TTS en priorité absolue. ROI immédiat et sans impact sur l'expérience utilisateur.</w:t>
      </w:r>
    </w:p>
    <w:p>
      <w:r>
        <w:br w:type="page"/>
      </w:r>
    </w:p>
    <w:p>
      <w:pPr>
        <w:pStyle w:val="Heading1"/>
        <w:pBdr>
          <w:bottom w:val="single" w:color="0B6650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D3A6E"/>
          <w:sz w:val="32"/>
          <w:szCs w:val="32"/>
        </w:rPr>
        <w:t xml:space="preserve">4. Modèles de Tarification Recommandés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4.1 B2C — Abonnement direct patient / aidant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506"/>
      </w:tblGrid>
      <w:tr>
        <w:trPr>
          <w:tblHeader/>
        </w:trP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Plan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Prix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Coût revient</w:t>
            </w:r>
          </w:p>
        </w:tc>
        <w:tc>
          <w:tcPr>
            <w:tcW w:type="dxa" w:w="3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Marge brute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Essai gratuit (7 jours)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€0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≈ €1,85</w:t>
            </w:r>
          </w:p>
        </w:tc>
        <w:tc>
          <w:tcPr>
            <w:tcW w:type="dxa" w:w="3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2"/>
                <w:szCs w:val="22"/>
              </w:rPr>
              <w:t xml:space="preserve">Acquisition client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Mensuel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€12,99 / mois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≈ €7,89 → €3,05*</w:t>
            </w:r>
          </w:p>
        </w:tc>
        <w:tc>
          <w:tcPr>
            <w:tcW w:type="dxa" w:w="3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38 % → 76 %  (*avec optim.)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Annuel (–23 %)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€9,99 / mois (€119,88/an)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≈ €3,05*</w:t>
            </w:r>
          </w:p>
        </w:tc>
        <w:tc>
          <w:tcPr>
            <w:tcW w:type="dxa" w:w="35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69 %  (*avec optim.)</w:t>
            </w:r>
          </w:p>
        </w:tc>
      </w:tr>
    </w:tbl>
    <w:p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4.2 B2B — Institutions (maisons de repos, CPAS, mutuelles)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  <w:gridCol w:w="1906"/>
      </w:tblGrid>
      <w:tr>
        <w:trPr>
          <w:tblHeader/>
        </w:trP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Volume résidents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Prix / résident / mois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Coût revient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Marge brute</w:t>
            </w:r>
          </w:p>
        </w:tc>
        <w:tc>
          <w:tcPr>
            <w:tcW w:type="dxa" w:w="19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Revenu mensuel ex.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1–10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€10,99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≈ €3,05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72 %</w:t>
            </w:r>
          </w:p>
        </w:tc>
        <w:tc>
          <w:tcPr>
            <w:tcW w:type="dxa" w:w="19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€110 (10 résid.)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11–50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€8,99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≈ €2,80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69 %</w:t>
            </w:r>
          </w:p>
        </w:tc>
        <w:tc>
          <w:tcPr>
            <w:tcW w:type="dxa" w:w="19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€450 (50 résid.)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51–200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€6,99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≈ €2,50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64 %</w:t>
            </w:r>
          </w:p>
        </w:tc>
        <w:tc>
          <w:tcPr>
            <w:tcW w:type="dxa" w:w="19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€1 399 (200 résid.)</w:t>
            </w:r>
          </w:p>
        </w:tc>
      </w:tr>
      <w:tr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200+ (enterprise)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Devis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≈ €2,00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&gt;60 %</w:t>
            </w:r>
          </w:p>
        </w:tc>
        <w:tc>
          <w:tcPr>
            <w:tcW w:type="dxa" w:w="19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Sur mesure</w:t>
            </w:r>
          </w:p>
        </w:tc>
      </w:tr>
    </w:tbl>
    <w:p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4.3 B2B2C — Pharmacies partenaires</w:t>
      </w:r>
    </w:p>
    <w:p>
      <w:pPr>
        <w:spacing w:after="100" w:before="60"/>
      </w:pPr>
      <w:r>
        <w:rPr>
          <w:rFonts w:ascii="Arial" w:cs="Arial" w:eastAsia="Arial" w:hAnsi="Arial"/>
          <w:color w:val="1E1E1E"/>
          <w:sz w:val="22"/>
          <w:szCs w:val="22"/>
        </w:rPr>
        <w:t xml:space="preserve">Modèle gagnant-gagnant : la pharmacie devient prescriptrice de l'app.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Abonnement pharmacie (back-office rapport patients + logo co-branding) : €49/mois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Prix patient via pharmacie : €9,99/mois — marge pharmacie : €2/patient/mois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Marge Mon Sucre : €7,99 − €3,05 = €4,94/patient/mois (62 %)</w:t>
      </w:r>
    </w:p>
    <w:p>
      <w:r>
        <w:br w:type="page"/>
      </w:r>
    </w:p>
    <w:p>
      <w:pPr>
        <w:pStyle w:val="Heading1"/>
        <w:pBdr>
          <w:bottom w:val="single" w:color="0B6650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D3A6E"/>
          <w:sz w:val="32"/>
          <w:szCs w:val="32"/>
        </w:rPr>
        <w:t xml:space="preserve">5. Projections de Rentabilité</w:t>
      </w:r>
    </w:p>
    <w:p>
      <w:pPr>
        <w:spacing w:after="100" w:before="60"/>
      </w:pPr>
      <w:r>
        <w:rPr>
          <w:rFonts w:ascii="Arial" w:cs="Arial" w:eastAsia="Arial" w:hAnsi="Arial"/>
          <w:color w:val="1E1E1E"/>
          <w:sz w:val="22"/>
          <w:szCs w:val="22"/>
        </w:rPr>
        <w:t xml:space="preserve">Toutes les projections utilisent le coût optimisé (cache TTS) de €3,05/user/mois.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600"/>
        <w:gridCol w:w="1500"/>
        <w:gridCol w:w="1500"/>
        <w:gridCol w:w="1006"/>
      </w:tblGrid>
      <w:tr>
        <w:trPr>
          <w:tblHeader/>
        </w:trP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Scénario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Utilisateurs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Revenus/mois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Coûts variables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Coûts fixes</w:t>
            </w:r>
          </w:p>
        </w:tc>
        <w:tc>
          <w:tcPr>
            <w:tcW w:type="dxa" w:w="1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Marge</w:t>
            </w:r>
          </w:p>
        </w:tc>
      </w:tr>
      <w:t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A — Lancement B2C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50 users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€650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€153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€120</w:t>
            </w:r>
          </w:p>
        </w:tc>
        <w:tc>
          <w:tcPr>
            <w:tcW w:type="dxa" w:w="1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5E00"/>
                <w:sz w:val="22"/>
                <w:szCs w:val="22"/>
              </w:rPr>
              <w:t xml:space="preserve">57 %</w:t>
            </w:r>
          </w:p>
        </w:tc>
      </w:tr>
      <w:t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B — Croissance B2C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250 users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€3 248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€763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€150</w:t>
            </w:r>
          </w:p>
        </w:tc>
        <w:tc>
          <w:tcPr>
            <w:tcW w:type="dxa" w:w="1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71 %</w:t>
            </w:r>
          </w:p>
        </w:tc>
      </w:tr>
      <w:t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C — 5 maisons de repos (50 résid.)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250 résid.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€2 248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€700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€150</w:t>
            </w:r>
          </w:p>
        </w:tc>
        <w:tc>
          <w:tcPr>
            <w:tcW w:type="dxa" w:w="1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62 %</w:t>
            </w:r>
          </w:p>
        </w:tc>
      </w:tr>
      <w:tr>
        <w:tc>
          <w:tcPr>
            <w:tcW w:type="dxa" w:w="24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2"/>
                <w:szCs w:val="22"/>
              </w:rPr>
              <w:t xml:space="preserve">D — Scale (B2C + B2B mixte)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1 000 users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€11 990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€2 500</w:t>
            </w:r>
          </w:p>
        </w:tc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€300</w:t>
            </w:r>
          </w:p>
        </w:tc>
        <w:tc>
          <w:tcPr>
            <w:tcW w:type="dxa" w:w="1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77 %</w:t>
            </w:r>
          </w:p>
        </w:tc>
      </w:tr>
    </w:tbl>
    <w:p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5.1 Seuil de rentabilité (Break-Even)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3006"/>
      </w:tblGrid>
      <w:tr>
        <w:trPr>
          <w:tblHeader/>
        </w:trPr>
        <w:tc>
          <w:tcPr>
            <w:tcW w:type="dxa" w:w="3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Canal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Break-Even (users)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Revenu mensuel au BE</w:t>
            </w:r>
          </w:p>
        </w:tc>
      </w:tr>
      <w:tr>
        <w:tc>
          <w:tcPr>
            <w:tcW w:type="dxa" w:w="3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B2C mensuel (€12,99)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12 utilisateurs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€156/mois</w:t>
            </w:r>
          </w:p>
        </w:tc>
      </w:tr>
      <w:tr>
        <w:tc>
          <w:tcPr>
            <w:tcW w:type="dxa" w:w="3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B2B maison de repos (€8,99)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16 résidents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€144/mois</w:t>
            </w:r>
          </w:p>
        </w:tc>
      </w:tr>
      <w:tr>
        <w:tc>
          <w:tcPr>
            <w:tcW w:type="dxa" w:w="3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B2B2C pharmacie (€9,99 via pharma)</w:t>
            </w:r>
          </w:p>
        </w:tc>
        <w:tc>
          <w:tcPr>
            <w:tcW w:type="dxa" w:w="3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18 patients</w:t>
            </w:r>
          </w:p>
        </w:tc>
        <w:tc>
          <w:tcPr>
            <w:tcW w:type="dxa" w:w="300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€180/mois</w:t>
            </w:r>
          </w:p>
        </w:tc>
      </w:tr>
    </w:tbl>
    <w:p>
      <w:r>
        <w:t xml:space="preserve"/>
      </w:r>
    </w:p>
    <w:p>
      <w:pPr>
        <w:spacing w:after="60" w:before="40"/>
        <w:ind w:left="36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→  Le seuil de rentabilité est atteint avec seulement 12 à 18 utilisateurs actifs. C'est exceptionnel pour un SaaS médical.</w:t>
      </w:r>
    </w:p>
    <w:p>
      <w:r>
        <w:br w:type="page"/>
      </w:r>
    </w:p>
    <w:p>
      <w:pPr>
        <w:pStyle w:val="Heading1"/>
        <w:pBdr>
          <w:bottom w:val="single" w:color="0B6650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D3A6E"/>
          <w:sz w:val="32"/>
          <w:szCs w:val="32"/>
        </w:rPr>
        <w:t xml:space="preserve">6. Roadmap Optimisation Coûts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Priorité 1 — Cache TTS (Impact : −60 % coût ElevenLabs)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Pré-générer les 12 audios de feedback glycémie (4 niveaux × 3 plages horaires)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Mettre en cache les conseils repas récurrents (textes identiques → même fichier)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Servir les audios depuis Vercel Edge Cache — zéro latence supplémentaire</w:t>
      </w:r>
    </w:p>
    <w:p>
      <w:pPr>
        <w:spacing w:after="100" w:before="60"/>
      </w:pPr>
      <w:r>
        <w:rPr>
          <w:rFonts w:ascii="Arial" w:cs="Arial" w:eastAsia="Arial" w:hAnsi="Arial"/>
          <w:color w:val="1E1E1E"/>
          <w:sz w:val="22"/>
          <w:szCs w:val="22"/>
        </w:rPr>
        <w:t xml:space="preserve">Impact estimé : réduction coût TTS de $7,56 → $2,72/user/mois</w:t>
      </w:r>
    </w:p>
    <w:p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Priorité 2 — Modèle Flash ElevenLabs (Impact : −54 % sur chars dynamiques)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Utiliser Flash v2 ($0,11/1k chars) pour les textes courts &lt; 200 chars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Réserver Multilingual v2 ($0,24/1k) pour les textes longs et critiques (urgence)</w:t>
      </w:r>
    </w:p>
    <w:p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Priorité 3 — Limite d'usage fair-use (Impact : −20 % coût variable)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Plafond vocal : 5 synthèses TTS/jour incluses, surplus facturé ou plan Premium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Plafond analyses IA : 30 analyses repas/mois incluses (plan Standard)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Implémentation simple via compteur Redis — 2h de développement</w:t>
      </w:r>
    </w:p>
    <w:p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B6650"/>
          <w:sz w:val="26"/>
          <w:szCs w:val="26"/>
        </w:rPr>
        <w:t xml:space="preserve">Priorité 4 — Mutualisation infrastructure (Impact : −30 % coûts fixes à 500+ users)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Migrer de Redis Upstash vers Redis dédié (Render, Railway) au-delà de 500 users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1E1E"/>
          <w:sz w:val="22"/>
          <w:szCs w:val="22"/>
        </w:rPr>
        <w:t xml:space="preserve">Vercel Pro couvre jusqu'à ~2 000 users actifs sans surcoût</w:t>
      </w:r>
    </w:p>
    <w:p>
      <w:r>
        <w:t xml:space="preserve"/>
      </w:r>
    </w:p>
    <w:p>
      <w:pPr>
        <w:pStyle w:val="Heading1"/>
        <w:pBdr>
          <w:bottom w:val="single" w:color="0B6650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D3A6E"/>
          <w:sz w:val="32"/>
          <w:szCs w:val="32"/>
        </w:rPr>
        <w:t xml:space="preserve">7. Synthèse Financière</w:t>
      </w:r>
    </w:p>
    <w:p>
      <w:r>
        <w:t xml:space="preserve"/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753"/>
        <w:gridCol w:w="2753"/>
      </w:tblGrid>
      <w:tr>
        <w:trPr>
          <w:tblHeader/>
        </w:trPr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Indicateur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Sans optimisation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1D3A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Avec optimisation</w:t>
            </w:r>
          </w:p>
        </w:tc>
      </w:tr>
      <w:tr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Investissement développement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€6 260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€6 260</w:t>
            </w:r>
          </w:p>
        </w:tc>
      </w:tr>
      <w:tr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Coût variable / user / mois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≈ €7,89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≈ €2,01–3,05</w:t>
            </w:r>
          </w:p>
        </w:tc>
      </w:tr>
      <w:tr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Prix B2C recommandé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€12,99/mois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€12,99/mois</w:t>
            </w:r>
          </w:p>
        </w:tc>
      </w:tr>
      <w:tr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Marge brute B2C mensuel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5E00"/>
                <w:sz w:val="22"/>
                <w:szCs w:val="22"/>
              </w:rPr>
              <w:t xml:space="preserve">38 %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72–76 %</w:t>
            </w:r>
          </w:p>
        </w:tc>
      </w:tr>
      <w:tr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Marge brute B2B institutionnel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—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60–72 %</w:t>
            </w:r>
          </w:p>
        </w:tc>
      </w:tr>
      <w:tr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Break-even (users B2C)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5E00"/>
                <w:sz w:val="22"/>
                <w:szCs w:val="22"/>
              </w:rPr>
              <w:t xml:space="preserve">32 users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12 users</w:t>
            </w:r>
          </w:p>
        </w:tc>
      </w:tr>
      <w:tr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Revenu projeté à 500 users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€6 495/mois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€6 495/mois</w:t>
            </w:r>
          </w:p>
        </w:tc>
      </w:tr>
      <w:tr>
        <w:tc>
          <w:tcPr>
            <w:tcW w:type="dxa" w:w="4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2"/>
                <w:szCs w:val="22"/>
              </w:rPr>
              <w:t xml:space="preserve">Marge nette projetée à 500 users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5E00"/>
                <w:sz w:val="22"/>
                <w:szCs w:val="22"/>
              </w:rPr>
              <w:t xml:space="preserve">€1 575 (24 %)</w:t>
            </w:r>
          </w:p>
        </w:tc>
        <w:tc>
          <w:tcPr>
            <w:tcW w:type="dxa" w:w="2753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B6650"/>
                <w:sz w:val="22"/>
                <w:szCs w:val="22"/>
              </w:rPr>
              <w:t xml:space="preserve">€4 270 (66 %)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B6650" w:sz="2" w:space="8"/>
          <w:bottom w:val="single" w:color="0B6650" w:sz="2" w:space="8"/>
        </w:pBdr>
        <w:spacing w:after="100" w:before="100"/>
        <w:jc w:val="center"/>
      </w:pPr>
      <w:r>
        <w:rPr>
          <w:rFonts w:ascii="Arial" w:cs="Arial" w:eastAsia="Arial" w:hAnsi="Arial"/>
          <w:b/>
          <w:bCs/>
          <w:color w:val="1D3A6E"/>
          <w:sz w:val="22"/>
          <w:szCs w:val="22"/>
        </w:rPr>
        <w:t xml:space="preserve">Conclusion : Mon Sucre est un SaaS à très hautes marges potentielles (60–76 %) avec un break-even minimal.</w:t>
      </w:r>
    </w:p>
    <w:p>
      <w:pPr>
        <w:spacing w:after="60" w:before="60"/>
        <w:jc w:val="center"/>
      </w:pPr>
      <w:r>
        <w:rPr>
          <w:rFonts w:ascii="Arial" w:cs="Arial" w:eastAsia="Arial" w:hAnsi="Arial"/>
          <w:i/>
          <w:iCs/>
          <w:color w:val="1E1E1E"/>
          <w:sz w:val="22"/>
          <w:szCs w:val="22"/>
        </w:rPr>
        <w:t xml:space="preserve">L'implémentation du cache TTS est la priorité n°1 avant toute commercialisation.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2" w:space="4"/>
      </w:pBd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Confidentiel  —  </w:t>
    </w:r>
    <w:r>
      <w:rPr>
        <w:rFonts w:ascii="Arial" w:cs="Arial" w:eastAsia="Arial" w:hAnsi="Arial"/>
        <w:color w:val="6B7280"/>
        <w:sz w:val="18"/>
        <w:szCs w:val="18"/>
      </w:rPr>
      <w:t xml:space="preserve">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 —  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6650" w:sz="2" w:space="4"/>
      </w:pBdr>
    </w:pPr>
    <w:r>
      <w:rPr>
        <w:rFonts w:ascii="Arial" w:cs="Arial" w:eastAsia="Arial" w:hAnsi="Arial"/>
        <w:b/>
        <w:bCs/>
        <w:color w:val="0B6650"/>
        <w:sz w:val="20"/>
        <w:szCs w:val="20"/>
      </w:rPr>
      <w:t xml:space="preserve">Mon Sucre PWA</w:t>
    </w:r>
    <w:r>
      <w:rPr>
        <w:rFonts w:ascii="Arial" w:cs="Arial" w:eastAsia="Arial" w:hAnsi="Arial"/>
        <w:color w:val="6B7280"/>
        <w:sz w:val="20"/>
        <w:szCs w:val="20"/>
      </w:rPr>
      <w:t xml:space="preserve">   |   Analyse Financière &amp; Modèle Économique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D3A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B665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D3A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2026-05-22T12:47:49.217Z</dcterms:created>
  <dcterms:modified xsi:type="dcterms:W3CDTF">2026-05-22T12:47:49.218Z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