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Policy impacts on neonatal mortality through boosting first-dose HBV vaccination</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109"/>
        <w:gridCol w:w="1109"/>
        <w:gridCol w:w="1109"/>
        <w:gridCol w:w="1109"/>
        <w:gridCol w:w="1109"/>
        <w:gridCol w:w="1109"/>
        <w:gridCol w:w="1109"/>
        <w:gridCol w:w="1109"/>
        <w:gridCol w:w="1109"/>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HBV Vaccination Rate*Policy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-0.342 [0.016]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-0.497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-0.615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-0.149 [0.318]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-0.411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-0.542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0.329 [0.039]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0.070 [0.519]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0.042 [0.718]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0.422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0.897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0.984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0.125 [0.317]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0.705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0.805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-0.508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-0.079 [0.384]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-0.041 [0.671]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-0.077 [0.496]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0.302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0.411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-0.301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0.179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0.282 [0.017]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-0.827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-0.454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-0.401 [&lt;0.001]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-0.604 [0.569]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0.232 [0.844]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-0.666 [0.547]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0.251 [0.838]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-0.151 [0.898]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1.897 [0.147]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0.025 [0.933]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0.088 [0.784]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0.030 [0.923]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0.101 [0.756]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0.175 [0.592]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0.256 [0.454]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0.107 [0.606]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0.033 [0.875]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0.172 [0.438]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0.096 [0.665]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0.123 [0.621]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-0.010 [0.967]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(0.245)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0.199 [0.245]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0.345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0.184 [0.290]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0.316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0.141 [0.431]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0.296 [0.119]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-0.342 [0.271]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-0.352 [0.306]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-0.283 [0.374]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-0.310 [0.374]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-0.347 [0.301]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-0.359 [0.327]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0.226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0.191 [0.023]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0.228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0.190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0.188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0.154 [0.059]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4.206 [0.100]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6.181 [0.026]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6.611 [0.039]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(3.192)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American Indian and Alaskan Native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-0.409 [0.975]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-1.013 [0.939]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1.680 [0.899]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(13.273)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-4.900 [0.040]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-4.610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-5.948 [0.029]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(2.728)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-2.651 [0.434]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-1.802 [0.633]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-12.173 [0.006]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(4.449)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5066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0.734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body30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10"/>
                <w:szCs w:val="10"/>
                <w:color w:val="000000"/>
              </w:rPr>
              <w:t xml:space="preserve">Note: The table presents the Ordinary Least Squares (OLS) results from equation (3). In this equation, the dependent variable is the neonatal mortality rate, while the independent variable of interest is the interaction term between a county as a low vaccination area (referred to as Vaccination Dummy) in the table and the 2018 HBV policy dummy (referred to as Policy Dummy in the table).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racial and ethnic variables indicate the percentages of the population belonging to specific racial or ethnic groups in a county.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Standard errors are reported in parentheses and P-values in brackets.</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2024-08-02T02:20:52Z</dcterms:modified>
  <cp:category/>
</cp:coreProperties>
</file>