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Falsification test for neonatal mortality using hypothetical policy imposed in year 2014</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109"/>
        <w:gridCol w:w="1109"/>
        <w:gridCol w:w="1109"/>
        <w:gridCol w:w="1109"/>
        <w:gridCol w:w="1109"/>
        <w:gridCol w:w="1109"/>
        <w:gridCol w:w="1109"/>
        <w:gridCol w:w="1109"/>
        <w:gridCol w:w="1109"/>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2014 Hypothetical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-0.001 [0.981]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0.017 [0.766]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0.058 [0.399]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-0.017 [0.773]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-0.008 [0.887]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0.014 [0.838]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-0.030 [0.634]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-0.047 [0.440]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-0.013 [0.858]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(0.073)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-0.117 [0.963]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1.189 [0.667]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0.953 [0.717]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2.116 [0.455]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0.515 [0.855]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2.326 [0.450]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(3.078)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-0.376 [0.520]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-0.432 [0.473]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-0.478 [0.426]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-0.493 [0.423]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-0.364 [0.552]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-0.360 [0.567]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(0.629)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-0.207 [0.633]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-0.295 [0.542]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-0.153 [0.727]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-0.277 [0.567]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-0.477 [0.285]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-0.606 [0.217]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(0.491)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0.369 [0.394]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0.551 [0.241]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0.367 [0.404]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0.523 [0.272]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0.436 [0.338]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0.610 [0.214]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(0.491)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-0.623 [0.379]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-0.638 [0.420]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-0.524 [0.467]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-0.570 [0.477]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-0.522 [0.485]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-0.535 [0.518]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(0.828)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0.525 [0.143]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0.359 [0.339]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0.514 [0.154]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0.336 [0.375]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0.546 [0.136]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0.362 [0.347]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5.245 [0.147]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6.928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4.373 [0.290]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(4.131)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21.221 [0.351]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22.608 [0.332]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22.353 [0.355]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(22.754)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(24.154)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-8.292 [0.061]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-6.458 [0.167]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-8.384 [0.106]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(5.188)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-2.519 [0.677]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-0.545 [0.933]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-8.138 [0.249]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(7.060)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3256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0.728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body26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10"/>
                <w:szCs w:val="10"/>
                <w:color w:val="000000"/>
              </w:rPr>
              <w:t xml:space="preserve">Note: This table conducts a falsification/sensitivity test to examine the effect of a hypothetical policy imposed in 2014, rather than 2018 (the true policy), on the county-level neonatal mortality rate, where we expect an insignificant effect, rather than a significant result. We estimated Eq (1), where the dependent variable is the neonatal mortality rate, while the independent variable of interest is the 2014 hypothetical HBV policy dummy (referred to as the 2014 Hypothetical Policy Dummy in the table). It takes a binary value of one if the year is after 2013 and zero otherwise. The results show that the hypothetical HBV policy in 2014 had no effect on the mortality rate. This means our results in Table 5 are most likely due to the true HBV policy in 2018 and not other unobserved policies or factors. Details about these variables are available from the data source County Health Rankings. Age 0-2 days include 0-1 and 0-2 days. Age 0-3 days include 0-1, 0-2, and 0-3 days. Standard errors are reported in parentheses and P-values in brackets.</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2024-08-02T02:21:01Z</dcterms:modified>
  <cp:category/>
</cp:coreProperties>
</file>