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Falsification test for first-dose HBV vaccination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-18.155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(10.765)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0.999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-77.152***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-62.763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(63.875)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8.749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(20.730)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(36.611)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13.171**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2.344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(4.719)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-10.980***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-11.367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(8.290)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-19.025*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(8.784)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-16.464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(12.508)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16.344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(49.127)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24.517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(40.209)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0.753</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first-dose HBV vaccination rate, where we expect an insignificant effect, rather than a significant result in Table 2. The table estimates equation (1), where the dependent variable is the vaccination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vaccination rate. This means that our results in Table 3 are most likely due to the true HBV policy in 2018 and not other unobserved policies or factors. This provides evidence that the true HBV policy in 2018 positively affected vaccination.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2024-08-01T00:42:05Z</dcterms:modified>
  <cp:category/>
</cp:coreProperties>
</file>