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B): County-level first-dose HBV vaccination rate, mortality rate, and socioeconomic and demographic characteristics of neonates aged 0-3 days by census region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South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Northeast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Midwest Region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68.716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73.482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4.766***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65.609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74.729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9.120***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61.730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12.356***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68.095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76.468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8.373***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(7.526)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Housing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0.159**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Multi-Unit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0.216*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Mobile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Crowded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0.164*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No Vehicle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0.151*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Limited English Speakers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0.115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-0.439***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-0.004*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0.112***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-0.021***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-0.024*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0.032***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0.029***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-0.082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-0.516+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0.059</w:t>
            </w:r>
          </w:p>
        </w:tc>
      </w:tr>
      <w:tr>
        <w:trPr>
          <w:trHeight w:val="61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(8.206)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(7.497)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(10.297)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(10.040)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(1.571)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(4.879)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(5.604)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The policy is the CDC’s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2024-08-02T00:30:22Z</dcterms:modified>
  <cp:category/>
</cp:coreProperties>
</file>