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Heterogeneous impacts of policy on neonatal mortality through boosting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Day 1-3</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2 Days Old and Less</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1 Day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(%)*HBV Vaccination Rate*Policy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(0.792)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-3.036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-0.812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(6.053)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2.491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(2.355)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(6.466)</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2.610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(2.333)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-7.497</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-3.110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(4.828)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HBV Vaccination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-0.046</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-0.249</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3.474**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-0.111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0.192</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(0.242)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6.142</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(3.791)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-3.135</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(17.157)</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-10.384*</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(4.195)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-6.744</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(8.938)</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0.144</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(0.658)</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2.253</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(1.178)</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0.654</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(1.137)</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-0.697</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(0.508)</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-1.963</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(1.707)</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-0.461</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(1.204)</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-0.944</w:t>
            </w:r>
          </w:p>
        </w:tc>
      </w:tr>
      <w:tr>
        <w:trPr>
          <w:trHeight w:val="36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(1.683)</w:t>
            </w:r>
          </w:p>
        </w:tc>
      </w:tr>
      <w:tr>
        <w:trPr>
          <w:trHeight w:val="360"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-12.978</w:t>
            </w:r>
          </w:p>
        </w:tc>
      </w:tr>
      <w:tr>
        <w:trPr>
          <w:trHeight w:val="36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(7.790)</w:t>
            </w:r>
          </w:p>
        </w:tc>
      </w:tr>
      <w:tr>
        <w:trPr>
          <w:trHeight w:val="36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-9.633</w:t>
            </w:r>
          </w:p>
        </w:tc>
      </w:tr>
      <w:tr>
        <w:trPr>
          <w:trHeight w:val="36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(8.651)</w:t>
            </w:r>
          </w:p>
        </w:tc>
      </w:tr>
      <w:tr>
        <w:trPr>
          <w:trHeight w:val="36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-0.045</w:t>
            </w:r>
          </w:p>
        </w:tc>
      </w:tr>
      <w:tr>
        <w:trPr>
          <w:trHeight w:val="360"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(0.043)</w:t>
            </w:r>
          </w:p>
        </w:tc>
      </w:tr>
      <w:tr>
        <w:trPr>
          <w:trHeight w:val="360"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0.017</w:t>
            </w:r>
          </w:p>
        </w:tc>
      </w:tr>
      <w:tr>
        <w:trPr>
          <w:trHeight w:val="36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(0.037)</w:t>
            </w:r>
          </w:p>
        </w:tc>
      </w:tr>
      <w:tr>
        <w:trPr>
          <w:trHeight w:val="360"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5408</w:t>
            </w:r>
          </w:p>
        </w:tc>
      </w:tr>
      <w:tr>
        <w:trPr>
          <w:trHeight w:val="360"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0.614</w:t>
            </w:r>
          </w:p>
        </w:tc>
      </w:tr>
      <w:tr>
        <w:trPr>
          <w:trHeight w:val="360"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body76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2024-08-01T00:41:20Z</dcterms:modified>
  <cp:category/>
</cp:coreProperties>
</file>