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Falsification test for first-dose HBV vaccination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-18.155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(10.765)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(2.128)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0.999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-77.152***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(15.106)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-62.763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(63.875)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8.749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(20.730)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(36.611)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2.170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13.171**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2.344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(4.719)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-10.980***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-11.367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(8.290)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-19.025*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(8.784)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-16.464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(12.508)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16.344</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(49.127)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24.517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(40.209)</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3035</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0.753</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This table conducts a falsification/sensitivity test to examine the effect of a hypothetical policy imposed in 2014, rather than 2018 (the true policy), on the county-level first-dose HBV vaccination rate, where we expect an insignificant effect, rather than a significant result in Table 2. The table estimates equation (1), where the dependent variable is the vaccination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vaccination rate. This means that our results in Table 3 are most likely due to the true HBV policy in 2018 and not other unobserved policies or factors. This provides evidence that the true HBV policy in 2018 positively affected vaccination. Details about these variables are available from the data source County Health Rankings. Age 0-2 days include 0-1 and 0-2 days. Age 0-3 days include 0-1, 0-2, and 0-3 days. * p &lt; 0.05, ** p &lt; 0.01, *** p &lt; 0.001 </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2024-08-01T00:41:24Z</dcterms:modified>
  <cp:category/>
</cp:coreProperties>
</file>