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A): County-level first-dose HBV vaccination rate, mortality rate, and socioeconomic and demographic characteristics of neonates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0-3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0-2 Days Old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Age: 0-1 Days Old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67.447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76.012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8.564***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75.709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8.613***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66.663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8.716***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(8.679)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(8.661)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-0.402***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0.015***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0.122***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-0.028***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0.045***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-0.122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(3.508)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(2.929)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-0.182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(7.144)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(6.069)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(7.295)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(7.543)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(6.470)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Age 0-2 days include 0-1 and 0-2 days. Age 0-3 days include 0-1, 0-2, and 0-3 days. The policy is the CDC's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2024-07-31T21:06:19Z</dcterms:modified>
  <cp:category/>
</cp:coreProperties>
</file>