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Falsification test for first-dose HBV vaccination using hypothetical policy imposed in year 2014</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2014 Hypothetical 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-76.370***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-78.387***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-75.809***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(14.962)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-76.141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-50.083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(63.367)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4.138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(20.575)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20.334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(36.307)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(3.066)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13.913**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(4.920)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4.185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(4.575)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-11.407***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(1.975)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-11.594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(8.204)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-18.781*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(8.770)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-17.677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(12.460)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18.580</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(49.164)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19.200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(39.513)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(39.514)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(39.730)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-0.710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3035</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0.753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body36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This table conducts a falsification/sensitivity test to examine the effect of a hypothetical policy imposed in 2014, rather than 2018 (the true policy), on the county-level first-dose HBV vaccination rate, where we expect an insignificant effect, rather than a significant result in Table 2. The table estimates equation (1), where the dependent variable is the vaccination rate, while the independent variable of interest is the 2014 hypothetical HBV policy dummy (referred to as the 2014 Hypothetical Policy Dummy in the table). It takes a binary value of one if the year is after 2013 and zero otherwise. The results show that the hypothetical HBV policy in 2014 had no effect on the vaccination rate. This means that our results in Table 3 are most likely due to the true HBV policy in 2018 and not other unobserved policies or factors. This provides evidence that the true HBV policy in 2018 positively affected vaccination. Details about these variables are available from the data source County Health Rankings. Age 0-2 days include 0-1 and 0-2 days. Age 0-3 days include 0-1, 0-2, and 0-3 days. * p &lt; 0.05, ** p &lt; 0.01, *** p &lt; 0.001 </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2024-07-31T21:06:38Z</dcterms:modified>
  <cp:category/>
</cp:coreProperties>
</file>