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AI Healthcare Innovation Proposal</w:t>
      </w:r>
    </w:p>
    <w:p>
      <w:pPr>
        <w:pStyle w:val="Heading1"/>
        <w:spacing w:before="400" w:after="200"/>
      </w:pPr>
      <w:r>
        <w:t xml:space="preserve">1. Executive Summary</w:t>
      </w:r>
    </w:p>
    <w:p>
      <w:pPr>
        <w:spacing w:after="200"/>
      </w:pPr>
      <w:r>
        <w:t xml:space="preserve">This proposal presents an innovative AI-powered healthcare solution that leverages 
machine learning algorithms to improve patient outcomes. Our consortium brings together 
leading research institutions from across Europe with extensive experience in clinical 
validation and artificial intelligence applications in healthcare.</w:t>
      </w:r>
    </w:p>
    <w:p>
      <w:pPr>
        <w:pStyle w:val="Heading1"/>
        <w:spacing w:before="400" w:after="200"/>
      </w:pPr>
      <w:r>
        <w:t xml:space="preserve">2. Technical Approach</w:t>
      </w:r>
    </w:p>
    <w:p>
      <w:pPr>
        <w:spacing w:after="200"/>
      </w:pPr>
      <w:r>
        <w:t xml:space="preserve">Our technical methodology combines state-of-the-art deep learning architectures 
with established clinical workflows. The system architecture employs a modular design 
that ensures scalability and interoperability with existing healthcare IT infrastructure.</w:t>
      </w:r>
    </w:p>
    <w:p>
      <w:pPr>
        <w:spacing w:after="200"/>
      </w:pPr>
      <w:r>
        <w:t xml:space="preserve">Key components include:
- Data ingestion and preprocessing pipeline
- Machine learning model training and validation
- Clinical decision support interface
- Security and privacy compliance layer</w:t>
      </w:r>
    </w:p>
    <w:p>
      <w:pPr>
        <w:pStyle w:val="Heading1"/>
        <w:spacing w:before="400" w:after="200"/>
      </w:pPr>
      <w:r>
        <w:t xml:space="preserve">3. Team and Resources</w:t>
      </w:r>
    </w:p>
    <w:p>
      <w:pPr>
        <w:spacing w:after="200"/>
      </w:pPr>
      <w:r>
        <w:t xml:space="preserve">The consortium comprises three EU member states with complementary expertise:
- University of Amsterdam (NL): AI/ML research leadership
- Karolinska Institute (SE): Clinical validation and medical expertise  
- Technical University of Munich (DE): Systems integration and deployment</w:t>
      </w:r>
    </w:p>
    <w:p>
      <w:pPr>
        <w:spacing w:after="200"/>
      </w:pPr>
      <w:r>
        <w:t xml:space="preserve">All partners have successfully completed previous Horizon Europe projects.</w:t>
      </w:r>
    </w:p>
    <w:p>
      <w:pPr>
        <w:pStyle w:val="Heading1"/>
        <w:spacing w:before="400" w:after="200"/>
      </w:pPr>
      <w:r>
        <w:t xml:space="preserve">4. Budget</w:t>
      </w:r>
    </w:p>
    <w:p>
      <w:pPr>
        <w:spacing w:after="200"/>
      </w:pPr>
      <w:r>
        <w:t xml:space="preserve">Total requested funding: €4,500,000</w:t>
      </w:r>
    </w:p>
    <w:p>
      <w:pPr>
        <w:spacing w:after="200"/>
      </w:pPr>
      <w:r>
        <w:t xml:space="preserve">Breakdown:
- Personnel costs: €2,700,000 (60%)
- Equipment and infrastructure: €900,000 (20%)
- Travel and dissemination: €450,000 (10%)
- Other direct costs: €450,000 (10%)</w:t>
      </w:r>
    </w:p>
    <w:p>
      <w:pPr>
        <w:pStyle w:val="Heading1"/>
        <w:spacing w:before="400" w:after="200"/>
      </w:pPr>
      <w:r>
        <w:t xml:space="preserve">5. Timeline</w:t>
      </w:r>
    </w:p>
    <w:p>
      <w:pPr>
        <w:spacing w:after="200"/>
      </w:pPr>
      <w:r>
        <w:t xml:space="preserve">Project duration: 36 months</w:t>
      </w:r>
    </w:p>
    <w:p>
      <w:pPr>
        <w:spacing w:after="200"/>
      </w:pPr>
      <w:r>
        <w:t xml:space="preserve">Major milestones:
- M6: System architecture finalized
- M12: Prototype development complete
- M18: Clinical validation initiated
- M24: Pilot deployment in 3 hospitals
- M36: Final results and dissemination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2026-02-20T13:58:30.487Z</dcterms:created>
  <dcterms:modified xsi:type="dcterms:W3CDTF">2026-02-20T13:58:30.488Z</dcterms:modified>
</cp:coreProperties>
</file>

<file path=docProps/custom.xml><?xml version="1.0" encoding="utf-8"?>
<Properties xmlns="http://schemas.openxmlformats.org/officeDocument/2006/custom-properties" xmlns:vt="http://schemas.openxmlformats.org/officeDocument/2006/docPropsVTypes"/>
</file>