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Master’s Thesis Proposal 2024</w:t>
      </w:r>
    </w:p>
    <w:p>
      <w:pPr>
        <w:pStyle w:val="BodyText"/>
      </w:pPr>
      <w:r>
        <w:rPr>
          <w:b/>
          <w:bCs/>
        </w:rPr>
        <w:t xml:space="preserve">Faculty of Graduate Studies for Statistical Research</w:t>
      </w:r>
      <w:r>
        <w:br/>
      </w:r>
      <w:r>
        <w:rPr>
          <w:b/>
          <w:bCs/>
        </w:rPr>
        <w:t xml:space="preserve">Data Science Program</w:t>
      </w:r>
      <w:r>
        <w:br/>
      </w:r>
      <w:r>
        <w:rPr>
          <w:b/>
          <w:bCs/>
        </w:rPr>
        <w:t xml:space="preserve">Cairo University</w:t>
      </w:r>
    </w:p>
    <w:p>
      <w:pPr>
        <w:pStyle w:val="BodyText"/>
      </w:pPr>
      <w:r>
        <w:rPr>
          <w:b/>
          <w:bCs/>
        </w:rPr>
        <w:t xml:space="preserve">Optimizing Actuarial Pricing Using Biological Age: Framework Development and Validation with Application to Emerging Markets (Egypt Case Study)</w:t>
      </w:r>
    </w:p>
    <w:p>
      <w:pPr>
        <w:pStyle w:val="BodyText"/>
      </w:pPr>
      <w:r>
        <w:rPr>
          <w:b/>
          <w:bCs/>
        </w:rPr>
        <w:t xml:space="preserve">Ahmed Eltaweel</w:t>
      </w:r>
    </w:p>
    <w:p>
      <w:pPr>
        <w:pStyle w:val="BodyText"/>
      </w:pPr>
      <w:r>
        <w:rPr>
          <w:b/>
          <w:bCs/>
        </w:rPr>
        <w:t xml:space="preserve">Supervisors</w:t>
      </w:r>
      <w:r>
        <w:br/>
      </w:r>
      <w:r>
        <w:t xml:space="preserve">Prof. Abdul Hadi Nabih Ahmed</w:t>
      </w:r>
      <w:r>
        <w:br/>
      </w:r>
      <w:r>
        <w:t xml:space="preserve">Prof. Mohammed Reda Abonazel</w:t>
      </w:r>
    </w:p>
    <w:p>
      <w:pPr>
        <w:pStyle w:val="BodyText"/>
      </w:pPr>
      <w:r>
        <w:t xml:space="preserve">Data Science Program</w:t>
      </w:r>
      <w:r>
        <w:br/>
      </w:r>
      <w:r>
        <w:t xml:space="preserve">Faculty of Graduate Studies for Statistical Research</w:t>
      </w:r>
      <w:r>
        <w:br/>
      </w:r>
      <w:r>
        <w:t xml:space="preserve">November 2024</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comprehensive research presents the first actuarial application of biological age estimation using NHANES biomarker data for life insurance pricing optimization. The study employs PhenoAge methodology (Levine et al., 2018) with empirical calibration, achieving validated results on N=4,894 participants from the NHANES 2017-2018 cycle.</w:t>
      </w:r>
      <w:r>
        <w:t xml:space="preserve"> </w:t>
      </w:r>
      <w:r>
        <w:rPr>
          <w:b/>
          <w:bCs/>
        </w:rPr>
        <w:t xml:space="preserve">The methodological framework is designed for global applicability, with Egypt presented as a case study for emerging market implementation.</w:t>
      </w:r>
    </w:p>
    <w:p>
      <w:pPr>
        <w:pStyle w:val="BodyText"/>
      </w:pPr>
      <w:r>
        <w:rPr>
          <w:b/>
          <w:bCs/>
        </w:rPr>
        <w:t xml:space="preserve">KEY CONTRIBUTIONS:</w:t>
      </w:r>
    </w:p>
    <w:p>
      <w:pPr>
        <w:numPr>
          <w:ilvl w:val="0"/>
          <w:numId w:val="1001"/>
        </w:numPr>
      </w:pPr>
      <w:r>
        <w:t xml:space="preserve">First actuarial Gini coefficient analysis for biological age-based risk segmentation</w:t>
      </w:r>
    </w:p>
    <w:p>
      <w:pPr>
        <w:numPr>
          <w:ilvl w:val="0"/>
          <w:numId w:val="1001"/>
        </w:numPr>
      </w:pPr>
      <w:r>
        <w:t xml:space="preserve">Validated biological age calculation with Age Acceleration SD = 6.12 years</w:t>
      </w:r>
    </w:p>
    <w:p>
      <w:pPr>
        <w:numPr>
          <w:ilvl w:val="0"/>
          <w:numId w:val="1001"/>
        </w:numPr>
      </w:pPr>
      <w:r>
        <w:t xml:space="preserve">Novel "MoveDiscount" dynamic pricing framework for insurance applications</w:t>
      </w:r>
    </w:p>
    <w:p>
      <w:pPr>
        <w:numPr>
          <w:ilvl w:val="0"/>
          <w:numId w:val="1001"/>
        </w:numPr>
      </w:pPr>
      <w:r>
        <w:t xml:space="preserve">Cross-validated results consistent with published medical literature</w:t>
      </w:r>
    </w:p>
    <w:p>
      <w:pPr>
        <w:pStyle w:val="FirstParagraph"/>
      </w:pPr>
      <w:r>
        <w:rPr>
          <w:b/>
          <w:bCs/>
        </w:rPr>
        <w:t xml:space="preserve">MAIN FINDINGS:</w:t>
      </w:r>
    </w:p>
    <w:p>
      <w:pPr>
        <w:numPr>
          <w:ilvl w:val="0"/>
          <w:numId w:val="1002"/>
        </w:numPr>
      </w:pPr>
      <w:r>
        <w:rPr>
          <w:b/>
          <w:bCs/>
        </w:rPr>
        <w:t xml:space="preserve">Gini Coefficient</w:t>
      </w:r>
      <w:r>
        <w:t xml:space="preserve">: 0.332 (50.9% improvement over chronological age alone)</w:t>
      </w:r>
    </w:p>
    <w:p>
      <w:pPr>
        <w:numPr>
          <w:ilvl w:val="0"/>
          <w:numId w:val="1002"/>
        </w:numPr>
      </w:pPr>
      <w:r>
        <w:rPr>
          <w:b/>
          <w:bCs/>
        </w:rPr>
        <w:t xml:space="preserve">Risk Ratio Range</w:t>
      </w:r>
      <w:r>
        <w:t xml:space="preserve">: 0.24 - 6.25 (26× separation between healthiest and highest-risk)</w:t>
      </w:r>
    </w:p>
    <w:p>
      <w:pPr>
        <w:numPr>
          <w:ilvl w:val="0"/>
          <w:numId w:val="1002"/>
        </w:numPr>
      </w:pPr>
      <w:r>
        <w:rPr>
          <w:b/>
          <w:bCs/>
        </w:rPr>
        <w:t xml:space="preserve">Accelerated Agers</w:t>
      </w:r>
      <w:r>
        <w:t xml:space="preserve">: 13.1% of population (biological age &gt; chronological by 5+ years)</w:t>
      </w:r>
    </w:p>
    <w:p>
      <w:pPr>
        <w:numPr>
          <w:ilvl w:val="0"/>
          <w:numId w:val="1002"/>
        </w:numPr>
      </w:pPr>
      <w:r>
        <w:rPr>
          <w:b/>
          <w:bCs/>
        </w:rPr>
        <w:t xml:space="preserve">Decelerated Agers</w:t>
      </w:r>
      <w:r>
        <w:t xml:space="preserve">: 13.6% of population (biological age &lt; chronological by 5+ years)</w:t>
      </w:r>
    </w:p>
    <w:p>
      <w:r>
        <w:pict>
          <v:rect style="width:0;height:1.5pt" o:hralign="center" o:hrstd="t" o:hr="t"/>
        </w:pict>
      </w:r>
    </w:p>
    <w:p>
      <w:pPr>
        <w:pStyle w:val="FirstParagraph"/>
      </w:pPr>
      <w:r>
        <w:rPr>
          <w:b/>
          <w:bCs/>
        </w:rPr>
        <w:t xml:space="preserve">Abstract</w:t>
      </w:r>
    </w:p>
    <w:p>
      <w:pPr>
        <w:pStyle w:val="BodyText"/>
      </w:pPr>
      <w:r>
        <w:t xml:space="preserve">The traditional insurance industry relies heavily on static demographic factors—primarily chronological age—to assess mortality risk and price premiums. However, this approach fails to account for individual physiological heterogeneity. This study proposes a paradigm shift towards "Dynamic Actuarial Risk Profiling" by integrating high-frequency wearable sensor data with advanced machine learning techniques. While recent medical research (Shim et al., 2023) has successfully predicted "Biological Age" from wearables ("MoveAge"), its potential for actuarial pricing remains unexplored. Utilizing the National Health and Nutrition Examination Survey (NHANES) dataset (2017-2018), this research aims to bridge this gap. The methodology employs a Deep Learning Survival Analysis (DeepSurv) framework and a Gradient Boosting Survival model (XGBAge) to model non-linear interactions between physical activity patterns (intensity, fragmentation) and biological decay. The expected contribution is a validated framework for granular risk segmentation that enhances pricing fairness, reduces adverse selection, and incentivizes healthy behaviors through dynamic premium adjustments.</w:t>
      </w:r>
    </w:p>
    <w:p>
      <w:pPr>
        <w:pStyle w:val="BodyText"/>
      </w:pPr>
      <w:r>
        <w:rPr>
          <w:b/>
          <w:bCs/>
        </w:rPr>
        <w:t xml:space="preserve">Table of Contents</w:t>
      </w:r>
    </w:p>
    <w:p>
      <w:pPr>
        <w:pStyle w:val="BodyText"/>
      </w:pPr>
      <w:r>
        <w:rPr>
          <w:b/>
          <w:bCs/>
        </w:rPr>
        <w:t xml:space="preserve">FRONT MATTER</w:t>
      </w:r>
    </w:p>
    <w:p>
      <w:pPr>
        <w:numPr>
          <w:ilvl w:val="0"/>
          <w:numId w:val="1003"/>
        </w:numPr>
      </w:pPr>
      <w:r>
        <w:t xml:space="preserve">ABSTRACT..................................................................................................................................................I</w:t>
      </w:r>
    </w:p>
    <w:p>
      <w:pPr>
        <w:numPr>
          <w:ilvl w:val="0"/>
          <w:numId w:val="1003"/>
        </w:numPr>
      </w:pPr>
      <w:r>
        <w:t xml:space="preserve">LIST OF FIGURES...................................................................................................................................IV</w:t>
      </w:r>
    </w:p>
    <w:p>
      <w:pPr>
        <w:numPr>
          <w:ilvl w:val="0"/>
          <w:numId w:val="1003"/>
        </w:numPr>
      </w:pPr>
      <w:r>
        <w:t xml:space="preserve">LIST OF TABLES.....................................................................................................................................V</w:t>
      </w:r>
    </w:p>
    <w:p>
      <w:pPr>
        <w:numPr>
          <w:ilvl w:val="0"/>
          <w:numId w:val="1003"/>
        </w:numPr>
      </w:pPr>
      <w:r>
        <w:t xml:space="preserve">ACKNOWLEDGMENTS..........................................................................................................................VI</w:t>
      </w:r>
    </w:p>
    <w:p>
      <w:pPr>
        <w:pStyle w:val="FirstParagraph"/>
      </w:pPr>
      <w:r>
        <w:rPr>
          <w:b/>
          <w:bCs/>
        </w:rPr>
        <w:t xml:space="preserve">1. INTRODUCTION...............................................................................................................................1</w:t>
      </w:r>
      <w:r>
        <w:br/>
      </w:r>
      <w:r>
        <w:t xml:space="preserve"> </w:t>
      </w:r>
      <w:r>
        <w:t xml:space="preserve">1.1. INTRODUCTION AND BACKGROUND.............................................................................................1</w:t>
      </w:r>
      <w:r>
        <w:br/>
      </w:r>
      <w:r>
        <w:t xml:space="preserve"> </w:t>
      </w:r>
      <w:r>
        <w:t xml:space="preserve">1.2. PROBLEM STATEMENT................................................................................................................3</w:t>
      </w:r>
      <w:r>
        <w:br/>
      </w:r>
      <w:r>
        <w:t xml:space="preserve"> </w:t>
      </w:r>
      <w:r>
        <w:t xml:space="preserve">1.3. RESEARCH OBJECTIVES................................................................................................................4</w:t>
      </w:r>
      <w:r>
        <w:br/>
      </w:r>
      <w:r>
        <w:t xml:space="preserve"> </w:t>
      </w:r>
      <w:r>
        <w:t xml:space="preserve">1.4. RESEARCH QUESTIONS.................................................................................................................4</w:t>
      </w:r>
      <w:r>
        <w:br/>
      </w:r>
      <w:r>
        <w:t xml:space="preserve"> </w:t>
      </w:r>
      <w:r>
        <w:t xml:space="preserve">1.5. SIGNIFICANCE OF THE STUDY......................................................................................................5</w:t>
      </w:r>
      <w:r>
        <w:br/>
      </w:r>
      <w:r>
        <w:t xml:space="preserve"> </w:t>
      </w:r>
      <w:r>
        <w:t xml:space="preserve">1.6. STRUCTURE OF THE THESIS..........................................................................................................6</w:t>
      </w:r>
    </w:p>
    <w:p>
      <w:pPr>
        <w:pStyle w:val="BodyText"/>
      </w:pPr>
      <w:r>
        <w:rPr>
          <w:b/>
          <w:bCs/>
        </w:rPr>
        <w:t xml:space="preserve">2. LITERATURE REVIEW.......................................................................................................................8</w:t>
      </w:r>
      <w:r>
        <w:br/>
      </w:r>
      <w:r>
        <w:t xml:space="preserve"> </w:t>
      </w:r>
      <w:r>
        <w:t xml:space="preserve">2.1. THE EVOLUTION OF ACTUARIAL RISK ASSESSMENT....................................................................8</w:t>
      </w:r>
      <w:r>
        <w:br/>
      </w:r>
      <w:r>
        <w:t xml:space="preserve"> </w:t>
      </w:r>
      <w:r>
        <w:t xml:space="preserve">2.2. BIOLOGICAL AGING CLOCKS: FROM DNA TO PHENOTYPE.....................................................9</w:t>
      </w:r>
      <w:r>
        <w:br/>
      </w:r>
      <w:r>
        <w:t xml:space="preserve"> </w:t>
      </w:r>
      <w:r>
        <w:t xml:space="preserve">2.3. WEARABLE TECHNOLOGY IN HEALTHCARE AND INSURANCE.................................................10</w:t>
      </w:r>
      <w:r>
        <w:br/>
      </w:r>
      <w:r>
        <w:t xml:space="preserve"> </w:t>
      </w:r>
      <w:r>
        <w:t xml:space="preserve">2.4. MACHINE LEARNING IN SURVIVAL ANALYSIS..........................................................................11</w:t>
      </w:r>
      <w:r>
        <w:br/>
      </w:r>
      <w:r>
        <w:t xml:space="preserve"> </w:t>
      </w:r>
      <w:r>
        <w:t xml:space="preserve">2.5. RECENT ADVANCES (2020-2024)..............................................................................................12</w:t>
      </w:r>
      <w:r>
        <w:br/>
      </w:r>
      <w:r>
        <w:t xml:space="preserve"> </w:t>
      </w:r>
      <w:r>
        <w:t xml:space="preserve">2.6. RESEARCH GAP AND CONTRIBUTION........................................................................................13</w:t>
      </w:r>
    </w:p>
    <w:p>
      <w:pPr>
        <w:pStyle w:val="BodyText"/>
      </w:pPr>
      <w:r>
        <w:rPr>
          <w:b/>
          <w:bCs/>
        </w:rPr>
        <w:t xml:space="preserve">3. RESEARCH METHODOLOGY.........................................................................................................14</w:t>
      </w:r>
      <w:r>
        <w:br/>
      </w:r>
      <w:r>
        <w:t xml:space="preserve"> </w:t>
      </w:r>
      <w:r>
        <w:t xml:space="preserve">3.1. RESEARCH DESIGN.....................................................................................................................14</w:t>
      </w:r>
      <w:r>
        <w:br/>
      </w:r>
      <w:r>
        <w:t xml:space="preserve"> </w:t>
      </w:r>
      <w:r>
        <w:t xml:space="preserve">3.2. DATA SOURCE: NHANES (2017-2018)......................................................................................15</w:t>
      </w:r>
      <w:r>
        <w:br/>
      </w:r>
      <w:r>
        <w:t xml:space="preserve"> </w:t>
      </w:r>
      <w:r>
        <w:t xml:space="preserve">3.3. DATA PRE-PROCESSING AND FEATURE ENGINEERING.................................................................17</w:t>
      </w:r>
      <w:r>
        <w:br/>
      </w:r>
      <w:r>
        <w:t xml:space="preserve"> </w:t>
      </w:r>
      <w:r>
        <w:t xml:space="preserve">3.4. BIOLOGICAL AGE CALCULATION (PHENOAGE)..........................................................................20</w:t>
      </w:r>
      <w:r>
        <w:br/>
      </w:r>
      <w:r>
        <w:t xml:space="preserve"> </w:t>
      </w:r>
      <w:r>
        <w:t xml:space="preserve">3.5. MODEL DEVELOPMENT (DEEPSURV VS COXPH VS XGBAGE)..................................................22</w:t>
      </w:r>
      <w:r>
        <w:br/>
      </w:r>
      <w:r>
        <w:t xml:space="preserve"> </w:t>
      </w:r>
      <w:r>
        <w:t xml:space="preserve">3.6. EVALUATION METHODS AND METRICS.....................................................................................24</w:t>
      </w:r>
    </w:p>
    <w:p>
      <w:pPr>
        <w:pStyle w:val="BodyText"/>
      </w:pPr>
      <w:r>
        <w:rPr>
          <w:b/>
          <w:bCs/>
        </w:rPr>
        <w:t xml:space="preserve">4. EXPLORATORY DATA ANALYSIS (EDA)....................................................................................26</w:t>
      </w:r>
      <w:r>
        <w:br/>
      </w:r>
      <w:r>
        <w:t xml:space="preserve"> </w:t>
      </w:r>
      <w:r>
        <w:t xml:space="preserve">4.1. INTRODUCTION..........................................................................................................................26</w:t>
      </w:r>
      <w:r>
        <w:br/>
      </w:r>
      <w:r>
        <w:t xml:space="preserve"> </w:t>
      </w:r>
      <w:r>
        <w:t xml:space="preserve">4.2. DATA OVERVIEW AND QUALITY ASSESSMENT..........................................................................26</w:t>
      </w:r>
      <w:r>
        <w:br/>
      </w:r>
      <w:r>
        <w:t xml:space="preserve"> </w:t>
      </w:r>
      <w:r>
        <w:t xml:space="preserve">4.3. DEMOGRAPHIC CHARACTERISTICS............................................................................................27</w:t>
      </w:r>
      <w:r>
        <w:br/>
      </w:r>
      <w:r>
        <w:t xml:space="preserve"> </w:t>
      </w:r>
      <w:r>
        <w:t xml:space="preserve">4.4. BIOMARKER DISTRIBUTIONS AND OUTLIER ANALYSIS..............................................................28</w:t>
      </w:r>
      <w:r>
        <w:br/>
      </w:r>
      <w:r>
        <w:t xml:space="preserve"> </w:t>
      </w:r>
      <w:r>
        <w:t xml:space="preserve">4.5. CORRELATION ANALYSIS...........................................................................................................29</w:t>
      </w:r>
      <w:r>
        <w:br/>
      </w:r>
      <w:r>
        <w:t xml:space="preserve"> </w:t>
      </w:r>
      <w:r>
        <w:t xml:space="preserve">4.6. AGE ACCELERATION DISTRIBUTION..........................................................................................30</w:t>
      </w:r>
      <w:r>
        <w:br/>
      </w:r>
      <w:r>
        <w:t xml:space="preserve"> </w:t>
      </w:r>
      <w:r>
        <w:t xml:space="preserve">4.7. INSIGHTS FROM EDA.................................................................................................................31</w:t>
      </w:r>
    </w:p>
    <w:p>
      <w:pPr>
        <w:pStyle w:val="BodyText"/>
      </w:pPr>
      <w:r>
        <w:rPr>
          <w:b/>
          <w:bCs/>
        </w:rPr>
        <w:t xml:space="preserve">5. MODEL IMPLEMENTATION AND EVALUATION......................................................................32</w:t>
      </w:r>
      <w:r>
        <w:br/>
      </w:r>
      <w:r>
        <w:t xml:space="preserve"> </w:t>
      </w:r>
      <w:r>
        <w:t xml:space="preserve">5.1. INTRODUCTION..........................................................................................................................32</w:t>
      </w:r>
      <w:r>
        <w:br/>
      </w:r>
      <w:r>
        <w:t xml:space="preserve"> </w:t>
      </w:r>
      <w:r>
        <w:t xml:space="preserve">5.2. MODEL TRAINING AND IMPLEMENTATION................................................................................32</w:t>
      </w:r>
      <w:r>
        <w:br/>
      </w:r>
      <w:r>
        <w:t xml:space="preserve"> </w:t>
      </w:r>
      <w:r>
        <w:t xml:space="preserve">5.3. MODEL EVALUATION RESULTS..................................................................................................34</w:t>
      </w:r>
    </w:p>
    <w:p>
      <w:pPr>
        <w:pStyle w:val="BodyText"/>
      </w:pPr>
      <w:r>
        <w:rPr>
          <w:b/>
          <w:bCs/>
        </w:rPr>
        <w:t xml:space="preserve">6. RESULTS AND DISCUSSION...........................................................................................................35</w:t>
      </w:r>
      <w:r>
        <w:br/>
      </w:r>
      <w:r>
        <w:t xml:space="preserve"> </w:t>
      </w:r>
      <w:r>
        <w:t xml:space="preserve">6.1. DESCRIPTIVE STATISTICS AND COHORT CHARACTERISTICS......................................................35</w:t>
      </w:r>
      <w:r>
        <w:br/>
      </w:r>
      <w:r>
        <w:t xml:space="preserve"> </w:t>
      </w:r>
      <w:r>
        <w:t xml:space="preserve">6.2. COMPARATIVE MODEL PERFORMANCE (C-INDEX)...................................................................36</w:t>
      </w:r>
      <w:r>
        <w:br/>
      </w:r>
      <w:r>
        <w:t xml:space="preserve"> </w:t>
      </w:r>
      <w:r>
        <w:t xml:space="preserve">6.3. DIGITAL BIOMARKER IMPORTANCE ANALYSIS..........................................................................37</w:t>
      </w:r>
      <w:r>
        <w:br/>
      </w:r>
      <w:r>
        <w:t xml:space="preserve"> </w:t>
      </w:r>
      <w:r>
        <w:t xml:space="preserve">6.4. ACTUARIAL BUSINESS IMPACT: PRICING SIMULATION..............................................................38</w:t>
      </w:r>
      <w:r>
        <w:br/>
      </w:r>
      <w:r>
        <w:t xml:space="preserve"> </w:t>
      </w:r>
      <w:r>
        <w:t xml:space="preserve">6.4.1. GINI COEFFICIENT ANALYSIS............................................................................................38</w:t>
      </w:r>
      <w:r>
        <w:br/>
      </w:r>
      <w:r>
        <w:t xml:space="preserve"> </w:t>
      </w:r>
      <w:r>
        <w:t xml:space="preserve">6.4.2. DYNAMIC PREMIUM PRICING APPLICATION....................................................................39</w:t>
      </w:r>
      <w:r>
        <w:br/>
      </w:r>
      <w:r>
        <w:t xml:space="preserve"> </w:t>
      </w:r>
      <w:r>
        <w:t xml:space="preserve">6.5. POLICYHOLDER ACCEPTANCE: WILLINGNESS TO SHARE WEARABLE DATA..............................40</w:t>
      </w:r>
      <w:r>
        <w:br/>
      </w:r>
      <w:r>
        <w:t xml:space="preserve"> </w:t>
      </w:r>
      <w:r>
        <w:t xml:space="preserve">6.5.1. LITERATURE SYNTHESIS ON CONSUMER ACCEPTANCE..................................................40</w:t>
      </w:r>
      <w:r>
        <w:br/>
      </w:r>
      <w:r>
        <w:t xml:space="preserve"> </w:t>
      </w:r>
      <w:r>
        <w:t xml:space="preserve">6.5.2. KEY FINDINGS FROM ACADEMIC LITERATURE................................................................41</w:t>
      </w:r>
      <w:r>
        <w:br/>
      </w:r>
      <w:r>
        <w:t xml:space="preserve"> </w:t>
      </w:r>
      <w:r>
        <w:t xml:space="preserve">6.5.3. THEORETICAL FRAMEWORK: PRIVACY CALCULUS THEORY..........................................42</w:t>
      </w:r>
      <w:r>
        <w:br/>
      </w:r>
      <w:r>
        <w:t xml:space="preserve"> </w:t>
      </w:r>
      <w:r>
        <w:t xml:space="preserve">6.5.4. EMPIRICAL EVIDENCE: VITALITY PROGRAM CASE STUDY............................................43</w:t>
      </w:r>
      <w:r>
        <w:br/>
      </w:r>
      <w:r>
        <w:t xml:space="preserve"> </w:t>
      </w:r>
      <w:r>
        <w:t xml:space="preserve">6.5.5. PROPOSED "OPT-IN TRANSPARENCY MODEL"...............................................................44</w:t>
      </w:r>
      <w:r>
        <w:br/>
      </w:r>
      <w:r>
        <w:t xml:space="preserve"> </w:t>
      </w:r>
      <w:r>
        <w:t xml:space="preserve">6.5.6. ETHICAL CONSIDERATIONS AND REGULATORY COMPLIANCE......................................45</w:t>
      </w:r>
      <w:r>
        <w:br/>
      </w:r>
      <w:r>
        <w:t xml:space="preserve"> </w:t>
      </w:r>
      <w:r>
        <w:t xml:space="preserve">6.6. SUMMARY OF KEY RESULTS......................................................................................................46</w:t>
      </w:r>
    </w:p>
    <w:p>
      <w:pPr>
        <w:pStyle w:val="BodyText"/>
      </w:pPr>
      <w:r>
        <w:rPr>
          <w:b/>
          <w:bCs/>
        </w:rPr>
        <w:t xml:space="preserve">7. INDUSTRY IMPACT ANALYSIS......................................................................................................47</w:t>
      </w:r>
      <w:r>
        <w:br/>
      </w:r>
      <w:r>
        <w:t xml:space="preserve"> </w:t>
      </w:r>
      <w:r>
        <w:t xml:space="preserve">7.1. GLOBAL IMPLEMENTATION CASE STUDIES................................................................................47</w:t>
      </w:r>
      <w:r>
        <w:br/>
      </w:r>
      <w:r>
        <w:t xml:space="preserve"> </w:t>
      </w:r>
      <w:r>
        <w:t xml:space="preserve">7.1.1. DISCOVERY VITALITY (SOUTH AFRICA)...........................................................................47</w:t>
      </w:r>
      <w:r>
        <w:br/>
      </w:r>
      <w:r>
        <w:t xml:space="preserve"> </w:t>
      </w:r>
      <w:r>
        <w:t xml:space="preserve">7.1.2. JOHN HANCOCK VITALITY (UNITED STATES)..................................................................48</w:t>
      </w:r>
      <w:r>
        <w:br/>
      </w:r>
      <w:r>
        <w:t xml:space="preserve"> </w:t>
      </w:r>
      <w:r>
        <w:t xml:space="preserve">7.2. ADVANTAGES AND BENEFITS....................................................................................................49</w:t>
      </w:r>
      <w:r>
        <w:br/>
      </w:r>
      <w:r>
        <w:t xml:space="preserve"> </w:t>
      </w:r>
      <w:r>
        <w:t xml:space="preserve">7.3. CHALLENGES, DISADVANTAGES, AND MODIFICATIONS..............................................................50</w:t>
      </w:r>
      <w:r>
        <w:br/>
      </w:r>
      <w:r>
        <w:t xml:space="preserve"> </w:t>
      </w:r>
      <w:r>
        <w:t xml:space="preserve">7.4. FUTURE EXPECTATIONS AND INDUSTRY TRENDS......................................................................51</w:t>
      </w:r>
      <w:r>
        <w:br/>
      </w:r>
      <w:r>
        <w:t xml:space="preserve"> </w:t>
      </w:r>
      <w:r>
        <w:t xml:space="preserve">7.5. IMPACT ON THE EGYPTIAN INSURANCE MARKET.......................................................................52</w:t>
      </w:r>
      <w:r>
        <w:br/>
      </w:r>
      <w:r>
        <w:t xml:space="preserve"> </w:t>
      </w:r>
      <w:r>
        <w:t xml:space="preserve">7.5.1. CURRENT STATE................................................................................................................52</w:t>
      </w:r>
      <w:r>
        <w:br/>
      </w:r>
      <w:r>
        <w:t xml:space="preserve"> </w:t>
      </w:r>
      <w:r>
        <w:t xml:space="preserve">7.5.2. OPPORTUNITIES FOR EGYPT.............................................................................................53</w:t>
      </w:r>
      <w:r>
        <w:br/>
      </w:r>
      <w:r>
        <w:t xml:space="preserve"> </w:t>
      </w:r>
      <w:r>
        <w:t xml:space="preserve">7.5.3. IMPLEMENTATION RECOMMENDATIONS..........................................................................54</w:t>
      </w:r>
      <w:r>
        <w:br/>
      </w:r>
      <w:r>
        <w:t xml:space="preserve"> </w:t>
      </w:r>
      <w:r>
        <w:t xml:space="preserve">7.5.4. REGULATORY CONSIDERATIONS.......................................................................................55</w:t>
      </w:r>
      <w:r>
        <w:br/>
      </w:r>
      <w:r>
        <w:t xml:space="preserve"> </w:t>
      </w:r>
      <w:r>
        <w:t xml:space="preserve">7.6. ECONOMIC IMPACT QUANTIFICATION......................................................................................56</w:t>
      </w:r>
    </w:p>
    <w:p>
      <w:pPr>
        <w:pStyle w:val="BodyText"/>
      </w:pPr>
      <w:r>
        <w:rPr>
          <w:b/>
          <w:bCs/>
        </w:rPr>
        <w:t xml:space="preserve">8. CONCLUSION AND RECOMMENDATIONS....................................................................................57</w:t>
      </w:r>
      <w:r>
        <w:br/>
      </w:r>
      <w:r>
        <w:t xml:space="preserve"> </w:t>
      </w:r>
      <w:r>
        <w:t xml:space="preserve">8.1. SUMMARY OF CONTRIBUTIONS.................................................................................................57</w:t>
      </w:r>
      <w:r>
        <w:br/>
      </w:r>
      <w:r>
        <w:t xml:space="preserve"> </w:t>
      </w:r>
      <w:r>
        <w:t xml:space="preserve">8.2. IMPLICATIONS FOR THE INSURANCE INDUSTRY.........................................................................58</w:t>
      </w:r>
      <w:r>
        <w:br/>
      </w:r>
      <w:r>
        <w:t xml:space="preserve"> </w:t>
      </w:r>
      <w:r>
        <w:t xml:space="preserve">8.3. LIMITATIONS..............................................................................................................................59</w:t>
      </w:r>
      <w:r>
        <w:br/>
      </w:r>
      <w:r>
        <w:t xml:space="preserve"> </w:t>
      </w:r>
      <w:r>
        <w:t xml:space="preserve">8.4. FUTURE RESEARCH DIRECTIONS................................................................................................60</w:t>
      </w:r>
      <w:r>
        <w:br/>
      </w:r>
      <w:r>
        <w:t xml:space="preserve"> </w:t>
      </w:r>
      <w:r>
        <w:t xml:space="preserve">8.5. FINAL REMARKS.........................................................................................................................61</w:t>
      </w:r>
    </w:p>
    <w:p>
      <w:pPr>
        <w:pStyle w:val="BodyText"/>
      </w:pPr>
      <w:r>
        <w:rPr>
          <w:b/>
          <w:bCs/>
        </w:rPr>
        <w:t xml:space="preserve">REFERENCES...........................................................................................................................................62</w:t>
      </w:r>
    </w:p>
    <w:p>
      <w:pPr>
        <w:pStyle w:val="BodyText"/>
      </w:pPr>
      <w:r>
        <w:rPr>
          <w:b/>
          <w:bCs/>
        </w:rPr>
        <w:t xml:space="preserve">APPENDICES............................................................................................................................................70</w:t>
      </w:r>
      <w:r>
        <w:br/>
      </w:r>
      <w:r>
        <w:t xml:space="preserve"> </w:t>
      </w:r>
      <w:r>
        <w:t xml:space="preserve">APPENDIX A: PYTHON ENVIRONMENT SETUP.................................................................................70</w:t>
      </w:r>
      <w:r>
        <w:br/>
      </w:r>
      <w:r>
        <w:t xml:space="preserve"> </w:t>
      </w:r>
      <w:r>
        <w:t xml:space="preserve">APPENDIX B: PHENOAGE CALCULATION CODE................................................................................71</w:t>
      </w:r>
      <w:r>
        <w:br/>
      </w:r>
      <w:r>
        <w:t xml:space="preserve"> </w:t>
      </w:r>
      <w:r>
        <w:t xml:space="preserve">APPENDIX C: DEEPSURV MODEL ARCHITECTURE...........................................................................72</w:t>
      </w:r>
      <w:r>
        <w:br/>
      </w:r>
      <w:r>
        <w:t xml:space="preserve"> </w:t>
      </w:r>
      <w:r>
        <w:t xml:space="preserve">APPENDIX D: MOVEMENT FRAGMENTATION CALCULATION..........................................................73</w:t>
      </w:r>
    </w:p>
    <w:p>
      <w:r>
        <w:pict>
          <v:rect style="width:0;height:1.5pt" o:hralign="center" o:hrstd="t" o:hr="t"/>
        </w:pict>
      </w:r>
    </w:p>
    <w:bookmarkEnd w:id="9"/>
    <w:bookmarkStart w:id="10"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Page</w:t>
            </w:r>
          </w:p>
        </w:tc>
      </w:tr>
      <w:tr>
        <w:tc>
          <w:tcPr/>
          <w:p>
            <w:pPr>
              <w:pStyle w:val="Compact"/>
            </w:pPr>
            <w:r>
              <w:t xml:space="preserve">Figure 3.1</w:t>
            </w:r>
          </w:p>
        </w:tc>
        <w:tc>
          <w:tcPr/>
          <w:p>
            <w:pPr>
              <w:pStyle w:val="Compact"/>
            </w:pPr>
            <w:r>
              <w:t xml:space="preserve">NHANES Data Processing Pipeline</w:t>
            </w:r>
          </w:p>
        </w:tc>
        <w:tc>
          <w:tcPr/>
          <w:p>
            <w:pPr>
              <w:pStyle w:val="Compact"/>
            </w:pPr>
            <w:r>
              <w:t xml:space="preserve">15</w:t>
            </w:r>
          </w:p>
        </w:tc>
      </w:tr>
      <w:tr>
        <w:tc>
          <w:tcPr/>
          <w:p>
            <w:pPr>
              <w:pStyle w:val="Compact"/>
            </w:pPr>
            <w:r>
              <w:t xml:space="preserve">Figure 4.1</w:t>
            </w:r>
          </w:p>
        </w:tc>
        <w:tc>
          <w:tcPr/>
          <w:p>
            <w:pPr>
              <w:pStyle w:val="Compact"/>
            </w:pPr>
            <w:r>
              <w:t xml:space="preserve">Distribution of Age Acceleration</w:t>
            </w:r>
          </w:p>
        </w:tc>
        <w:tc>
          <w:tcPr/>
          <w:p>
            <w:pPr>
              <w:pStyle w:val="Compact"/>
            </w:pPr>
            <w:r>
              <w:t xml:space="preserve">30</w:t>
            </w:r>
          </w:p>
        </w:tc>
      </w:tr>
      <w:tr>
        <w:tc>
          <w:tcPr/>
          <w:p>
            <w:pPr>
              <w:pStyle w:val="Compact"/>
            </w:pPr>
            <w:r>
              <w:t xml:space="preserve">Figure 4.2</w:t>
            </w:r>
          </w:p>
        </w:tc>
        <w:tc>
          <w:tcPr/>
          <w:p>
            <w:pPr>
              <w:pStyle w:val="Compact"/>
            </w:pPr>
            <w:r>
              <w:t xml:space="preserve">Biomarker Correlation Heatmap</w:t>
            </w:r>
          </w:p>
        </w:tc>
        <w:tc>
          <w:tcPr/>
          <w:p>
            <w:pPr>
              <w:pStyle w:val="Compact"/>
            </w:pPr>
            <w:r>
              <w:t xml:space="preserve">29</w:t>
            </w:r>
          </w:p>
        </w:tc>
      </w:tr>
      <w:tr>
        <w:tc>
          <w:tcPr/>
          <w:p>
            <w:pPr>
              <w:pStyle w:val="Compact"/>
            </w:pPr>
            <w:r>
              <w:t xml:space="preserve">Figure 5.1</w:t>
            </w:r>
          </w:p>
        </w:tc>
        <w:tc>
          <w:tcPr/>
          <w:p>
            <w:pPr>
              <w:pStyle w:val="Compact"/>
            </w:pPr>
            <w:r>
              <w:t xml:space="preserve">PhenoAge Calculation Flowchart</w:t>
            </w:r>
          </w:p>
        </w:tc>
        <w:tc>
          <w:tcPr/>
          <w:p>
            <w:pPr>
              <w:pStyle w:val="Compact"/>
            </w:pPr>
            <w:r>
              <w:t xml:space="preserve">33</w:t>
            </w:r>
          </w:p>
        </w:tc>
      </w:tr>
      <w:tr>
        <w:tc>
          <w:tcPr/>
          <w:p>
            <w:pPr>
              <w:pStyle w:val="Compact"/>
            </w:pPr>
            <w:r>
              <w:t xml:space="preserve">Figure 6.1</w:t>
            </w:r>
          </w:p>
        </w:tc>
        <w:tc>
          <w:tcPr/>
          <w:p>
            <w:pPr>
              <w:pStyle w:val="Compact"/>
            </w:pPr>
            <w:r>
              <w:t xml:space="preserve">Chronological vs Biological Age Scatter Plot</w:t>
            </w:r>
          </w:p>
        </w:tc>
        <w:tc>
          <w:tcPr/>
          <w:p>
            <w:pPr>
              <w:pStyle w:val="Compact"/>
            </w:pPr>
            <w:r>
              <w:t xml:space="preserve">36</w:t>
            </w:r>
          </w:p>
        </w:tc>
      </w:tr>
      <w:tr>
        <w:tc>
          <w:tcPr/>
          <w:p>
            <w:pPr>
              <w:pStyle w:val="Compact"/>
            </w:pPr>
            <w:r>
              <w:t xml:space="preserve">Figure 6.2</w:t>
            </w:r>
          </w:p>
        </w:tc>
        <w:tc>
          <w:tcPr/>
          <w:p>
            <w:pPr>
              <w:pStyle w:val="Compact"/>
            </w:pPr>
            <w:r>
              <w:t xml:space="preserve">Gini Coefficient Comparison Chart</w:t>
            </w:r>
          </w:p>
        </w:tc>
        <w:tc>
          <w:tcPr/>
          <w:p>
            <w:pPr>
              <w:pStyle w:val="Compact"/>
            </w:pPr>
            <w:r>
              <w:t xml:space="preserve">38</w:t>
            </w:r>
          </w:p>
        </w:tc>
      </w:tr>
      <w:tr>
        <w:tc>
          <w:tcPr/>
          <w:p>
            <w:pPr>
              <w:pStyle w:val="Compact"/>
            </w:pPr>
            <w:r>
              <w:t xml:space="preserve">Figure 6.3</w:t>
            </w:r>
          </w:p>
        </w:tc>
        <w:tc>
          <w:tcPr/>
          <w:p>
            <w:pPr>
              <w:pStyle w:val="Compact"/>
            </w:pPr>
            <w:r>
              <w:t xml:space="preserve">Risk Ratio Distribution</w:t>
            </w:r>
          </w:p>
        </w:tc>
        <w:tc>
          <w:tcPr/>
          <w:p>
            <w:pPr>
              <w:pStyle w:val="Compact"/>
            </w:pPr>
            <w:r>
              <w:t xml:space="preserve">39</w:t>
            </w:r>
          </w:p>
        </w:tc>
      </w:tr>
      <w:tr>
        <w:tc>
          <w:tcPr/>
          <w:p>
            <w:pPr>
              <w:pStyle w:val="Compact"/>
            </w:pPr>
            <w:r>
              <w:t xml:space="preserve">Figure 6.4</w:t>
            </w:r>
          </w:p>
        </w:tc>
        <w:tc>
          <w:tcPr/>
          <w:p>
            <w:pPr>
              <w:pStyle w:val="Compact"/>
            </w:pPr>
            <w:r>
              <w:t xml:space="preserve">Privacy Calculus Framework</w:t>
            </w:r>
          </w:p>
        </w:tc>
        <w:tc>
          <w:tcPr/>
          <w:p>
            <w:pPr>
              <w:pStyle w:val="Compact"/>
            </w:pPr>
            <w:r>
              <w:t xml:space="preserve">42</w:t>
            </w:r>
          </w:p>
        </w:tc>
      </w:tr>
      <w:tr>
        <w:tc>
          <w:tcPr/>
          <w:p>
            <w:pPr>
              <w:pStyle w:val="Compact"/>
            </w:pPr>
            <w:r>
              <w:t xml:space="preserve">Figure 6.5</w:t>
            </w:r>
          </w:p>
        </w:tc>
        <w:tc>
          <w:tcPr/>
          <w:p>
            <w:pPr>
              <w:pStyle w:val="Compact"/>
            </w:pPr>
            <w:r>
              <w:t xml:space="preserve">Vitality Program Results</w:t>
            </w:r>
          </w:p>
        </w:tc>
        <w:tc>
          <w:tcPr/>
          <w:p>
            <w:pPr>
              <w:pStyle w:val="Compact"/>
            </w:pPr>
            <w:r>
              <w:t xml:space="preserve">43</w:t>
            </w:r>
          </w:p>
        </w:tc>
      </w:tr>
      <w:tr>
        <w:tc>
          <w:tcPr/>
          <w:p>
            <w:pPr>
              <w:pStyle w:val="Compact"/>
            </w:pPr>
            <w:r>
              <w:t xml:space="preserve">Figure 7.1</w:t>
            </w:r>
          </w:p>
        </w:tc>
        <w:tc>
          <w:tcPr/>
          <w:p>
            <w:pPr>
              <w:pStyle w:val="Compact"/>
            </w:pPr>
            <w:r>
              <w:t xml:space="preserve">Discovery Vitality Program Results</w:t>
            </w:r>
          </w:p>
        </w:tc>
        <w:tc>
          <w:tcPr/>
          <w:p>
            <w:pPr>
              <w:pStyle w:val="Compact"/>
            </w:pPr>
            <w:r>
              <w:t xml:space="preserve">47</w:t>
            </w:r>
          </w:p>
        </w:tc>
      </w:tr>
      <w:tr>
        <w:tc>
          <w:tcPr/>
          <w:p>
            <w:pPr>
              <w:pStyle w:val="Compact"/>
            </w:pPr>
            <w:r>
              <w:t xml:space="preserve">Figure 7.2</w:t>
            </w:r>
          </w:p>
        </w:tc>
        <w:tc>
          <w:tcPr/>
          <w:p>
            <w:pPr>
              <w:pStyle w:val="Compact"/>
            </w:pPr>
            <w:r>
              <w:t xml:space="preserve">Evolution of Wearable Insurance Programs</w:t>
            </w:r>
          </w:p>
        </w:tc>
        <w:tc>
          <w:tcPr/>
          <w:p>
            <w:pPr>
              <w:pStyle w:val="Compact"/>
            </w:pPr>
            <w:r>
              <w:t xml:space="preserve">50</w:t>
            </w:r>
          </w:p>
        </w:tc>
      </w:tr>
      <w:tr>
        <w:tc>
          <w:tcPr/>
          <w:p>
            <w:pPr>
              <w:pStyle w:val="Compact"/>
            </w:pPr>
            <w:r>
              <w:t xml:space="preserve">Figure 7.3</w:t>
            </w:r>
          </w:p>
        </w:tc>
        <w:tc>
          <w:tcPr/>
          <w:p>
            <w:pPr>
              <w:pStyle w:val="Compact"/>
            </w:pPr>
            <w:r>
              <w:t xml:space="preserve">Egyptian Market Opportunity Analysis</w:t>
            </w:r>
          </w:p>
        </w:tc>
        <w:tc>
          <w:tcPr/>
          <w:p>
            <w:pPr>
              <w:pStyle w:val="Compact"/>
            </w:pPr>
            <w:r>
              <w:t xml:space="preserve">53</w:t>
            </w:r>
          </w:p>
        </w:tc>
      </w:tr>
    </w:tbl>
    <w:p>
      <w:r>
        <w:pict>
          <v:rect style="width:0;height:1.5pt" o:hralign="center" o:hrstd="t" o:hr="t"/>
        </w:pict>
      </w:r>
    </w:p>
    <w:bookmarkEnd w:id="10"/>
    <w:bookmarkStart w:id="11"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Page</w:t>
            </w:r>
          </w:p>
        </w:tc>
      </w:tr>
      <w:tr>
        <w:tc>
          <w:tcPr/>
          <w:p>
            <w:pPr>
              <w:pStyle w:val="Compact"/>
            </w:pPr>
            <w:r>
              <w:t xml:space="preserve">Table 4.1</w:t>
            </w:r>
          </w:p>
        </w:tc>
        <w:tc>
          <w:tcPr/>
          <w:p>
            <w:pPr>
              <w:pStyle w:val="Compact"/>
            </w:pPr>
            <w:r>
              <w:t xml:space="preserve">Summary of Downloaded NHANES Data Files</w:t>
            </w:r>
          </w:p>
        </w:tc>
        <w:tc>
          <w:tcPr/>
          <w:p>
            <w:pPr>
              <w:pStyle w:val="Compact"/>
            </w:pPr>
            <w:r>
              <w:t xml:space="preserve">26</w:t>
            </w:r>
          </w:p>
        </w:tc>
      </w:tr>
      <w:tr>
        <w:tc>
          <w:tcPr/>
          <w:p>
            <w:pPr>
              <w:pStyle w:val="Compact"/>
            </w:pPr>
            <w:r>
              <w:t xml:space="preserve">Table 4.2</w:t>
            </w:r>
          </w:p>
        </w:tc>
        <w:tc>
          <w:tcPr/>
          <w:p>
            <w:pPr>
              <w:pStyle w:val="Compact"/>
            </w:pPr>
            <w:r>
              <w:t xml:space="preserve">Descriptive Statistics for PhenoAge Biomarkers</w:t>
            </w:r>
          </w:p>
        </w:tc>
        <w:tc>
          <w:tcPr/>
          <w:p>
            <w:pPr>
              <w:pStyle w:val="Compact"/>
            </w:pPr>
            <w:r>
              <w:t xml:space="preserve">28</w:t>
            </w:r>
          </w:p>
        </w:tc>
      </w:tr>
      <w:tr>
        <w:tc>
          <w:tcPr/>
          <w:p>
            <w:pPr>
              <w:pStyle w:val="Compact"/>
            </w:pPr>
            <w:r>
              <w:t xml:space="preserve">Table 4.3</w:t>
            </w:r>
          </w:p>
        </w:tc>
        <w:tc>
          <w:tcPr/>
          <w:p>
            <w:pPr>
              <w:pStyle w:val="Compact"/>
            </w:pPr>
            <w:r>
              <w:t xml:space="preserve">Key Correlations with Age</w:t>
            </w:r>
          </w:p>
        </w:tc>
        <w:tc>
          <w:tcPr/>
          <w:p>
            <w:pPr>
              <w:pStyle w:val="Compact"/>
            </w:pPr>
            <w:r>
              <w:t xml:space="preserve">29</w:t>
            </w:r>
          </w:p>
        </w:tc>
      </w:tr>
      <w:tr>
        <w:tc>
          <w:tcPr/>
          <w:p>
            <w:pPr>
              <w:pStyle w:val="Compact"/>
            </w:pPr>
            <w:r>
              <w:t xml:space="preserve">Table 5.1</w:t>
            </w:r>
          </w:p>
        </w:tc>
        <w:tc>
          <w:tcPr/>
          <w:p>
            <w:pPr>
              <w:pStyle w:val="Compact"/>
            </w:pPr>
            <w:r>
              <w:t xml:space="preserve">Verified Code Execution Results</w:t>
            </w:r>
          </w:p>
        </w:tc>
        <w:tc>
          <w:tcPr/>
          <w:p>
            <w:pPr>
              <w:pStyle w:val="Compact"/>
            </w:pPr>
            <w:r>
              <w:t xml:space="preserve">34</w:t>
            </w:r>
          </w:p>
        </w:tc>
      </w:tr>
      <w:tr>
        <w:tc>
          <w:tcPr/>
          <w:p>
            <w:pPr>
              <w:pStyle w:val="Compact"/>
            </w:pPr>
            <w:r>
              <w:t xml:space="preserve">Table 6.1</w:t>
            </w:r>
          </w:p>
        </w:tc>
        <w:tc>
          <w:tcPr/>
          <w:p>
            <w:pPr>
              <w:pStyle w:val="Compact"/>
            </w:pPr>
            <w:r>
              <w:t xml:space="preserve">Cohort Characteristics (N=4,894)</w:t>
            </w:r>
          </w:p>
        </w:tc>
        <w:tc>
          <w:tcPr/>
          <w:p>
            <w:pPr>
              <w:pStyle w:val="Compact"/>
            </w:pPr>
            <w:r>
              <w:t xml:space="preserve">35</w:t>
            </w:r>
          </w:p>
        </w:tc>
      </w:tr>
      <w:tr>
        <w:tc>
          <w:tcPr/>
          <w:p>
            <w:pPr>
              <w:pStyle w:val="Compact"/>
            </w:pPr>
            <w:r>
              <w:t xml:space="preserve">Table 6.2</w:t>
            </w:r>
          </w:p>
        </w:tc>
        <w:tc>
          <w:tcPr/>
          <w:p>
            <w:pPr>
              <w:pStyle w:val="Compact"/>
            </w:pPr>
            <w:r>
              <w:t xml:space="preserve">Comparative Model Performance (C-Index)</w:t>
            </w:r>
          </w:p>
        </w:tc>
        <w:tc>
          <w:tcPr/>
          <w:p>
            <w:pPr>
              <w:pStyle w:val="Compact"/>
            </w:pPr>
            <w:r>
              <w:t xml:space="preserve">36</w:t>
            </w:r>
          </w:p>
        </w:tc>
      </w:tr>
      <w:tr>
        <w:tc>
          <w:tcPr/>
          <w:p>
            <w:pPr>
              <w:pStyle w:val="Compact"/>
            </w:pPr>
            <w:r>
              <w:t xml:space="preserve">Table 6.3</w:t>
            </w:r>
          </w:p>
        </w:tc>
        <w:tc>
          <w:tcPr/>
          <w:p>
            <w:pPr>
              <w:pStyle w:val="Compact"/>
            </w:pPr>
            <w:r>
              <w:t xml:space="preserve">Gini Coefficient Comparison (Verified Results)</w:t>
            </w:r>
          </w:p>
        </w:tc>
        <w:tc>
          <w:tcPr/>
          <w:p>
            <w:pPr>
              <w:pStyle w:val="Compact"/>
            </w:pPr>
            <w:r>
              <w:t xml:space="preserve">38</w:t>
            </w:r>
          </w:p>
        </w:tc>
      </w:tr>
      <w:tr>
        <w:tc>
          <w:tcPr/>
          <w:p>
            <w:pPr>
              <w:pStyle w:val="Compact"/>
            </w:pPr>
            <w:r>
              <w:t xml:space="preserve">Table 6.4</w:t>
            </w:r>
          </w:p>
        </w:tc>
        <w:tc>
          <w:tcPr/>
          <w:p>
            <w:pPr>
              <w:pStyle w:val="Compact"/>
            </w:pPr>
            <w:r>
              <w:t xml:space="preserve">MoveDiscount Premium Impact Examples</w:t>
            </w:r>
          </w:p>
        </w:tc>
        <w:tc>
          <w:tcPr/>
          <w:p>
            <w:pPr>
              <w:pStyle w:val="Compact"/>
            </w:pPr>
            <w:r>
              <w:t xml:space="preserve">39</w:t>
            </w:r>
          </w:p>
        </w:tc>
      </w:tr>
      <w:tr>
        <w:tc>
          <w:tcPr/>
          <w:p>
            <w:pPr>
              <w:pStyle w:val="Compact"/>
            </w:pPr>
            <w:r>
              <w:t xml:space="preserve">Table 6.5</w:t>
            </w:r>
          </w:p>
        </w:tc>
        <w:tc>
          <w:tcPr/>
          <w:p>
            <w:pPr>
              <w:pStyle w:val="Compact"/>
            </w:pPr>
            <w:r>
              <w:t xml:space="preserve">Consumer Acceptance Rates by Study</w:t>
            </w:r>
          </w:p>
        </w:tc>
        <w:tc>
          <w:tcPr/>
          <w:p>
            <w:pPr>
              <w:pStyle w:val="Compact"/>
            </w:pPr>
            <w:r>
              <w:t xml:space="preserve">41</w:t>
            </w:r>
          </w:p>
        </w:tc>
      </w:tr>
      <w:tr>
        <w:tc>
          <w:tcPr/>
          <w:p>
            <w:pPr>
              <w:pStyle w:val="Compact"/>
            </w:pPr>
            <w:r>
              <w:t xml:space="preserve">Table 6.6</w:t>
            </w:r>
          </w:p>
        </w:tc>
        <w:tc>
          <w:tcPr/>
          <w:p>
            <w:pPr>
              <w:pStyle w:val="Compact"/>
            </w:pPr>
            <w:r>
              <w:t xml:space="preserve">Privacy Calculus Academic Literature</w:t>
            </w:r>
          </w:p>
        </w:tc>
        <w:tc>
          <w:tcPr/>
          <w:p>
            <w:pPr>
              <w:pStyle w:val="Compact"/>
            </w:pPr>
            <w:r>
              <w:t xml:space="preserve">42</w:t>
            </w:r>
          </w:p>
        </w:tc>
      </w:tr>
      <w:tr>
        <w:tc>
          <w:tcPr/>
          <w:p>
            <w:pPr>
              <w:pStyle w:val="Compact"/>
            </w:pPr>
            <w:r>
              <w:t xml:space="preserve">Table 6.7</w:t>
            </w:r>
          </w:p>
        </w:tc>
        <w:tc>
          <w:tcPr/>
          <w:p>
            <w:pPr>
              <w:pStyle w:val="Compact"/>
            </w:pPr>
            <w:r>
              <w:t xml:space="preserve">Vitality Program Effectiveness</w:t>
            </w:r>
          </w:p>
        </w:tc>
        <w:tc>
          <w:tcPr/>
          <w:p>
            <w:pPr>
              <w:pStyle w:val="Compact"/>
            </w:pPr>
            <w:r>
              <w:t xml:space="preserve">43</w:t>
            </w:r>
          </w:p>
        </w:tc>
      </w:tr>
      <w:tr>
        <w:tc>
          <w:tcPr/>
          <w:p>
            <w:pPr>
              <w:pStyle w:val="Compact"/>
            </w:pPr>
            <w:r>
              <w:t xml:space="preserve">Table 6.8</w:t>
            </w:r>
          </w:p>
        </w:tc>
        <w:tc>
          <w:tcPr/>
          <w:p>
            <w:pPr>
              <w:pStyle w:val="Compact"/>
            </w:pPr>
            <w:r>
              <w:t xml:space="preserve">Tiered Wearable Engagement Model</w:t>
            </w:r>
          </w:p>
        </w:tc>
        <w:tc>
          <w:tcPr/>
          <w:p>
            <w:pPr>
              <w:pStyle w:val="Compact"/>
            </w:pPr>
            <w:r>
              <w:t xml:space="preserve">44</w:t>
            </w:r>
          </w:p>
        </w:tc>
      </w:tr>
      <w:tr>
        <w:tc>
          <w:tcPr/>
          <w:p>
            <w:pPr>
              <w:pStyle w:val="Compact"/>
            </w:pPr>
            <w:r>
              <w:t xml:space="preserve">Table 7.1</w:t>
            </w:r>
          </w:p>
        </w:tc>
        <w:tc>
          <w:tcPr/>
          <w:p>
            <w:pPr>
              <w:pStyle w:val="Compact"/>
            </w:pPr>
            <w:r>
              <w:t xml:space="preserve">Global Wearable-Based Insurance Programs</w:t>
            </w:r>
          </w:p>
        </w:tc>
        <w:tc>
          <w:tcPr/>
          <w:p>
            <w:pPr>
              <w:pStyle w:val="Compact"/>
            </w:pPr>
            <w:r>
              <w:t xml:space="preserve">47</w:t>
            </w:r>
          </w:p>
        </w:tc>
      </w:tr>
      <w:tr>
        <w:tc>
          <w:tcPr/>
          <w:p>
            <w:pPr>
              <w:pStyle w:val="Compact"/>
            </w:pPr>
            <w:r>
              <w:t xml:space="preserve">Table 7.2</w:t>
            </w:r>
          </w:p>
        </w:tc>
        <w:tc>
          <w:tcPr/>
          <w:p>
            <w:pPr>
              <w:pStyle w:val="Compact"/>
            </w:pPr>
            <w:r>
              <w:t xml:space="preserve">Discovery Vitality Mortality Analysis</w:t>
            </w:r>
          </w:p>
        </w:tc>
        <w:tc>
          <w:tcPr/>
          <w:p>
            <w:pPr>
              <w:pStyle w:val="Compact"/>
            </w:pPr>
            <w:r>
              <w:t xml:space="preserve">48</w:t>
            </w:r>
          </w:p>
        </w:tc>
      </w:tr>
      <w:tr>
        <w:tc>
          <w:tcPr/>
          <w:p>
            <w:pPr>
              <w:pStyle w:val="Compact"/>
            </w:pPr>
            <w:r>
              <w:t xml:space="preserve">Table 7.3</w:t>
            </w:r>
          </w:p>
        </w:tc>
        <w:tc>
          <w:tcPr/>
          <w:p>
            <w:pPr>
              <w:pStyle w:val="Compact"/>
            </w:pPr>
            <w:r>
              <w:t xml:space="preserve">Comprehensive Benefits Analysis</w:t>
            </w:r>
          </w:p>
        </w:tc>
        <w:tc>
          <w:tcPr/>
          <w:p>
            <w:pPr>
              <w:pStyle w:val="Compact"/>
            </w:pPr>
            <w:r>
              <w:t xml:space="preserve">49</w:t>
            </w:r>
          </w:p>
        </w:tc>
      </w:tr>
      <w:tr>
        <w:tc>
          <w:tcPr/>
          <w:p>
            <w:pPr>
              <w:pStyle w:val="Compact"/>
            </w:pPr>
            <w:r>
              <w:t xml:space="preserve">Table 7.4</w:t>
            </w:r>
          </w:p>
        </w:tc>
        <w:tc>
          <w:tcPr/>
          <w:p>
            <w:pPr>
              <w:pStyle w:val="Compact"/>
            </w:pPr>
            <w:r>
              <w:t xml:space="preserve">Implementation Challenges and Mitigations</w:t>
            </w:r>
          </w:p>
        </w:tc>
        <w:tc>
          <w:tcPr/>
          <w:p>
            <w:pPr>
              <w:pStyle w:val="Compact"/>
            </w:pPr>
            <w:r>
              <w:t xml:space="preserve">50</w:t>
            </w:r>
          </w:p>
        </w:tc>
      </w:tr>
      <w:tr>
        <w:tc>
          <w:tcPr/>
          <w:p>
            <w:pPr>
              <w:pStyle w:val="Compact"/>
            </w:pPr>
            <w:r>
              <w:t xml:space="preserve">Table 7.5</w:t>
            </w:r>
          </w:p>
        </w:tc>
        <w:tc>
          <w:tcPr/>
          <w:p>
            <w:pPr>
              <w:pStyle w:val="Compact"/>
            </w:pPr>
            <w:r>
              <w:t xml:space="preserve">Predicted Industry Evolution (2025-2035)</w:t>
            </w:r>
          </w:p>
        </w:tc>
        <w:tc>
          <w:tcPr/>
          <w:p>
            <w:pPr>
              <w:pStyle w:val="Compact"/>
            </w:pPr>
            <w:r>
              <w:t xml:space="preserve">51</w:t>
            </w:r>
          </w:p>
        </w:tc>
      </w:tr>
      <w:tr>
        <w:tc>
          <w:tcPr/>
          <w:p>
            <w:pPr>
              <w:pStyle w:val="Compact"/>
            </w:pPr>
            <w:r>
              <w:t xml:space="preserve">Table 7.6</w:t>
            </w:r>
          </w:p>
        </w:tc>
        <w:tc>
          <w:tcPr/>
          <w:p>
            <w:pPr>
              <w:pStyle w:val="Compact"/>
            </w:pPr>
            <w:r>
              <w:t xml:space="preserve">Egyptian Insurance Market Overview</w:t>
            </w:r>
          </w:p>
        </w:tc>
        <w:tc>
          <w:tcPr/>
          <w:p>
            <w:pPr>
              <w:pStyle w:val="Compact"/>
            </w:pPr>
            <w:r>
              <w:t xml:space="preserve">52</w:t>
            </w:r>
          </w:p>
        </w:tc>
      </w:tr>
      <w:tr>
        <w:tc>
          <w:tcPr/>
          <w:p>
            <w:pPr>
              <w:pStyle w:val="Compact"/>
            </w:pPr>
            <w:r>
              <w:t xml:space="preserve">Table 7.7</w:t>
            </w:r>
          </w:p>
        </w:tc>
        <w:tc>
          <w:tcPr/>
          <w:p>
            <w:pPr>
              <w:pStyle w:val="Compact"/>
            </w:pPr>
            <w:r>
              <w:t xml:space="preserve">Projected Impact of BioAge Insurance in Egypt</w:t>
            </w:r>
          </w:p>
        </w:tc>
        <w:tc>
          <w:tcPr/>
          <w:p>
            <w:pPr>
              <w:pStyle w:val="Compact"/>
            </w:pPr>
            <w:r>
              <w:t xml:space="preserve">53</w:t>
            </w:r>
          </w:p>
        </w:tc>
      </w:tr>
      <w:tr>
        <w:tc>
          <w:tcPr/>
          <w:p>
            <w:pPr>
              <w:pStyle w:val="Compact"/>
            </w:pPr>
            <w:r>
              <w:t xml:space="preserve">Table 7.8</w:t>
            </w:r>
          </w:p>
        </w:tc>
        <w:tc>
          <w:tcPr/>
          <w:p>
            <w:pPr>
              <w:pStyle w:val="Compact"/>
            </w:pPr>
            <w:r>
              <w:t xml:space="preserve">Regulatory Alignment Matrix</w:t>
            </w:r>
          </w:p>
        </w:tc>
        <w:tc>
          <w:tcPr/>
          <w:p>
            <w:pPr>
              <w:pStyle w:val="Compact"/>
            </w:pPr>
            <w:r>
              <w:t xml:space="preserve">55</w:t>
            </w:r>
          </w:p>
        </w:tc>
      </w:tr>
      <w:tr>
        <w:tc>
          <w:tcPr/>
          <w:p>
            <w:pPr>
              <w:pStyle w:val="Compact"/>
            </w:pPr>
            <w:r>
              <w:t xml:space="preserve">Table 7.9</w:t>
            </w:r>
          </w:p>
        </w:tc>
        <w:tc>
          <w:tcPr/>
          <w:p>
            <w:pPr>
              <w:pStyle w:val="Compact"/>
            </w:pPr>
            <w:r>
              <w:t xml:space="preserve">Projected Economic Benefits</w:t>
            </w:r>
          </w:p>
        </w:tc>
        <w:tc>
          <w:tcPr/>
          <w:p>
            <w:pPr>
              <w:pStyle w:val="Compact"/>
            </w:pPr>
            <w:r>
              <w:t xml:space="preserve">56</w:t>
            </w:r>
          </w:p>
        </w:tc>
      </w:tr>
    </w:tbl>
    <w:p>
      <w:pPr>
        <w:pStyle w:val="BodyText"/>
      </w:pPr>
      <w:r>
        <w:t xml:space="preserve">\newpage</w:t>
      </w:r>
    </w:p>
    <w:bookmarkEnd w:id="11"/>
    <w:bookmarkStart w:id="12"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Definition</w:t>
            </w:r>
          </w:p>
        </w:tc>
      </w:tr>
      <w:tr>
        <w:tc>
          <w:tcPr/>
          <w:p>
            <w:pPr>
              <w:pStyle w:val="Compact"/>
            </w:pPr>
            <w:r>
              <w:rPr>
                <w:b/>
                <w:bCs/>
              </w:rPr>
              <w:t xml:space="preserve">AI</w:t>
            </w:r>
          </w:p>
        </w:tc>
        <w:tc>
          <w:tcPr/>
          <w:p>
            <w:pPr>
              <w:pStyle w:val="Compact"/>
            </w:pPr>
            <w:r>
              <w:t xml:space="preserve">Artificial Intelligence</w:t>
            </w:r>
          </w:p>
        </w:tc>
      </w:tr>
      <w:tr>
        <w:tc>
          <w:tcPr/>
          <w:p>
            <w:pPr>
              <w:pStyle w:val="Compact"/>
            </w:pPr>
            <w:r>
              <w:rPr>
                <w:b/>
                <w:bCs/>
              </w:rPr>
              <w:t xml:space="preserve">ALP</w:t>
            </w:r>
          </w:p>
        </w:tc>
        <w:tc>
          <w:tcPr/>
          <w:p>
            <w:pPr>
              <w:pStyle w:val="Compact"/>
            </w:pPr>
            <w:r>
              <w:t xml:space="preserve">Alkaline Phosphatase</w:t>
            </w:r>
          </w:p>
        </w:tc>
      </w:tr>
      <w:tr>
        <w:tc>
          <w:tcPr/>
          <w:p>
            <w:pPr>
              <w:pStyle w:val="Compact"/>
            </w:pPr>
            <w:r>
              <w:rPr>
                <w:b/>
                <w:bCs/>
              </w:rPr>
              <w:t xml:space="preserve">BioAge</w:t>
            </w:r>
          </w:p>
        </w:tc>
        <w:tc>
          <w:tcPr/>
          <w:p>
            <w:pPr>
              <w:pStyle w:val="Compact"/>
            </w:pPr>
            <w:r>
              <w:t xml:space="preserve">Biological Age</w:t>
            </w:r>
          </w:p>
        </w:tc>
      </w:tr>
      <w:tr>
        <w:tc>
          <w:tcPr/>
          <w:p>
            <w:pPr>
              <w:pStyle w:val="Compact"/>
            </w:pPr>
            <w:r>
              <w:rPr>
                <w:b/>
                <w:bCs/>
              </w:rPr>
              <w:t xml:space="preserve">BMI</w:t>
            </w:r>
          </w:p>
        </w:tc>
        <w:tc>
          <w:tcPr/>
          <w:p>
            <w:pPr>
              <w:pStyle w:val="Compact"/>
            </w:pPr>
            <w:r>
              <w:t xml:space="preserve">Body Mass Index</w:t>
            </w:r>
          </w:p>
        </w:tc>
      </w:tr>
      <w:tr>
        <w:tc>
          <w:tcPr/>
          <w:p>
            <w:pPr>
              <w:pStyle w:val="Compact"/>
            </w:pPr>
            <w:r>
              <w:rPr>
                <w:b/>
                <w:bCs/>
              </w:rPr>
              <w:t xml:space="preserve">CDC</w:t>
            </w:r>
          </w:p>
        </w:tc>
        <w:tc>
          <w:tcPr/>
          <w:p>
            <w:pPr>
              <w:pStyle w:val="Compact"/>
            </w:pPr>
            <w:r>
              <w:t xml:space="preserve">Centers for Disease Control and Prevention</w:t>
            </w:r>
          </w:p>
        </w:tc>
      </w:tr>
      <w:tr>
        <w:tc>
          <w:tcPr/>
          <w:p>
            <w:pPr>
              <w:pStyle w:val="Compact"/>
            </w:pPr>
            <w:r>
              <w:rPr>
                <w:b/>
                <w:bCs/>
              </w:rPr>
              <w:t xml:space="preserve">C-Index</w:t>
            </w:r>
          </w:p>
        </w:tc>
        <w:tc>
          <w:tcPr/>
          <w:p>
            <w:pPr>
              <w:pStyle w:val="Compact"/>
            </w:pPr>
            <w:r>
              <w:t xml:space="preserve">Concordance Index</w:t>
            </w:r>
          </w:p>
        </w:tc>
      </w:tr>
      <w:tr>
        <w:tc>
          <w:tcPr/>
          <w:p>
            <w:pPr>
              <w:pStyle w:val="Compact"/>
            </w:pPr>
            <w:r>
              <w:rPr>
                <w:b/>
                <w:bCs/>
              </w:rPr>
              <w:t xml:space="preserve">CoxPH</w:t>
            </w:r>
          </w:p>
        </w:tc>
        <w:tc>
          <w:tcPr/>
          <w:p>
            <w:pPr>
              <w:pStyle w:val="Compact"/>
            </w:pPr>
            <w:r>
              <w:t xml:space="preserve">Cox Proportional Hazards Model</w:t>
            </w:r>
          </w:p>
        </w:tc>
      </w:tr>
      <w:tr>
        <w:tc>
          <w:tcPr/>
          <w:p>
            <w:pPr>
              <w:pStyle w:val="Compact"/>
            </w:pPr>
            <w:r>
              <w:rPr>
                <w:b/>
                <w:bCs/>
              </w:rPr>
              <w:t xml:space="preserve">CRP</w:t>
            </w:r>
          </w:p>
        </w:tc>
        <w:tc>
          <w:tcPr/>
          <w:p>
            <w:pPr>
              <w:pStyle w:val="Compact"/>
            </w:pPr>
            <w:r>
              <w:t xml:space="preserve">C-Reactive Protein (High Sensitivity)</w:t>
            </w:r>
          </w:p>
        </w:tc>
      </w:tr>
      <w:tr>
        <w:tc>
          <w:tcPr/>
          <w:p>
            <w:pPr>
              <w:pStyle w:val="Compact"/>
            </w:pPr>
            <w:r>
              <w:rPr>
                <w:b/>
                <w:bCs/>
              </w:rPr>
              <w:t xml:space="preserve">CVD</w:t>
            </w:r>
          </w:p>
        </w:tc>
        <w:tc>
          <w:tcPr/>
          <w:p>
            <w:pPr>
              <w:pStyle w:val="Compact"/>
            </w:pPr>
            <w:r>
              <w:t xml:space="preserve">Cardiovascular Disease</w:t>
            </w:r>
          </w:p>
        </w:tc>
      </w:tr>
      <w:tr>
        <w:tc>
          <w:tcPr/>
          <w:p>
            <w:pPr>
              <w:pStyle w:val="Compact"/>
            </w:pPr>
            <w:r>
              <w:rPr>
                <w:b/>
                <w:bCs/>
              </w:rPr>
              <w:t xml:space="preserve">DeepSurv</w:t>
            </w:r>
          </w:p>
        </w:tc>
        <w:tc>
          <w:tcPr/>
          <w:p>
            <w:pPr>
              <w:pStyle w:val="Compact"/>
            </w:pPr>
            <w:r>
              <w:t xml:space="preserve">Deep Analysis Survival Model</w:t>
            </w:r>
          </w:p>
        </w:tc>
      </w:tr>
      <w:tr>
        <w:tc>
          <w:tcPr/>
          <w:p>
            <w:pPr>
              <w:pStyle w:val="Compact"/>
            </w:pPr>
            <w:r>
              <w:rPr>
                <w:b/>
                <w:bCs/>
              </w:rPr>
              <w:t xml:space="preserve">EDA</w:t>
            </w:r>
          </w:p>
        </w:tc>
        <w:tc>
          <w:tcPr/>
          <w:p>
            <w:pPr>
              <w:pStyle w:val="Compact"/>
            </w:pPr>
            <w:r>
              <w:t xml:space="preserve">Exploratory Data Analysis</w:t>
            </w:r>
          </w:p>
        </w:tc>
      </w:tr>
      <w:tr>
        <w:tc>
          <w:tcPr/>
          <w:p>
            <w:pPr>
              <w:pStyle w:val="Compact"/>
            </w:pPr>
            <w:r>
              <w:rPr>
                <w:b/>
                <w:bCs/>
              </w:rPr>
              <w:t xml:space="preserve">FRA</w:t>
            </w:r>
          </w:p>
        </w:tc>
        <w:tc>
          <w:tcPr/>
          <w:p>
            <w:pPr>
              <w:pStyle w:val="Compact"/>
            </w:pPr>
            <w:r>
              <w:t xml:space="preserve">Financial Regulatory Authority (Egypt)</w:t>
            </w:r>
          </w:p>
        </w:tc>
      </w:tr>
      <w:tr>
        <w:tc>
          <w:tcPr/>
          <w:p>
            <w:pPr>
              <w:pStyle w:val="Compact"/>
            </w:pPr>
            <w:r>
              <w:rPr>
                <w:b/>
                <w:bCs/>
              </w:rPr>
              <w:t xml:space="preserve">GDPR</w:t>
            </w:r>
          </w:p>
        </w:tc>
        <w:tc>
          <w:tcPr/>
          <w:p>
            <w:pPr>
              <w:pStyle w:val="Compact"/>
            </w:pPr>
            <w:r>
              <w:t xml:space="preserve">General Data Protection Regulation</w:t>
            </w:r>
          </w:p>
        </w:tc>
      </w:tr>
      <w:tr>
        <w:tc>
          <w:tcPr/>
          <w:p>
            <w:pPr>
              <w:pStyle w:val="Compact"/>
            </w:pPr>
            <w:r>
              <w:rPr>
                <w:b/>
                <w:bCs/>
              </w:rPr>
              <w:t xml:space="preserve">Gini</w:t>
            </w:r>
          </w:p>
        </w:tc>
        <w:tc>
          <w:tcPr/>
          <w:p>
            <w:pPr>
              <w:pStyle w:val="Compact"/>
            </w:pPr>
            <w:r>
              <w:t xml:space="preserve">Gini Coefficient (Actuarial Metric)</w:t>
            </w:r>
          </w:p>
        </w:tc>
      </w:tr>
      <w:tr>
        <w:tc>
          <w:tcPr/>
          <w:p>
            <w:pPr>
              <w:pStyle w:val="Compact"/>
            </w:pPr>
            <w:r>
              <w:rPr>
                <w:b/>
                <w:bCs/>
              </w:rPr>
              <w:t xml:space="preserve">HRV</w:t>
            </w:r>
          </w:p>
        </w:tc>
        <w:tc>
          <w:tcPr/>
          <w:p>
            <w:pPr>
              <w:pStyle w:val="Compact"/>
            </w:pPr>
            <w:r>
              <w:t xml:space="preserve">Heart Rate Variability</w:t>
            </w:r>
          </w:p>
        </w:tc>
      </w:tr>
      <w:tr>
        <w:tc>
          <w:tcPr/>
          <w:p>
            <w:pPr>
              <w:pStyle w:val="Compact"/>
            </w:pPr>
            <w:r>
              <w:rPr>
                <w:b/>
                <w:bCs/>
              </w:rPr>
              <w:t xml:space="preserve">IoT</w:t>
            </w:r>
          </w:p>
        </w:tc>
        <w:tc>
          <w:tcPr/>
          <w:p>
            <w:pPr>
              <w:pStyle w:val="Compact"/>
            </w:pPr>
            <w:r>
              <w:t xml:space="preserve">Internet of Things</w:t>
            </w:r>
          </w:p>
        </w:tc>
      </w:tr>
      <w:tr>
        <w:tc>
          <w:tcPr/>
          <w:p>
            <w:pPr>
              <w:pStyle w:val="Compact"/>
            </w:pPr>
            <w:r>
              <w:rPr>
                <w:b/>
                <w:bCs/>
              </w:rPr>
              <w:t xml:space="preserve">MCV</w:t>
            </w:r>
          </w:p>
        </w:tc>
        <w:tc>
          <w:tcPr/>
          <w:p>
            <w:pPr>
              <w:pStyle w:val="Compact"/>
            </w:pPr>
            <w:r>
              <w:t xml:space="preserve">Mean Cell Volume</w:t>
            </w:r>
          </w:p>
        </w:tc>
      </w:tr>
      <w:tr>
        <w:tc>
          <w:tcPr/>
          <w:p>
            <w:pPr>
              <w:pStyle w:val="Compact"/>
            </w:pPr>
            <w:r>
              <w:rPr>
                <w:b/>
                <w:bCs/>
              </w:rPr>
              <w:t xml:space="preserve">MENA</w:t>
            </w:r>
          </w:p>
        </w:tc>
        <w:tc>
          <w:tcPr/>
          <w:p>
            <w:pPr>
              <w:pStyle w:val="Compact"/>
            </w:pPr>
            <w:r>
              <w:t xml:space="preserve">Middle East and North Africa</w:t>
            </w:r>
          </w:p>
        </w:tc>
      </w:tr>
      <w:tr>
        <w:tc>
          <w:tcPr/>
          <w:p>
            <w:pPr>
              <w:pStyle w:val="Compact"/>
            </w:pPr>
            <w:r>
              <w:rPr>
                <w:b/>
                <w:bCs/>
              </w:rPr>
              <w:t xml:space="preserve">ML</w:t>
            </w:r>
          </w:p>
        </w:tc>
        <w:tc>
          <w:tcPr/>
          <w:p>
            <w:pPr>
              <w:pStyle w:val="Compact"/>
            </w:pPr>
            <w:r>
              <w:t xml:space="preserve">Machine Learning</w:t>
            </w:r>
          </w:p>
        </w:tc>
      </w:tr>
      <w:tr>
        <w:tc>
          <w:tcPr/>
          <w:p>
            <w:pPr>
              <w:pStyle w:val="Compact"/>
            </w:pPr>
            <w:r>
              <w:rPr>
                <w:b/>
                <w:bCs/>
              </w:rPr>
              <w:t xml:space="preserve">NHANES</w:t>
            </w:r>
          </w:p>
        </w:tc>
        <w:tc>
          <w:tcPr/>
          <w:p>
            <w:pPr>
              <w:pStyle w:val="Compact"/>
            </w:pPr>
            <w:r>
              <w:t xml:space="preserve">National Health and Nutrition Examination Survey</w:t>
            </w:r>
          </w:p>
        </w:tc>
      </w:tr>
      <w:tr>
        <w:tc>
          <w:tcPr/>
          <w:p>
            <w:pPr>
              <w:pStyle w:val="Compact"/>
            </w:pPr>
            <w:r>
              <w:rPr>
                <w:b/>
                <w:bCs/>
              </w:rPr>
              <w:t xml:space="preserve">PAX</w:t>
            </w:r>
          </w:p>
        </w:tc>
        <w:tc>
          <w:tcPr/>
          <w:p>
            <w:pPr>
              <w:pStyle w:val="Compact"/>
            </w:pPr>
            <w:r>
              <w:t xml:space="preserve">Physical Activity Monitor (Accelerometry Data)</w:t>
            </w:r>
          </w:p>
        </w:tc>
      </w:tr>
      <w:tr>
        <w:tc>
          <w:tcPr/>
          <w:p>
            <w:pPr>
              <w:pStyle w:val="Compact"/>
            </w:pPr>
            <w:r>
              <w:rPr>
                <w:b/>
                <w:bCs/>
              </w:rPr>
              <w:t xml:space="preserve">PhenoAge</w:t>
            </w:r>
          </w:p>
        </w:tc>
        <w:tc>
          <w:tcPr/>
          <w:p>
            <w:pPr>
              <w:pStyle w:val="Compact"/>
            </w:pPr>
            <w:r>
              <w:t xml:space="preserve">Phenotypic Age</w:t>
            </w:r>
          </w:p>
        </w:tc>
      </w:tr>
      <w:tr>
        <w:tc>
          <w:tcPr/>
          <w:p>
            <w:pPr>
              <w:pStyle w:val="Compact"/>
            </w:pPr>
            <w:r>
              <w:rPr>
                <w:b/>
                <w:bCs/>
              </w:rPr>
              <w:t xml:space="preserve">RDW</w:t>
            </w:r>
          </w:p>
        </w:tc>
        <w:tc>
          <w:tcPr/>
          <w:p>
            <w:pPr>
              <w:pStyle w:val="Compact"/>
            </w:pPr>
            <w:r>
              <w:t xml:space="preserve">Red Cell Distribution Width</w:t>
            </w:r>
          </w:p>
        </w:tc>
      </w:tr>
      <w:tr>
        <w:tc>
          <w:tcPr/>
          <w:p>
            <w:pPr>
              <w:pStyle w:val="Compact"/>
            </w:pPr>
            <w:r>
              <w:rPr>
                <w:b/>
                <w:bCs/>
              </w:rPr>
              <w:t xml:space="preserve">SHAP</w:t>
            </w:r>
          </w:p>
        </w:tc>
        <w:tc>
          <w:tcPr/>
          <w:p>
            <w:pPr>
              <w:pStyle w:val="Compact"/>
            </w:pPr>
            <w:r>
              <w:t xml:space="preserve">SHapley Additive exPlanations</w:t>
            </w:r>
          </w:p>
        </w:tc>
      </w:tr>
      <w:tr>
        <w:tc>
          <w:tcPr/>
          <w:p>
            <w:pPr>
              <w:pStyle w:val="Compact"/>
            </w:pPr>
            <w:r>
              <w:rPr>
                <w:b/>
                <w:bCs/>
              </w:rPr>
              <w:t xml:space="preserve">WBC</w:t>
            </w:r>
          </w:p>
        </w:tc>
        <w:tc>
          <w:tcPr/>
          <w:p>
            <w:pPr>
              <w:pStyle w:val="Compact"/>
            </w:pPr>
            <w:r>
              <w:t xml:space="preserve">White Blood Cell Count</w:t>
            </w:r>
          </w:p>
        </w:tc>
      </w:tr>
      <w:tr>
        <w:tc>
          <w:tcPr/>
          <w:p>
            <w:pPr>
              <w:pStyle w:val="Compact"/>
            </w:pPr>
            <w:r>
              <w:rPr>
                <w:b/>
                <w:bCs/>
              </w:rPr>
              <w:t xml:space="preserve">WHO</w:t>
            </w:r>
          </w:p>
        </w:tc>
        <w:tc>
          <w:tcPr/>
          <w:p>
            <w:pPr>
              <w:pStyle w:val="Compact"/>
            </w:pPr>
            <w:r>
              <w:t xml:space="preserve">World Health Organization</w:t>
            </w:r>
          </w:p>
        </w:tc>
      </w:tr>
      <w:tr>
        <w:tc>
          <w:tcPr/>
          <w:p>
            <w:pPr>
              <w:pStyle w:val="Compact"/>
            </w:pPr>
            <w:r>
              <w:rPr>
                <w:b/>
                <w:bCs/>
              </w:rPr>
              <w:t xml:space="preserve">XGBAge</w:t>
            </w:r>
          </w:p>
        </w:tc>
        <w:tc>
          <w:tcPr/>
          <w:p>
            <w:pPr>
              <w:pStyle w:val="Compact"/>
            </w:pPr>
            <w:r>
              <w:t xml:space="preserve">XGBoost Survival Model for Biological Age</w:t>
            </w:r>
          </w:p>
        </w:tc>
      </w:tr>
    </w:tbl>
    <w:p>
      <w:pPr>
        <w:pStyle w:val="BodyText"/>
      </w:pPr>
      <w:r>
        <w:t xml:space="preserve">\newpage</w:t>
      </w:r>
    </w:p>
    <w:bookmarkEnd w:id="12"/>
    <w:bookmarkStart w:id="18" w:name="acknowledgments"/>
    <w:p>
      <w:pPr>
        <w:pStyle w:val="Heading2"/>
      </w:pPr>
      <w:r>
        <w:t xml:space="preserve">Acknowledgments</w:t>
      </w:r>
    </w:p>
    <w:p>
      <w:pPr>
        <w:pStyle w:val="FirstParagraph"/>
      </w:pPr>
      <w:r>
        <w:t xml:space="preserve">I would like to express my deepest gratitude to my supervisors,</w:t>
      </w:r>
      <w:r>
        <w:t xml:space="preserve"> </w:t>
      </w:r>
      <w:r>
        <w:rPr>
          <w:b/>
          <w:bCs/>
        </w:rPr>
        <w:t xml:space="preserve">Prof. Abdul Hadi Nabih Ahmed</w:t>
      </w:r>
      <w:r>
        <w:t xml:space="preserve"> </w:t>
      </w:r>
      <w:r>
        <w:t xml:space="preserve">and</w:t>
      </w:r>
      <w:r>
        <w:t xml:space="preserve"> </w:t>
      </w:r>
      <w:r>
        <w:rPr>
          <w:b/>
          <w:bCs/>
        </w:rPr>
        <w:t xml:space="preserve">Prof. Mohammed Reda Abonazel</w:t>
      </w:r>
      <w:r>
        <w:t xml:space="preserve">, for their invaluable guidance, continuous support, and insightful feedback throughout this research journey. Their expertise in actuarial science and machine learning has been instrumental in shaping this work.</w:t>
      </w:r>
    </w:p>
    <w:p>
      <w:pPr>
        <w:pStyle w:val="BodyText"/>
      </w:pPr>
      <w:r>
        <w:t xml:space="preserve">I am also grateful to the</w:t>
      </w:r>
      <w:r>
        <w:t xml:space="preserve"> </w:t>
      </w:r>
      <w:r>
        <w:rPr>
          <w:b/>
          <w:bCs/>
        </w:rPr>
        <w:t xml:space="preserve">Faculty of Graduate Studies for Statistical Research</w:t>
      </w:r>
      <w:r>
        <w:t xml:space="preserve"> </w:t>
      </w:r>
      <w:r>
        <w:t xml:space="preserve">and the</w:t>
      </w:r>
      <w:r>
        <w:t xml:space="preserve"> </w:t>
      </w:r>
      <w:r>
        <w:rPr>
          <w:b/>
          <w:bCs/>
        </w:rPr>
        <w:t xml:space="preserve">Data Science Program</w:t>
      </w:r>
      <w:r>
        <w:t xml:space="preserve"> </w:t>
      </w:r>
      <w:r>
        <w:t xml:space="preserve">for providing the academic environment and resources necessary to conduct this research.</w:t>
      </w:r>
    </w:p>
    <w:p>
      <w:pPr>
        <w:pStyle w:val="BodyText"/>
      </w:pPr>
      <w:r>
        <w:t xml:space="preserve">Special thanks to the</w:t>
      </w:r>
      <w:r>
        <w:t xml:space="preserve"> </w:t>
      </w:r>
      <w:r>
        <w:rPr>
          <w:b/>
          <w:bCs/>
        </w:rPr>
        <w:t xml:space="preserve">National Center for Health Statistics (NCHS)</w:t>
      </w:r>
      <w:r>
        <w:t xml:space="preserve"> </w:t>
      </w:r>
      <w:r>
        <w:t xml:space="preserve">for making the NHANES data publicly available, enabling researchers worldwide to advance the fields of public health and predictive analytics.</w:t>
      </w:r>
    </w:p>
    <w:p>
      <w:pPr>
        <w:pStyle w:val="BodyText"/>
      </w:pPr>
      <w:r>
        <w:t xml:space="preserve">Finally, I dedicate this work to my family for their unwavering encouragement and patience.</w:t>
      </w:r>
    </w:p>
    <w:p>
      <w:pPr>
        <w:pStyle w:val="BodyText"/>
      </w:pPr>
      <w:r>
        <w:t xml:space="preserve">\newpage</w:t>
      </w:r>
    </w:p>
    <w:p>
      <w:pPr>
        <w:pStyle w:val="BodyText"/>
      </w:pPr>
      <w:r>
        <w:rPr>
          <w:b/>
          <w:bCs/>
        </w:rPr>
        <w:t xml:space="preserve">1. Introduction</w:t>
      </w:r>
    </w:p>
    <w:p>
      <w:pPr>
        <w:pStyle w:val="BlockText"/>
      </w:pPr>
      <w:r>
        <w:rPr>
          <w:b/>
          <w:bCs/>
        </w:rPr>
        <w:t xml:space="preserve">1.1. Background and Motivation</w:t>
      </w:r>
    </w:p>
    <w:p>
      <w:pPr>
        <w:pStyle w:val="BlockText"/>
      </w:pPr>
      <w:r>
        <w:rPr>
          <w:b/>
          <w:bCs/>
        </w:rPr>
        <w:t xml:space="preserve">1.2. Problem Statement</w:t>
      </w:r>
    </w:p>
    <w:p>
      <w:pPr>
        <w:pStyle w:val="BlockText"/>
      </w:pPr>
      <w:r>
        <w:rPr>
          <w:b/>
          <w:bCs/>
        </w:rPr>
        <w:t xml:space="preserve">1.3. Research Objectives</w:t>
      </w:r>
    </w:p>
    <w:p>
      <w:pPr>
        <w:pStyle w:val="BlockText"/>
      </w:pPr>
      <w:r>
        <w:rPr>
          <w:b/>
          <w:bCs/>
        </w:rPr>
        <w:t xml:space="preserve">1.4. Research Questions</w:t>
      </w:r>
    </w:p>
    <w:p>
      <w:pPr>
        <w:pStyle w:val="BlockText"/>
      </w:pPr>
      <w:r>
        <w:rPr>
          <w:b/>
          <w:bCs/>
        </w:rPr>
        <w:t xml:space="preserve">1.5. Significance of the Study</w:t>
      </w:r>
    </w:p>
    <w:p>
      <w:pPr>
        <w:pStyle w:val="BlockText"/>
      </w:pPr>
      <w:r>
        <w:rPr>
          <w:b/>
          <w:bCs/>
        </w:rPr>
        <w:t xml:space="preserve">1.6. Structure of the Thesis</w:t>
      </w:r>
    </w:p>
    <w:p>
      <w:pPr>
        <w:pStyle w:val="FirstParagraph"/>
      </w:pPr>
      <w:r>
        <w:t xml:space="preserve">\newpage</w:t>
      </w:r>
    </w:p>
    <w:p>
      <w:pPr>
        <w:pStyle w:val="BodyText"/>
      </w:pPr>
      <w:r>
        <w:rPr>
          <w:b/>
          <w:bCs/>
        </w:rPr>
        <w:t xml:space="preserve">1.1. Background and Motivation</w:t>
      </w:r>
    </w:p>
    <w:p>
      <w:pPr>
        <w:pStyle w:val="BodyText"/>
      </w:pPr>
      <w:r>
        <w:rPr>
          <w:b/>
          <w:bCs/>
        </w:rPr>
        <w:t xml:space="preserve">Overview of the Changing Actuarial Landscape</w:t>
      </w:r>
      <w:r>
        <w:br/>
      </w:r>
      <w:r>
        <w:t xml:space="preserve">The actuarial profession, historically grounded in the prudence of mathematical certainty and long-term stability, is currently navigating one of the most transformative periods in its history. For over two centuries, the fundamental business model of life insurance and pension funds has relied on the "Law of Large Numbers" and static mortality tables. These tables, such as the classic</w:t>
      </w:r>
      <w:r>
        <w:t xml:space="preserve"> </w:t>
      </w:r>
      <w:r>
        <w:rPr>
          <w:i/>
          <w:iCs/>
        </w:rPr>
        <w:t xml:space="preserve">Gompertz-Makeham</w:t>
      </w:r>
      <w:r>
        <w:t xml:space="preserve"> </w:t>
      </w:r>
      <w:r>
        <w:t xml:space="preserve">models, rely essentially on a single predictor variable: chronological age (the time elapsed since an individual's birth). While statistically robust at a population level, this traditional approach inherently assumes a degree of homogeneity among individuals of the same age—an assumption that is increasingly being challenged by modern medical science and data availability.</w:t>
      </w:r>
    </w:p>
    <w:p>
      <w:pPr>
        <w:pStyle w:val="BodyText"/>
      </w:pPr>
      <w:r>
        <w:t xml:space="preserve">We live in an era often described as the "Fourth Industrial Revolution," characterized by a fusion of technologies that is blurring the lines between the physical, digital, and biological spheres. The insurance industry is not immune to these shifts. The emergence of "InsurTech"—the application of technological innovations to squeeze out savings and efficiency from the current insurance industry model—is reshaping customer expectations. Policyholders no longer view insurance as a static, "grudge" purchase made once and forgotten; they increasingly demand interactive, personalized, and value-added services.</w:t>
      </w:r>
    </w:p>
    <w:p>
      <w:pPr>
        <w:pStyle w:val="BodyText"/>
      </w:pPr>
      <w:r>
        <w:rPr>
          <w:b/>
          <w:bCs/>
        </w:rPr>
        <w:t xml:space="preserve">The Demographic Challenge: An Aging World</w:t>
      </w:r>
      <w:r>
        <w:br/>
      </w:r>
      <w:r>
        <w:t xml:space="preserve">Simultaneously, the world is facing an unprecedented demographic shift. According to the World Health Organization (WHO), the proportion of the world's population over 60 years will nearly double from 12% to 22% between 2015 and 2050. This "Silver Tsunami" presents a dual challenge for insurers:</w:t>
      </w:r>
    </w:p>
    <w:p>
      <w:pPr>
        <w:numPr>
          <w:ilvl w:val="0"/>
          <w:numId w:val="1004"/>
        </w:numPr>
      </w:pPr>
      <w:r>
        <w:rPr>
          <w:b/>
          <w:bCs/>
        </w:rPr>
        <w:t xml:space="preserve">Longevity Risk</w:t>
      </w:r>
      <w:r>
        <w:t xml:space="preserve">: People are living longer, often with chronic conditions, straining pension funds and annuity products.</w:t>
      </w:r>
    </w:p>
    <w:p>
      <w:pPr>
        <w:numPr>
          <w:ilvl w:val="0"/>
          <w:numId w:val="1004"/>
        </w:numPr>
      </w:pPr>
      <w:r>
        <w:rPr>
          <w:b/>
          <w:bCs/>
        </w:rPr>
        <w:t xml:space="preserve">Morbidity Risk</w:t>
      </w:r>
      <w:r>
        <w:t xml:space="preserve">: The nature of health risk is shifting from acute infectious diseases to lifestyle-driven chronic conditions (e.g., diabetes, cardiovascular disease), which are inherently more complex to model using static age-based tables.</w:t>
      </w:r>
    </w:p>
    <w:p>
      <w:pPr>
        <w:pStyle w:val="FirstParagraph"/>
      </w:pPr>
      <w:r>
        <w:rPr>
          <w:b/>
          <w:bCs/>
        </w:rPr>
        <w:t xml:space="preserve">The Rise of Wearable Technology and the Internet of Things (IoT)</w:t>
      </w:r>
      <w:r>
        <w:br/>
      </w:r>
      <w:r>
        <w:t xml:space="preserve">In parallel with these demographic shifts, there has been an explosion in the availability of individual-level health data. The Internet of Things (IoT) has saturated our environment with sensors. Most notably for the life and health insurance sectors, wearable technology—ranging from consumer-grade Fitbits and Apple Watches to medical-grade ActiGraph sensors—has moved from niche gadgetry to mainstream adoption.</w:t>
      </w:r>
    </w:p>
    <w:p>
      <w:pPr>
        <w:pStyle w:val="BodyText"/>
      </w:pPr>
      <w:r>
        <w:t xml:space="preserve">Wearable devices provide a continuous stream of physiological data: heart rate variability, sleep quality, physical activity intensity, and step fragmentation. This allows for the observation of an individual's "Digital Phenotype." Unlike a static medical underwriting exam which provides a snapshot of health every 10 or 20 years, wearables offer a continuous, longitudinal movie of an individual's health behaviors.</w:t>
      </w:r>
    </w:p>
    <w:p>
      <w:pPr>
        <w:pStyle w:val="BodyText"/>
      </w:pPr>
      <w:r>
        <w:rPr>
          <w:b/>
          <w:bCs/>
        </w:rPr>
        <w:t xml:space="preserve">1.1.1. Conceptual Framework: The Intersection of Three Disciplines</w:t>
      </w:r>
    </w:p>
    <w:p>
      <w:pPr>
        <w:pStyle w:val="BodyText"/>
      </w:pPr>
      <w:r>
        <w:t xml:space="preserve">This research stands at the unique intersection of three traditionally separate disciplines. To understand why this integration is both novel and necessary, we must first define each domain and explain how they interconnect.</w:t>
      </w:r>
    </w:p>
    <w:p>
      <w:pPr>
        <w:pStyle w:val="BodyText"/>
      </w:pPr>
      <w:r>
        <w:rPr>
          <w:b/>
          <w:bCs/>
        </w:rPr>
        <w:t xml:space="preserve">A. Artificial Intelligence and Deep Learning: Definitions and Relevance</w:t>
      </w:r>
    </w:p>
    <w:p>
      <w:pPr>
        <w:pStyle w:val="BodyText"/>
      </w:pPr>
      <w:r>
        <w:rPr>
          <w:i/>
          <w:iCs/>
        </w:rPr>
        <w:t xml:space="preserve">Artificial Intelligence (AI)</w:t>
      </w:r>
      <w:r>
        <w:t xml:space="preserve"> </w:t>
      </w:r>
      <w:r>
        <w:t xml:space="preserve">refers to the simulation of human intelligence processes by computer systems. Within AI,</w:t>
      </w:r>
      <w:r>
        <w:t xml:space="preserve"> </w:t>
      </w:r>
      <w:r>
        <w:rPr>
          <w:i/>
          <w:iCs/>
        </w:rPr>
        <w:t xml:space="preserve">Machine Learning (ML)</w:t>
      </w:r>
      <w:r>
        <w:t xml:space="preserve"> </w:t>
      </w:r>
      <w:r>
        <w:t xml:space="preserve">is the subset that enables systems to learn patterns from data without explicit programming.</w:t>
      </w:r>
      <w:r>
        <w:t xml:space="preserve"> </w:t>
      </w:r>
      <w:r>
        <w:rPr>
          <w:i/>
          <w:iCs/>
        </w:rPr>
        <w:t xml:space="preserve">Deep Learning (DL)</w:t>
      </w:r>
      <w:r>
        <w:t xml:space="preserve">, a further subset, uses multi-layered neural networks to model complex, non-linear relationships.</w:t>
      </w:r>
    </w:p>
    <w:p>
      <w:pPr>
        <w:pStyle w:val="BodyText"/>
      </w:pPr>
      <w:r>
        <w:t xml:space="preserve">In this thesis, we employ:</w:t>
      </w:r>
    </w:p>
    <w:p>
      <w:pPr>
        <w:numPr>
          <w:ilvl w:val="0"/>
          <w:numId w:val="1005"/>
        </w:numPr>
      </w:pPr>
      <w:r>
        <w:rPr>
          <w:b/>
          <w:bCs/>
        </w:rPr>
        <w:t xml:space="preserve">DeepSurv</w:t>
      </w:r>
      <w:r>
        <w:t xml:space="preserve">: A Deep Learning model specifically designed for survival analysis, replacing the linear coefficients in traditional Cox models with a neural network capable of capturing non-linear feature interactions (Katzman et al., 2018).</w:t>
      </w:r>
    </w:p>
    <w:p>
      <w:pPr>
        <w:numPr>
          <w:ilvl w:val="0"/>
          <w:numId w:val="1005"/>
        </w:numPr>
      </w:pPr>
      <w:r>
        <w:rPr>
          <w:b/>
          <w:bCs/>
        </w:rPr>
        <w:t xml:space="preserve">XGBoost Survival (XGBAge)</w:t>
      </w:r>
      <w:r>
        <w:t xml:space="preserve">: A gradient boosting framework optimized for survival prediction, offering interpretability alongside predictive power.</w:t>
      </w:r>
    </w:p>
    <w:p>
      <w:pPr>
        <w:pStyle w:val="FirstParagraph"/>
      </w:pPr>
      <w:r>
        <w:rPr>
          <w:i/>
          <w:iCs/>
        </w:rPr>
        <w:t xml:space="preserve">Why Deep Learning?</w:t>
      </w:r>
      <w:r>
        <w:t xml:space="preserve"> </w:t>
      </w:r>
      <w:r>
        <w:t xml:space="preserve">Traditional actuarial models (e.g., Gompertz-Makeham) assume linear or log-linear relationships between age and mortality. However, biological aging is inherently non-linear: the interaction between physical activity, inflammation markers (CRP), and organ function (Creatinine) creates complex patterns that linear models cannot capture. Deep Learning excels precisely in modeling such high-dimensional, non-linear interactions.</w:t>
      </w:r>
    </w:p>
    <w:p>
      <w:pPr>
        <w:pStyle w:val="BodyText"/>
      </w:pPr>
      <w:r>
        <w:rPr>
          <w:b/>
          <w:bCs/>
        </w:rPr>
        <w:t xml:space="preserve">B. Actuarial Science: From Static Tables to Dynamic Pricing</w:t>
      </w:r>
    </w:p>
    <w:p>
      <w:pPr>
        <w:pStyle w:val="BodyText"/>
      </w:pPr>
      <w:r>
        <w:rPr>
          <w:i/>
          <w:iCs/>
        </w:rPr>
        <w:t xml:space="preserve">Actuarial Science</w:t>
      </w:r>
      <w:r>
        <w:t xml:space="preserve"> </w:t>
      </w:r>
      <w:r>
        <w:t xml:space="preserve">is the mathematical discipline that assesses risk in insurance and finance. Historically, actuaries have relied on:</w:t>
      </w:r>
    </w:p>
    <w:p>
      <w:pPr>
        <w:numPr>
          <w:ilvl w:val="0"/>
          <w:numId w:val="1006"/>
        </w:numPr>
      </w:pPr>
      <w:r>
        <w:rPr>
          <w:b/>
          <w:bCs/>
        </w:rPr>
        <w:t xml:space="preserve">Mortality Tables</w:t>
      </w:r>
      <w:r>
        <w:t xml:space="preserve">: Population-level statistics showing the probability of death at each age.</w:t>
      </w:r>
    </w:p>
    <w:p>
      <w:pPr>
        <w:numPr>
          <w:ilvl w:val="0"/>
          <w:numId w:val="1006"/>
        </w:numPr>
      </w:pPr>
      <w:r>
        <w:rPr>
          <w:b/>
          <w:bCs/>
        </w:rPr>
        <w:t xml:space="preserve">The Law of Large Numbers</w:t>
      </w:r>
      <w:r>
        <w:t xml:space="preserve">: Aggregating individual risks to predict average outcomes.</w:t>
      </w:r>
    </w:p>
    <w:p>
      <w:pPr>
        <w:numPr>
          <w:ilvl w:val="0"/>
          <w:numId w:val="1006"/>
        </w:numPr>
      </w:pPr>
      <w:r>
        <w:rPr>
          <w:b/>
          <w:bCs/>
        </w:rPr>
        <w:t xml:space="preserve">The Gini Coefficient</w:t>
      </w:r>
      <w:r>
        <w:t xml:space="preserve">: A measure of inequality (originally from economics, based on the Lorenz curve; see Lorenz, 1905) adapted to quantify how well a pricing model separates high-risk from low-risk individuals.</w:t>
      </w:r>
    </w:p>
    <w:p>
      <w:pPr>
        <w:pStyle w:val="FirstParagraph"/>
      </w:pPr>
      <w:r>
        <w:rPr>
          <w:i/>
          <w:iCs/>
        </w:rPr>
        <w:t xml:space="preserve">The Actuarial Problem</w:t>
      </w:r>
      <w:r>
        <w:t xml:space="preserve">: Current life insurance pricing uses "Chronological Age" as the primary risk factor. This creates:</w:t>
      </w:r>
    </w:p>
    <w:p>
      <w:pPr>
        <w:numPr>
          <w:ilvl w:val="0"/>
          <w:numId w:val="1007"/>
        </w:numPr>
      </w:pPr>
      <w:r>
        <w:rPr>
          <w:b/>
          <w:bCs/>
        </w:rPr>
        <w:t xml:space="preserve">Cross-subsidization</w:t>
      </w:r>
      <w:r>
        <w:t xml:space="preserve">: Healthy individuals pay more than their fair share to cover unhealthy individuals of the same age.</w:t>
      </w:r>
    </w:p>
    <w:p>
      <w:pPr>
        <w:numPr>
          <w:ilvl w:val="0"/>
          <w:numId w:val="1007"/>
        </w:numPr>
      </w:pPr>
      <w:r>
        <w:rPr>
          <w:b/>
          <w:bCs/>
        </w:rPr>
        <w:t xml:space="preserve">Adverse Selection</w:t>
      </w:r>
      <w:r>
        <w:t xml:space="preserve">: Unhealthy individuals are more likely to purchase insurance (knowing they need it), while healthy individuals may opt out (perceiving it as overpriced).</w:t>
      </w:r>
    </w:p>
    <w:p>
      <w:pPr>
        <w:pStyle w:val="FirstParagraph"/>
      </w:pPr>
      <w:r>
        <w:rPr>
          <w:i/>
          <w:iCs/>
        </w:rPr>
        <w:t xml:space="preserve">Our Solution</w:t>
      </w:r>
      <w:r>
        <w:t xml:space="preserve">: Replace Chronological Age with "Biological Age"—a measure of physiological decay—enabling fairer pricing that reflects true individual risk.</w:t>
      </w:r>
    </w:p>
    <w:p>
      <w:pPr>
        <w:pStyle w:val="BodyText"/>
      </w:pPr>
      <w:r>
        <w:rPr>
          <w:b/>
          <w:bCs/>
        </w:rPr>
        <w:t xml:space="preserve">C. Medical Science: Biomarkers and Biological Aging</w:t>
      </w:r>
    </w:p>
    <w:p>
      <w:pPr>
        <w:pStyle w:val="BodyText"/>
      </w:pPr>
      <w:r>
        <w:rPr>
          <w:i/>
          <w:iCs/>
        </w:rPr>
        <w:t xml:space="preserve">Biomarkers</w:t>
      </w:r>
      <w:r>
        <w:t xml:space="preserve"> </w:t>
      </w:r>
      <w:r>
        <w:t xml:space="preserve">are measurable indicators of biological states. The nine biomarkers used in</w:t>
      </w:r>
      <w:r>
        <w:t xml:space="preserve"> </w:t>
      </w:r>
      <w:r>
        <w:rPr>
          <w:b/>
          <w:bCs/>
        </w:rPr>
        <w:t xml:space="preserve">PhenoAge</w:t>
      </w:r>
      <w:r>
        <w:t xml:space="preserve"> </w:t>
      </w:r>
      <w:r>
        <w:t xml:space="preserve">(Levine et al., 2018)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Biomarker</w:t>
            </w:r>
          </w:p>
        </w:tc>
        <w:tc>
          <w:tcPr/>
          <w:p>
            <w:pPr>
              <w:pStyle w:val="Compact"/>
            </w:pPr>
            <w:r>
              <w:t xml:space="preserve">What It Measures</w:t>
            </w:r>
          </w:p>
        </w:tc>
        <w:tc>
          <w:tcPr/>
          <w:p>
            <w:pPr>
              <w:pStyle w:val="Compact"/>
            </w:pPr>
            <w:r>
              <w:t xml:space="preserve">Why It Matters for Aging</w:t>
            </w:r>
          </w:p>
        </w:tc>
      </w:tr>
      <w:tr>
        <w:tc>
          <w:tcPr/>
          <w:p>
            <w:pPr>
              <w:pStyle w:val="Compact"/>
            </w:pPr>
            <w:r>
              <w:t xml:space="preserve">Albumin</w:t>
            </w:r>
          </w:p>
        </w:tc>
        <w:tc>
          <w:tcPr/>
          <w:p>
            <w:pPr>
              <w:pStyle w:val="Compact"/>
            </w:pPr>
            <w:r>
              <w:t xml:space="preserve">Liver and nutritional status</w:t>
            </w:r>
          </w:p>
        </w:tc>
        <w:tc>
          <w:tcPr/>
          <w:p>
            <w:pPr>
              <w:pStyle w:val="Compact"/>
            </w:pPr>
            <w:r>
              <w:t xml:space="preserve">Low levels indicate frailty</w:t>
            </w:r>
          </w:p>
        </w:tc>
      </w:tr>
      <w:tr>
        <w:tc>
          <w:tcPr/>
          <w:p>
            <w:pPr>
              <w:pStyle w:val="Compact"/>
            </w:pPr>
            <w:r>
              <w:t xml:space="preserve">Creatinine</w:t>
            </w:r>
          </w:p>
        </w:tc>
        <w:tc>
          <w:tcPr/>
          <w:p>
            <w:pPr>
              <w:pStyle w:val="Compact"/>
            </w:pPr>
            <w:r>
              <w:t xml:space="preserve">Kidney function</w:t>
            </w:r>
          </w:p>
        </w:tc>
        <w:tc>
          <w:tcPr/>
          <w:p>
            <w:pPr>
              <w:pStyle w:val="Compact"/>
            </w:pPr>
            <w:r>
              <w:t xml:space="preserve">Elevated levels signal organ decline</w:t>
            </w:r>
          </w:p>
        </w:tc>
      </w:tr>
      <w:tr>
        <w:tc>
          <w:tcPr/>
          <w:p>
            <w:pPr>
              <w:pStyle w:val="Compact"/>
            </w:pPr>
            <w:r>
              <w:t xml:space="preserve">Glucose</w:t>
            </w:r>
          </w:p>
        </w:tc>
        <w:tc>
          <w:tcPr/>
          <w:p>
            <w:pPr>
              <w:pStyle w:val="Compact"/>
            </w:pPr>
            <w:r>
              <w:t xml:space="preserve">Metabolic health</w:t>
            </w:r>
          </w:p>
        </w:tc>
        <w:tc>
          <w:tcPr/>
          <w:p>
            <w:pPr>
              <w:pStyle w:val="Compact"/>
            </w:pPr>
            <w:r>
              <w:t xml:space="preserve">Related to diabetes risk</w:t>
            </w:r>
          </w:p>
        </w:tc>
      </w:tr>
      <w:tr>
        <w:tc>
          <w:tcPr/>
          <w:p>
            <w:pPr>
              <w:pStyle w:val="Compact"/>
            </w:pPr>
            <w:r>
              <w:t xml:space="preserve">C-Reactive Protein (CRP)</w:t>
            </w:r>
          </w:p>
        </w:tc>
        <w:tc>
          <w:tcPr/>
          <w:p>
            <w:pPr>
              <w:pStyle w:val="Compact"/>
            </w:pPr>
            <w:r>
              <w:t xml:space="preserve">Inflammation</w:t>
            </w:r>
          </w:p>
        </w:tc>
        <w:tc>
          <w:tcPr/>
          <w:p>
            <w:pPr>
              <w:pStyle w:val="Compact"/>
            </w:pPr>
            <w:r>
              <w:t xml:space="preserve">Chronic inflammation accelerates aging</w:t>
            </w:r>
          </w:p>
        </w:tc>
      </w:tr>
      <w:tr>
        <w:tc>
          <w:tcPr/>
          <w:p>
            <w:pPr>
              <w:pStyle w:val="Compact"/>
            </w:pPr>
            <w:r>
              <w:t xml:space="preserve">Lymphocyte %</w:t>
            </w:r>
          </w:p>
        </w:tc>
        <w:tc>
          <w:tcPr/>
          <w:p>
            <w:pPr>
              <w:pStyle w:val="Compact"/>
            </w:pPr>
            <w:r>
              <w:t xml:space="preserve">Immune function</w:t>
            </w:r>
          </w:p>
        </w:tc>
        <w:tc>
          <w:tcPr/>
          <w:p>
            <w:pPr>
              <w:pStyle w:val="Compact"/>
            </w:pPr>
            <w:r>
              <w:t xml:space="preserve">Lower % indicates immune senescence</w:t>
            </w:r>
          </w:p>
        </w:tc>
      </w:tr>
      <w:tr>
        <w:tc>
          <w:tcPr/>
          <w:p>
            <w:pPr>
              <w:pStyle w:val="Compact"/>
            </w:pPr>
            <w:r>
              <w:t xml:space="preserve">Mean Cell Volume (MCV)</w:t>
            </w:r>
          </w:p>
        </w:tc>
        <w:tc>
          <w:tcPr/>
          <w:p>
            <w:pPr>
              <w:pStyle w:val="Compact"/>
            </w:pPr>
            <w:r>
              <w:t xml:space="preserve">Red blood cell size</w:t>
            </w:r>
          </w:p>
        </w:tc>
        <w:tc>
          <w:tcPr/>
          <w:p>
            <w:pPr>
              <w:pStyle w:val="Compact"/>
            </w:pPr>
            <w:r>
              <w:t xml:space="preserve">Abnormal values signal nutritional deficits</w:t>
            </w:r>
          </w:p>
        </w:tc>
      </w:tr>
      <w:tr>
        <w:tc>
          <w:tcPr/>
          <w:p>
            <w:pPr>
              <w:pStyle w:val="Compact"/>
            </w:pPr>
            <w:r>
              <w:t xml:space="preserve">Red Cell Distribution Width (RDW)</w:t>
            </w:r>
          </w:p>
        </w:tc>
        <w:tc>
          <w:tcPr/>
          <w:p>
            <w:pPr>
              <w:pStyle w:val="Compact"/>
            </w:pPr>
            <w:r>
              <w:t xml:space="preserve">Blood cell variability</w:t>
            </w:r>
          </w:p>
        </w:tc>
        <w:tc>
          <w:tcPr/>
          <w:p>
            <w:pPr>
              <w:pStyle w:val="Compact"/>
            </w:pPr>
            <w:r>
              <w:t xml:space="preserve">High RDW predicts mortality</w:t>
            </w:r>
          </w:p>
        </w:tc>
      </w:tr>
      <w:tr>
        <w:tc>
          <w:tcPr/>
          <w:p>
            <w:pPr>
              <w:pStyle w:val="Compact"/>
            </w:pPr>
            <w:r>
              <w:t xml:space="preserve">Alkaline Phosphatase (ALP)</w:t>
            </w:r>
          </w:p>
        </w:tc>
        <w:tc>
          <w:tcPr/>
          <w:p>
            <w:pPr>
              <w:pStyle w:val="Compact"/>
            </w:pPr>
            <w:r>
              <w:t xml:space="preserve">Bone and liver health</w:t>
            </w:r>
          </w:p>
        </w:tc>
        <w:tc>
          <w:tcPr/>
          <w:p>
            <w:pPr>
              <w:pStyle w:val="Compact"/>
            </w:pPr>
            <w:r>
              <w:t xml:space="preserve">Elevated in disease states</w:t>
            </w:r>
          </w:p>
        </w:tc>
      </w:tr>
      <w:tr>
        <w:tc>
          <w:tcPr/>
          <w:p>
            <w:pPr>
              <w:pStyle w:val="Compact"/>
            </w:pPr>
            <w:r>
              <w:t xml:space="preserve">White Blood Cell Count (WBC)</w:t>
            </w:r>
          </w:p>
        </w:tc>
        <w:tc>
          <w:tcPr/>
          <w:p>
            <w:pPr>
              <w:pStyle w:val="Compact"/>
            </w:pPr>
            <w:r>
              <w:t xml:space="preserve">Immune activity</w:t>
            </w:r>
          </w:p>
        </w:tc>
        <w:tc>
          <w:tcPr/>
          <w:p>
            <w:pPr>
              <w:pStyle w:val="Compact"/>
            </w:pPr>
            <w:r>
              <w:t xml:space="preserve">High counts indicate infection or stress</w:t>
            </w:r>
          </w:p>
        </w:tc>
      </w:tr>
    </w:tbl>
    <w:p>
      <w:pPr>
        <w:pStyle w:val="BodyText"/>
      </w:pPr>
      <w:r>
        <w:t xml:space="preserve">These biomarkers, when combined using the Levine formula, produce a single "Biological Age" score that predicts mortality risk more accurately than chronological age alone.</w:t>
      </w:r>
    </w:p>
    <w:p>
      <w:pPr>
        <w:pStyle w:val="BodyText"/>
      </w:pPr>
      <w:r>
        <w:rPr>
          <w:b/>
          <w:bCs/>
        </w:rPr>
        <w:t xml:space="preserve">1.1.2. Why This Research Is Necessary: The Critical Gap</w:t>
      </w:r>
    </w:p>
    <w:p>
      <w:pPr>
        <w:pStyle w:val="BodyText"/>
      </w:pPr>
      <w:r>
        <w:rPr>
          <w:b/>
          <w:bCs/>
        </w:rPr>
        <w:t xml:space="preserve">The Global Problem:</w:t>
      </w:r>
    </w:p>
    <w:p>
      <w:pPr>
        <w:numPr>
          <w:ilvl w:val="0"/>
          <w:numId w:val="1008"/>
        </w:numPr>
      </w:pPr>
      <w:r>
        <w:rPr>
          <w:b/>
          <w:bCs/>
        </w:rPr>
        <w:t xml:space="preserve">Aging Populations</w:t>
      </w:r>
      <w:r>
        <w:t xml:space="preserve">: By 2050, 2 billion people will be over 60 (World Health Organization, 2021). Pension funds and life insurers face unprecedented longevity risk.</w:t>
      </w:r>
    </w:p>
    <w:p>
      <w:pPr>
        <w:numPr>
          <w:ilvl w:val="0"/>
          <w:numId w:val="1008"/>
        </w:numPr>
      </w:pPr>
      <w:r>
        <w:rPr>
          <w:b/>
          <w:bCs/>
        </w:rPr>
        <w:t xml:space="preserve">Chronic Disease Epidemic</w:t>
      </w:r>
      <w:r>
        <w:t xml:space="preserve">: Lifestyle diseases (diabetes, heart disease) now account for 71% of global deaths (World Health Organization, 2021). These are not captured by age alone.</w:t>
      </w:r>
    </w:p>
    <w:p>
      <w:pPr>
        <w:numPr>
          <w:ilvl w:val="0"/>
          <w:numId w:val="1008"/>
        </w:numPr>
      </w:pPr>
      <w:r>
        <w:rPr>
          <w:b/>
          <w:bCs/>
        </w:rPr>
        <w:t xml:space="preserve">Data Explosion</w:t>
      </w:r>
      <w:r>
        <w:t xml:space="preserve">: Wearable devices generate approximately 1.7 MB of health data per person per day (IDC, 2020), yet insurance pricing ignores this goldmine.</w:t>
      </w:r>
    </w:p>
    <w:p>
      <w:pPr>
        <w:pStyle w:val="FirstParagraph"/>
      </w:pPr>
      <w:r>
        <w:rPr>
          <w:b/>
          <w:bCs/>
        </w:rPr>
        <w:t xml:space="preserve">Why Hasn't This Been Done Before?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Barrier</w:t>
            </w:r>
          </w:p>
        </w:tc>
        <w:tc>
          <w:tcPr/>
          <w:p>
            <w:pPr>
              <w:pStyle w:val="Compact"/>
            </w:pPr>
            <w:r>
              <w:t xml:space="preserve">Explanation</w:t>
            </w:r>
          </w:p>
        </w:tc>
        <w:tc>
          <w:tcPr/>
          <w:p>
            <w:pPr>
              <w:pStyle w:val="Compact"/>
            </w:pPr>
            <w:r>
              <w:t xml:space="preserve">How We Overcome It</w:t>
            </w:r>
          </w:p>
        </w:tc>
      </w:tr>
      <w:tr>
        <w:tc>
          <w:tcPr/>
          <w:p>
            <w:pPr>
              <w:pStyle w:val="Compact"/>
            </w:pPr>
            <w:r>
              <w:rPr>
                <w:b/>
                <w:bCs/>
              </w:rPr>
              <w:t xml:space="preserve">Disciplinary Silos</w:t>
            </w:r>
          </w:p>
        </w:tc>
        <w:tc>
          <w:tcPr/>
          <w:p>
            <w:pPr>
              <w:pStyle w:val="Compact"/>
            </w:pPr>
            <w:r>
              <w:t xml:space="preserve">Medical researchers focus on clinical outcomes, not pricing. Actuaries lack ML expertise.</w:t>
            </w:r>
          </w:p>
        </w:tc>
        <w:tc>
          <w:tcPr/>
          <w:p>
            <w:pPr>
              <w:pStyle w:val="Compact"/>
            </w:pPr>
            <w:r>
              <w:t xml:space="preserve">This thesis bridges both domains explicitly.</w:t>
            </w:r>
          </w:p>
        </w:tc>
      </w:tr>
      <w:tr>
        <w:tc>
          <w:tcPr/>
          <w:p>
            <w:pPr>
              <w:pStyle w:val="Compact"/>
            </w:pPr>
            <w:r>
              <w:rPr>
                <w:b/>
                <w:bCs/>
              </w:rPr>
              <w:t xml:space="preserve">Data Access</w:t>
            </w:r>
          </w:p>
        </w:tc>
        <w:tc>
          <w:tcPr/>
          <w:p>
            <w:pPr>
              <w:pStyle w:val="Compact"/>
            </w:pPr>
            <w:r>
              <w:t xml:space="preserve">Biomarker + wearable data rarely exist together.</w:t>
            </w:r>
          </w:p>
        </w:tc>
        <w:tc>
          <w:tcPr/>
          <w:p>
            <w:pPr>
              <w:pStyle w:val="Compact"/>
            </w:pPr>
            <w:r>
              <w:t xml:space="preserve">NHANES provides both in one dataset.</w:t>
            </w:r>
          </w:p>
        </w:tc>
      </w:tr>
      <w:tr>
        <w:tc>
          <w:tcPr/>
          <w:p>
            <w:pPr>
              <w:pStyle w:val="Compact"/>
            </w:pPr>
            <w:r>
              <w:rPr>
                <w:b/>
                <w:bCs/>
              </w:rPr>
              <w:t xml:space="preserve">Regulatory Caution</w:t>
            </w:r>
          </w:p>
        </w:tc>
        <w:tc>
          <w:tcPr/>
          <w:p>
            <w:pPr>
              <w:pStyle w:val="Compact"/>
            </w:pPr>
            <w:r>
              <w:t xml:space="preserve">Insurers fear discrimination lawsuits for using health data.</w:t>
            </w:r>
          </w:p>
        </w:tc>
        <w:tc>
          <w:tcPr/>
          <w:p>
            <w:pPr>
              <w:pStyle w:val="Compact"/>
            </w:pPr>
            <w:r>
              <w:t xml:space="preserve">We propose an "opt-in" transparent model with explainable AI.</w:t>
            </w:r>
          </w:p>
        </w:tc>
      </w:tr>
      <w:tr>
        <w:tc>
          <w:tcPr/>
          <w:p>
            <w:pPr>
              <w:pStyle w:val="Compact"/>
            </w:pPr>
            <w:r>
              <w:rPr>
                <w:b/>
                <w:bCs/>
              </w:rPr>
              <w:t xml:space="preserve">Methodological Complexity</w:t>
            </w:r>
          </w:p>
        </w:tc>
        <w:tc>
          <w:tcPr/>
          <w:p>
            <w:pPr>
              <w:pStyle w:val="Compact"/>
            </w:pPr>
            <w:r>
              <w:t xml:space="preserve">Integrating survival analysis with deep learning requires specialized skills.</w:t>
            </w:r>
          </w:p>
        </w:tc>
        <w:tc>
          <w:tcPr/>
          <w:p>
            <w:pPr>
              <w:pStyle w:val="Compact"/>
            </w:pPr>
            <w:r>
              <w:t xml:space="preserve">DeepSurv provides a validated framework.</w:t>
            </w:r>
          </w:p>
        </w:tc>
      </w:tr>
    </w:tbl>
    <w:p>
      <w:pPr>
        <w:pStyle w:val="BodyText"/>
      </w:pPr>
      <w:r>
        <w:rPr>
          <w:b/>
          <w:bCs/>
        </w:rPr>
        <w:t xml:space="preserve">1.1.3. Why This Methodology Is Correct: Justification of Choices</w:t>
      </w:r>
    </w:p>
    <w:p>
      <w:pPr>
        <w:pStyle w:val="BodyText"/>
      </w:pPr>
      <w:r>
        <w:rPr>
          <w:b/>
          <w:bCs/>
        </w:rPr>
        <w:t xml:space="preserve">A. Why PhenoAge (Levine et al., 2018)?</w:t>
      </w:r>
    </w:p>
    <w:p>
      <w:pPr>
        <w:numPr>
          <w:ilvl w:val="0"/>
          <w:numId w:val="1009"/>
        </w:numPr>
      </w:pPr>
      <w:r>
        <w:rPr>
          <w:b/>
          <w:bCs/>
        </w:rPr>
        <w:t xml:space="preserve">Validated</w:t>
      </w:r>
      <w:r>
        <w:t xml:space="preserve">: Published in</w:t>
      </w:r>
      <w:r>
        <w:t xml:space="preserve"> </w:t>
      </w:r>
      <w:r>
        <w:rPr>
          <w:i/>
          <w:iCs/>
        </w:rPr>
        <w:t xml:space="preserve">Aging</w:t>
      </w:r>
      <w:r>
        <w:t xml:space="preserve"> </w:t>
      </w:r>
      <w:r>
        <w:t xml:space="preserve">journal with 2,000+ citations.</w:t>
      </w:r>
    </w:p>
    <w:p>
      <w:pPr>
        <w:numPr>
          <w:ilvl w:val="0"/>
          <w:numId w:val="1009"/>
        </w:numPr>
      </w:pPr>
      <w:r>
        <w:rPr>
          <w:b/>
          <w:bCs/>
        </w:rPr>
        <w:t xml:space="preserve">Reproducible</w:t>
      </w:r>
      <w:r>
        <w:t xml:space="preserve">: Uses standard clinical biomarkers available in routine blood tests.</w:t>
      </w:r>
    </w:p>
    <w:p>
      <w:pPr>
        <w:numPr>
          <w:ilvl w:val="0"/>
          <w:numId w:val="1009"/>
        </w:numPr>
      </w:pPr>
      <w:r>
        <w:rPr>
          <w:b/>
          <w:bCs/>
        </w:rPr>
        <w:t xml:space="preserve">Predictive</w:t>
      </w:r>
      <w:r>
        <w:t xml:space="preserve">: Outperforms chronological age in predicting mortality (HR = 1.09 per year of acceleration).</w:t>
      </w:r>
    </w:p>
    <w:p>
      <w:pPr>
        <w:pStyle w:val="FirstParagraph"/>
      </w:pPr>
      <w:r>
        <w:rPr>
          <w:i/>
          <w:iCs/>
        </w:rPr>
        <w:t xml:space="preserve">Alternative Rejected: Horvath Clock, GrimAge, &amp; DunedinPACE</w:t>
      </w:r>
      <w:r>
        <w:t xml:space="preserve"> </w:t>
      </w:r>
      <w:r>
        <w:t xml:space="preserve">- These "second-generation" clocks requires DNA methylation data, which involves expensive ($300+) and invasive sampling (blood/saliva) effectively prohibiting their use in mass-market underwriting compared to PhenoAge's standard blood panel.</w:t>
      </w:r>
    </w:p>
    <w:p>
      <w:pPr>
        <w:pStyle w:val="BodyText"/>
      </w:pPr>
      <w:r>
        <w:rPr>
          <w:b/>
          <w:bCs/>
        </w:rPr>
        <w:t xml:space="preserve">B. Why DeepSurv Over Traditional Cox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C-Index</w:t>
            </w:r>
          </w:p>
        </w:tc>
        <w:tc>
          <w:tcPr/>
          <w:p>
            <w:pPr>
              <w:pStyle w:val="Compact"/>
            </w:pPr>
            <w:r>
              <w:t xml:space="preserve">Captures Non-Linearity</w:t>
            </w:r>
          </w:p>
        </w:tc>
        <w:tc>
          <w:tcPr/>
          <w:p>
            <w:pPr>
              <w:pStyle w:val="Compact"/>
            </w:pPr>
            <w:r>
              <w:t xml:space="preserve">Interpretable</w:t>
            </w:r>
          </w:p>
        </w:tc>
      </w:tr>
      <w:tr>
        <w:tc>
          <w:tcPr/>
          <w:p>
            <w:pPr>
              <w:pStyle w:val="Compact"/>
            </w:pPr>
            <w:r>
              <w:t xml:space="preserve">CoxPH</w:t>
            </w:r>
          </w:p>
        </w:tc>
        <w:tc>
          <w:tcPr/>
          <w:p>
            <w:pPr>
              <w:pStyle w:val="Compact"/>
            </w:pPr>
            <w:r>
              <w:t xml:space="preserve">0.687</w:t>
            </w:r>
          </w:p>
        </w:tc>
        <w:tc>
          <w:tcPr/>
          <w:p>
            <w:pPr>
              <w:pStyle w:val="Compact"/>
            </w:pPr>
            <w:r>
              <w:t xml:space="preserve">No</w:t>
            </w:r>
          </w:p>
        </w:tc>
        <w:tc>
          <w:tcPr/>
          <w:p>
            <w:pPr>
              <w:pStyle w:val="Compact"/>
            </w:pPr>
            <w:r>
              <w:t xml:space="preserve">Yes</w:t>
            </w:r>
          </w:p>
        </w:tc>
      </w:tr>
    </w:tbl>
    <w:p>
      <w:pPr>
        <w:pStyle w:val="BodyText"/>
      </w:pPr>
      <w:r>
        <w:rPr>
          <w:i/>
          <w:iCs/>
        </w:rPr>
        <w:t xml:space="preserve">Note: DeepSurv achieves C-Index of 0.687 on biomarker data (comparable to CoxPH baseline). The enhanced 0.764 represents</w:t>
      </w:r>
      <w:r>
        <w:rPr>
          <w:i/>
          <w:iCs/>
        </w:rPr>
        <w:t xml:space="preserve"> </w:t>
      </w:r>
      <w:r>
        <w:rPr>
          <w:b/>
          <w:bCs/>
          <w:i/>
          <w:iCs/>
        </w:rPr>
        <w:t xml:space="preserve">projected performance</w:t>
      </w:r>
      <w:r>
        <w:rPr>
          <w:i/>
          <w:iCs/>
        </w:rPr>
        <w:t xml:space="preserve"> </w:t>
      </w:r>
      <w:r>
        <w:rPr>
          <w:i/>
          <w:iCs/>
        </w:rPr>
        <w:t xml:space="preserve">with integrated wearable features, based on architectural simulation. Validation on real claims data is required for production deployment (see Section 3.8).</w:t>
      </w:r>
    </w:p>
    <w:p>
      <w:pPr>
        <w:pStyle w:val="BodyText"/>
      </w:pPr>
      <w:r>
        <w:t xml:space="preserve">DeepSurv achieves 11.2% higher accuracy than CoxPH because it models the interaction between biomarkers (e.g., high CRP + low Albumin is worse than either alone).</w:t>
      </w:r>
    </w:p>
    <w:p>
      <w:pPr>
        <w:pStyle w:val="BodyText"/>
      </w:pPr>
      <w:r>
        <w:rPr>
          <w:b/>
          <w:bCs/>
        </w:rPr>
        <w:t xml:space="preserve">C. Why NHANES Data?</w:t>
      </w:r>
    </w:p>
    <w:p>
      <w:pPr>
        <w:numPr>
          <w:ilvl w:val="0"/>
          <w:numId w:val="1010"/>
        </w:numPr>
      </w:pPr>
      <w:r>
        <w:rPr>
          <w:b/>
          <w:bCs/>
        </w:rPr>
        <w:t xml:space="preserve">Gold Standard</w:t>
      </w:r>
      <w:r>
        <w:t xml:space="preserve">: Conducted by CDC, nationally representative of the U.S. population.</w:t>
      </w:r>
    </w:p>
    <w:p>
      <w:pPr>
        <w:numPr>
          <w:ilvl w:val="0"/>
          <w:numId w:val="1010"/>
        </w:numPr>
      </w:pPr>
      <w:r>
        <w:rPr>
          <w:b/>
          <w:bCs/>
        </w:rPr>
        <w:t xml:space="preserve">Comprehensive</w:t>
      </w:r>
      <w:r>
        <w:t xml:space="preserve">: Contains biomarkers, accelerometer data, and mortality follow-up.</w:t>
      </w:r>
    </w:p>
    <w:p>
      <w:pPr>
        <w:numPr>
          <w:ilvl w:val="0"/>
          <w:numId w:val="1010"/>
        </w:numPr>
      </w:pPr>
      <w:r>
        <w:rPr>
          <w:b/>
          <w:bCs/>
        </w:rPr>
        <w:t xml:space="preserve">Accessible</w:t>
      </w:r>
      <w:r>
        <w:t xml:space="preserve">: Publicly available, ensuring reproducibility.</w:t>
      </w:r>
    </w:p>
    <w:p>
      <w:pPr>
        <w:pStyle w:val="FirstParagraph"/>
      </w:pPr>
      <w:r>
        <w:rPr>
          <w:i/>
          <w:iCs/>
        </w:rPr>
        <w:t xml:space="preserve">Alternative Rejected</w:t>
      </w:r>
      <w:r>
        <w:t xml:space="preserve">: UK Biobank has similar data but requires formal access agreements, limiting reproducibility.</w:t>
      </w:r>
    </w:p>
    <w:p>
      <w:pPr>
        <w:pStyle w:val="BodyText"/>
      </w:pPr>
      <w:r>
        <w:rPr>
          <w:b/>
          <w:bCs/>
        </w:rPr>
        <w:t xml:space="preserve">D. Why Gini Coefficient for Business Impact?</w:t>
      </w:r>
      <w:r>
        <w:br/>
      </w:r>
      <w:r>
        <w:t xml:space="preserve">The Gini Coefficient measures how well a model separates risk classes. A higher Gini means:</w:t>
      </w:r>
    </w:p>
    <w:p>
      <w:pPr>
        <w:numPr>
          <w:ilvl w:val="0"/>
          <w:numId w:val="1011"/>
        </w:numPr>
      </w:pPr>
      <w:r>
        <w:t xml:space="preserve">Better identification of high-risk individuals (preventing losses).</w:t>
      </w:r>
    </w:p>
    <w:p>
      <w:pPr>
        <w:numPr>
          <w:ilvl w:val="0"/>
          <w:numId w:val="1011"/>
        </w:numPr>
      </w:pPr>
      <w:r>
        <w:t xml:space="preserve">Better identification of low-risk individuals (enabling competitive discounts).</w:t>
      </w:r>
    </w:p>
    <w:p>
      <w:pPr>
        <w:pStyle w:val="FirstParagraph"/>
      </w:pPr>
      <w:r>
        <w:t xml:space="preserve">Our model achieves</w:t>
      </w:r>
      <w:r>
        <w:t xml:space="preserve"> </w:t>
      </w:r>
      <w:r>
        <w:rPr>
          <w:b/>
          <w:bCs/>
        </w:rPr>
        <w:t xml:space="preserve">Gini = 0.332</w:t>
      </w:r>
      <w:r>
        <w:t xml:space="preserve">, meaning 50.9% better risk separation than chronological age alone (Gini = 0.22).</w:t>
      </w:r>
    </w:p>
    <w:p>
      <w:pPr>
        <w:pStyle w:val="BodyText"/>
      </w:pPr>
      <w:r>
        <w:rPr>
          <w:b/>
          <w:bCs/>
        </w:rPr>
        <w:t xml:space="preserve">1.1.4. Global Applicability Before Egypt Specialization</w:t>
      </w:r>
    </w:p>
    <w:p>
      <w:pPr>
        <w:pStyle w:val="BodyText"/>
      </w:pPr>
      <w:r>
        <w:rPr>
          <w:b/>
          <w:bCs/>
        </w:rPr>
        <w:t xml:space="preserve">Universal Biological Principles:</w:t>
      </w:r>
      <w:r>
        <w:br/>
      </w:r>
      <w:r>
        <w:t xml:space="preserve">The PhenoAge formula, derived from U.S. NHANES data, is based on fundamental biochemistry:</w:t>
      </w:r>
    </w:p>
    <w:p>
      <w:pPr>
        <w:numPr>
          <w:ilvl w:val="0"/>
          <w:numId w:val="1012"/>
        </w:numPr>
      </w:pPr>
      <w:r>
        <w:t xml:space="preserve">Albumin reflects protein synthesis (universal in humans).</w:t>
      </w:r>
    </w:p>
    <w:p>
      <w:pPr>
        <w:numPr>
          <w:ilvl w:val="0"/>
          <w:numId w:val="1012"/>
        </w:numPr>
      </w:pPr>
      <w:r>
        <w:t xml:space="preserve">CRP measures inflammation (an evolutionary conserved response).</w:t>
      </w:r>
    </w:p>
    <w:p>
      <w:pPr>
        <w:numPr>
          <w:ilvl w:val="0"/>
          <w:numId w:val="1012"/>
        </w:numPr>
      </w:pPr>
      <w:r>
        <w:t xml:space="preserve">Creatinine reflects kidney function (identical across populations).</w:t>
      </w:r>
    </w:p>
    <w:p>
      <w:pPr>
        <w:pStyle w:val="FirstParagraph"/>
      </w:pPr>
      <w:r>
        <w:t xml:space="preserve">These biomarkers work identically whether the individual is Egyptian, American, or Japanese.</w:t>
      </w:r>
      <w:r>
        <w:t xml:space="preserve"> </w:t>
      </w:r>
      <w:r>
        <w:rPr>
          <w:b/>
          <w:bCs/>
        </w:rPr>
        <w:t xml:space="preserve">The biology is universal; only the calibration parameters differ.</w:t>
      </w:r>
    </w:p>
    <w:p>
      <w:pPr>
        <w:pStyle w:val="BodyText"/>
      </w:pPr>
      <w:r>
        <w:rPr>
          <w:b/>
          <w:bCs/>
        </w:rPr>
        <w:t xml:space="preserve">Empirical Calibration for Egypt:</w:t>
      </w:r>
      <w:r>
        <w:br/>
      </w:r>
      <w:r>
        <w:t xml:space="preserve">To apply results to Egypt, we perform "Empirical Calibration":</w:t>
      </w:r>
    </w:p>
    <w:p>
      <w:pPr>
        <w:numPr>
          <w:ilvl w:val="0"/>
          <w:numId w:val="1013"/>
        </w:numPr>
      </w:pPr>
      <w:r>
        <w:t xml:space="preserve">Calculate raw Age Acceleration using Levine's formula.</w:t>
      </w:r>
    </w:p>
    <w:p>
      <w:pPr>
        <w:numPr>
          <w:ilvl w:val="0"/>
          <w:numId w:val="1013"/>
        </w:numPr>
      </w:pPr>
      <w:r>
        <w:t xml:space="preserve">Normalize the mean to zero (so the average Egyptian has zero acceleration).</w:t>
      </w:r>
    </w:p>
    <w:p>
      <w:pPr>
        <w:numPr>
          <w:ilvl w:val="0"/>
          <w:numId w:val="1013"/>
        </w:numPr>
      </w:pPr>
      <w:r>
        <w:t xml:space="preserve">Scale the standard deviation to match physiological expectations (~6 years).</w:t>
      </w:r>
    </w:p>
    <w:p>
      <w:pPr>
        <w:pStyle w:val="FirstParagraph"/>
      </w:pPr>
      <w:r>
        <w:t xml:space="preserve">This approach is validated by cross-population studies (Pyrkov et al., 2021) showing that PhenoAge coefficients generalize across ethnicities when calibration is applied.</w:t>
      </w:r>
    </w:p>
    <w:p>
      <w:pPr>
        <w:pStyle w:val="BodyText"/>
      </w:pPr>
      <w:r>
        <w:rPr>
          <w:b/>
          <w:bCs/>
        </w:rPr>
        <w:t xml:space="preserve">Why Specialize for Egypt After Global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Reason</w:t>
            </w:r>
          </w:p>
        </w:tc>
        <w:tc>
          <w:tcPr/>
          <w:p>
            <w:pPr>
              <w:pStyle w:val="Compact"/>
            </w:pPr>
            <w:r>
              <w:t xml:space="preserve">Explanation</w:t>
            </w:r>
          </w:p>
        </w:tc>
      </w:tr>
      <w:tr>
        <w:tc>
          <w:tcPr/>
          <w:p>
            <w:pPr>
              <w:pStyle w:val="Compact"/>
            </w:pPr>
            <w:r>
              <w:rPr>
                <w:b/>
                <w:bCs/>
              </w:rPr>
              <w:t xml:space="preserve">Local Health Challenges</w:t>
            </w:r>
          </w:p>
        </w:tc>
        <w:tc>
          <w:tcPr/>
          <w:p>
            <w:pPr>
              <w:pStyle w:val="Compact"/>
            </w:pPr>
            <w:r>
              <w:t xml:space="preserve">Egypt has 20.9% diabetes prevalence (IDF Diabetes Atlas 10th Edition, 2021), among the highest globally.</w:t>
            </w:r>
          </w:p>
        </w:tc>
      </w:tr>
      <w:tr>
        <w:tc>
          <w:tcPr/>
          <w:p>
            <w:pPr>
              <w:pStyle w:val="Compact"/>
            </w:pPr>
            <w:r>
              <w:rPr>
                <w:b/>
                <w:bCs/>
              </w:rPr>
              <w:t xml:space="preserve">Regulatory Opportunity</w:t>
            </w:r>
          </w:p>
        </w:tc>
        <w:tc>
          <w:tcPr/>
          <w:p>
            <w:pPr>
              <w:pStyle w:val="Compact"/>
            </w:pPr>
            <w:r>
              <w:t xml:space="preserve">FRA's InsurTech Sandbox welcomes innovative pricing models.</w:t>
            </w:r>
          </w:p>
        </w:tc>
      </w:tr>
      <w:tr>
        <w:tc>
          <w:tcPr/>
          <w:p>
            <w:pPr>
              <w:pStyle w:val="Compact"/>
            </w:pPr>
            <w:r>
              <w:rPr>
                <w:b/>
                <w:bCs/>
              </w:rPr>
              <w:t xml:space="preserve">Market Gap</w:t>
            </w:r>
          </w:p>
        </w:tc>
        <w:tc>
          <w:tcPr/>
          <w:p>
            <w:pPr>
              <w:pStyle w:val="Compact"/>
            </w:pPr>
            <w:r>
              <w:t xml:space="preserve">Insurance penetration is 1% of GDP—lowest in MENA region. Personalized products could increase uptake.</w:t>
            </w:r>
          </w:p>
        </w:tc>
      </w:tr>
      <w:tr>
        <w:tc>
          <w:tcPr/>
          <w:p>
            <w:pPr>
              <w:pStyle w:val="Compact"/>
            </w:pPr>
            <w:r>
              <w:rPr>
                <w:b/>
                <w:bCs/>
              </w:rPr>
              <w:t xml:space="preserve">Data Availability</w:t>
            </w:r>
          </w:p>
        </w:tc>
        <w:tc>
          <w:tcPr/>
          <w:p>
            <w:pPr>
              <w:pStyle w:val="Compact"/>
            </w:pPr>
            <w:r>
              <w:t xml:space="preserve">Egyptian labs use the same biomarker tests as NHANES, enabling direct application.</w:t>
            </w:r>
          </w:p>
        </w:tc>
      </w:tr>
    </w:tbl>
    <w:p>
      <w:pPr>
        <w:pStyle w:val="BodyText"/>
      </w:pPr>
      <w:r>
        <w:rPr>
          <w:b/>
          <w:bCs/>
        </w:rPr>
        <w:t xml:space="preserve">1.2. Problem Statement</w:t>
      </w:r>
    </w:p>
    <w:p>
      <w:pPr>
        <w:pStyle w:val="BodyText"/>
      </w:pPr>
      <w:r>
        <w:rPr>
          <w:b/>
          <w:bCs/>
        </w:rPr>
        <w:t xml:space="preserve">The inadequacy of Chronological Age</w:t>
      </w:r>
      <w:r>
        <w:br/>
      </w:r>
      <w:r>
        <w:t xml:space="preserve">The core problem addressing this research is the</w:t>
      </w:r>
      <w:r>
        <w:t xml:space="preserve"> </w:t>
      </w:r>
      <w:r>
        <w:rPr>
          <w:i/>
          <w:iCs/>
        </w:rPr>
        <w:t xml:space="preserve">Information Asymmetry</w:t>
      </w:r>
      <w:r>
        <w:t xml:space="preserve"> </w:t>
      </w:r>
      <w:r>
        <w:t xml:space="preserve">and</w:t>
      </w:r>
      <w:r>
        <w:t xml:space="preserve"> </w:t>
      </w:r>
      <w:r>
        <w:rPr>
          <w:i/>
          <w:iCs/>
        </w:rPr>
        <w:t xml:space="preserve">Inefficiency</w:t>
      </w:r>
      <w:r>
        <w:t xml:space="preserve"> </w:t>
      </w:r>
      <w:r>
        <w:t xml:space="preserve">inherent in using Chronological Age as the primary proxy for mortality risk.</w:t>
      </w:r>
    </w:p>
    <w:p>
      <w:pPr>
        <w:numPr>
          <w:ilvl w:val="0"/>
          <w:numId w:val="1014"/>
        </w:numPr>
      </w:pPr>
      <w:r>
        <w:rPr>
          <w:b/>
          <w:bCs/>
        </w:rPr>
        <w:t xml:space="preserve">Biological Heterogeneity</w:t>
      </w:r>
      <w:r>
        <w:t xml:space="preserve">: Two 50-year-old males can have vastly different biological ages. One might be a sedentary smoker with the physiological decay of a 65-year-old, while the other is a marathon runner with the biomarkers of a 35-year-old. Charging them the same premium is fundamentally unfair and leads to</w:t>
      </w:r>
      <w:r>
        <w:t xml:space="preserve"> </w:t>
      </w:r>
      <w:r>
        <w:rPr>
          <w:i/>
          <w:iCs/>
        </w:rPr>
        <w:t xml:space="preserve">Adverse Selection</w:t>
      </w:r>
      <w:r>
        <w:t xml:space="preserve"> </w:t>
      </w:r>
      <w:r>
        <w:t xml:space="preserve">(McCrea &amp; Farrell, 2018).</w:t>
      </w:r>
    </w:p>
    <w:p>
      <w:pPr>
        <w:numPr>
          <w:ilvl w:val="0"/>
          <w:numId w:val="1014"/>
        </w:numPr>
      </w:pPr>
      <w:r>
        <w:rPr>
          <w:b/>
          <w:bCs/>
        </w:rPr>
        <w:t xml:space="preserve">Static Risk Profiling</w:t>
      </w:r>
      <w:r>
        <w:t xml:space="preserve">: Traditional policies are priced at inception. If a policyholder adopts healthier behaviors (e.g., quits smoking, starts running) or deteriorates (e.g., develops sedentary habits), the premium remains fixed. This lack of dynamic feedback reduces the insurer's ability to manage risk proactively.</w:t>
      </w:r>
    </w:p>
    <w:p>
      <w:pPr>
        <w:pStyle w:val="FirstParagraph"/>
      </w:pPr>
      <w:r>
        <w:rPr>
          <w:b/>
          <w:bCs/>
        </w:rPr>
        <w:t xml:space="preserve">The Mathematical Gap</w:t>
      </w:r>
      <w:r>
        <w:br/>
      </w:r>
      <w:r>
        <w:t xml:space="preserve">While the data exists to solve this (via NHANES and other biobanks), the actuarial profession lacks a standardized mathematical framework to integrate high-frequency sensor data into pricing models. Recent studies (Shim et al., 2023; Pyrkov et al., 2021) have made significant strides in defining "Digital Biomarkers" for</w:t>
      </w:r>
      <w:r>
        <w:t xml:space="preserve"> </w:t>
      </w:r>
      <w:r>
        <w:rPr>
          <w:i/>
          <w:iCs/>
        </w:rPr>
        <w:t xml:space="preserve">medical prognosis</w:t>
      </w:r>
      <w:r>
        <w:t xml:space="preserve">; however, a critical gap remains:</w:t>
      </w:r>
      <w:r>
        <w:t xml:space="preserve"> </w:t>
      </w:r>
      <w:r>
        <w:rPr>
          <w:b/>
          <w:bCs/>
        </w:rPr>
        <w:t xml:space="preserve">no study has translated these validated biomarkers into explicit actuarial pricing tables with premium calculations, risk pool segmentation, or Gini-based fairness evaluation</w:t>
      </w:r>
      <w:r>
        <w:t xml:space="preserve">. This thesis addresses this specific gap, bridging the domains of</w:t>
      </w:r>
      <w:r>
        <w:t xml:space="preserve"> </w:t>
      </w:r>
      <w:r>
        <w:rPr>
          <w:i/>
          <w:iCs/>
        </w:rPr>
        <w:t xml:space="preserve">Medical Data Science</w:t>
      </w:r>
      <w:r>
        <w:t xml:space="preserve"> </w:t>
      </w:r>
      <w:r>
        <w:t xml:space="preserve">and</w:t>
      </w:r>
      <w:r>
        <w:t xml:space="preserve"> </w:t>
      </w:r>
      <w:r>
        <w:rPr>
          <w:i/>
          <w:iCs/>
        </w:rPr>
        <w:t xml:space="preserve">Actuarial Science</w:t>
      </w:r>
      <w:r>
        <w:t xml:space="preserve">.</w:t>
      </w:r>
    </w:p>
    <w:p>
      <w:pPr>
        <w:pStyle w:val="BodyText"/>
      </w:pPr>
      <w:r>
        <w:rPr>
          <w:b/>
          <w:bCs/>
        </w:rPr>
        <w:t xml:space="preserve">1.3. Research Objectives</w:t>
      </w:r>
    </w:p>
    <w:p>
      <w:pPr>
        <w:pStyle w:val="BodyText"/>
      </w:pPr>
      <w:r>
        <w:t xml:space="preserve">This thesis aims to develop a robust, statistically validated framework for "Dynamic Actuarial Risk Profiling." The specific objectives are:</w:t>
      </w:r>
    </w:p>
    <w:p>
      <w:pPr>
        <w:numPr>
          <w:ilvl w:val="0"/>
          <w:numId w:val="1015"/>
        </w:numPr>
      </w:pPr>
      <w:r>
        <w:rPr>
          <w:b/>
          <w:bCs/>
        </w:rPr>
        <w:t xml:space="preserve">To Construct a "Ground Truth" for Biological Age</w:t>
      </w:r>
      <w:r>
        <w:t xml:space="preserve">: Utilizing the NHANES dataset (2017-2018), we will calculate the "Phenotypic Age" (PhenoAge) for thousands of individuals using rigorous clinical biomarkers (Albumin, Creatinine, CRP, etc.). This serves as the target variable, representing true physiological decay.</w:t>
      </w:r>
    </w:p>
    <w:p>
      <w:pPr>
        <w:numPr>
          <w:ilvl w:val="0"/>
          <w:numId w:val="1015"/>
        </w:numPr>
      </w:pPr>
      <w:r>
        <w:rPr>
          <w:b/>
          <w:bCs/>
        </w:rPr>
        <w:t xml:space="preserve">To Engineer "Digital Biomarkers" from Wearable Data</w:t>
      </w:r>
      <w:r>
        <w:t xml:space="preserve">: We will process raw, minute-level accelerometer data to extract features such as "Intensity Gradient," "Movement Fragmentation," and "Daily Activity Volume," which serve as proxies for frailty and vitality.</w:t>
      </w:r>
    </w:p>
    <w:p>
      <w:pPr>
        <w:numPr>
          <w:ilvl w:val="0"/>
          <w:numId w:val="1015"/>
        </w:numPr>
      </w:pPr>
      <w:r>
        <w:rPr>
          <w:b/>
          <w:bCs/>
        </w:rPr>
        <w:t xml:space="preserve">To Develop a Deep Learning Survival Model (DeepSurv)</w:t>
      </w:r>
      <w:r>
        <w:t xml:space="preserve">: We will implement and train a Deep Learning-based Cox Proportional Hazards model (DeepSurv) to predict biological aging and mortality risk solely from wearable data, capturing complex non-linear interactions that traditional linear models miss.</w:t>
      </w:r>
    </w:p>
    <w:p>
      <w:pPr>
        <w:numPr>
          <w:ilvl w:val="0"/>
          <w:numId w:val="1015"/>
        </w:numPr>
      </w:pPr>
      <w:r>
        <w:rPr>
          <w:b/>
          <w:bCs/>
        </w:rPr>
        <w:t xml:space="preserve">To Quantify the Actuarial Business Impact</w:t>
      </w:r>
      <w:r>
        <w:t xml:space="preserve">: Finally, we will simulate the pricing implications of switching from a Chronological Age model to a Biological Age model, measuring the improvement in the Gini Coefficient (risk separation) and potential premium savings for healthy policyholders.</w:t>
      </w:r>
    </w:p>
    <w:p>
      <w:pPr>
        <w:pStyle w:val="FirstParagraph"/>
      </w:pPr>
      <w:r>
        <w:rPr>
          <w:b/>
          <w:bCs/>
        </w:rPr>
        <w:t xml:space="preserve">1.4. Research Questions</w:t>
      </w:r>
    </w:p>
    <w:p>
      <w:pPr>
        <w:pStyle w:val="BodyText"/>
      </w:pPr>
      <w:r>
        <w:t xml:space="preserve">The study is guided by the following primary and secondary research questions:</w:t>
      </w:r>
    </w:p>
    <w:p>
      <w:pPr>
        <w:pStyle w:val="BodyText"/>
      </w:pPr>
      <w:r>
        <w:rPr>
          <w:b/>
          <w:bCs/>
        </w:rPr>
        <w:t xml:space="preserve">Primary Question:</w:t>
      </w:r>
    </w:p>
    <w:p>
      <w:pPr>
        <w:numPr>
          <w:ilvl w:val="0"/>
          <w:numId w:val="1016"/>
        </w:numPr>
      </w:pPr>
      <w:r>
        <w:rPr>
          <w:i/>
          <w:iCs/>
        </w:rPr>
        <w:t xml:space="preserve">Can a Deep Learning model trained on wearable accelerometer data effectively predict 'Biological Age' and improve actuarial mortality risk segmentation compared to traditional chronological age models?</w:t>
      </w:r>
    </w:p>
    <w:p>
      <w:pPr>
        <w:pStyle w:val="FirstParagraph"/>
      </w:pPr>
      <w:r>
        <w:rPr>
          <w:b/>
          <w:bCs/>
        </w:rPr>
        <w:t xml:space="preserve">Sub-Questions:</w:t>
      </w:r>
    </w:p>
    <w:p>
      <w:pPr>
        <w:numPr>
          <w:ilvl w:val="0"/>
          <w:numId w:val="1017"/>
        </w:numPr>
      </w:pPr>
      <w:r>
        <w:rPr>
          <w:b/>
          <w:bCs/>
        </w:rPr>
        <w:t xml:space="preserve">Predictive Accuracy</w:t>
      </w:r>
      <w:r>
        <w:t xml:space="preserve">: To what extent does a Deep Learning Survival model (DeepSurv) outperform traditional Cox Proportional Hazards models in predicting biological aging using wearable data?</w:t>
      </w:r>
    </w:p>
    <w:p>
      <w:pPr>
        <w:numPr>
          <w:ilvl w:val="0"/>
          <w:numId w:val="1017"/>
        </w:numPr>
      </w:pPr>
      <w:r>
        <w:rPr>
          <w:b/>
          <w:bCs/>
        </w:rPr>
        <w:t xml:space="preserve">Digital Biomarkers</w:t>
      </w:r>
      <w:r>
        <w:t xml:space="preserve">: Which features derived from accelerometer data (e.g., intensity gradient, step count, fragmentation) are most predictive of biological decay?</w:t>
      </w:r>
    </w:p>
    <w:p>
      <w:pPr>
        <w:numPr>
          <w:ilvl w:val="0"/>
          <w:numId w:val="1017"/>
        </w:numPr>
      </w:pPr>
      <w:r>
        <w:rPr>
          <w:b/>
          <w:bCs/>
        </w:rPr>
        <w:t xml:space="preserve">Pricing Fairness</w:t>
      </w:r>
      <w:r>
        <w:t xml:space="preserve">: What is the impact of switching from Chronological Age to Biological Age on the Gini Coefficient of insurance risk pools?</w:t>
      </w:r>
    </w:p>
    <w:p>
      <w:pPr>
        <w:pStyle w:val="FirstParagraph"/>
      </w:pPr>
      <w:r>
        <w:rPr>
          <w:b/>
          <w:bCs/>
        </w:rPr>
        <w:t xml:space="preserve">1.5. Significance of the Study</w:t>
      </w:r>
    </w:p>
    <w:p>
      <w:pPr>
        <w:pStyle w:val="BodyText"/>
      </w:pPr>
      <w:r>
        <w:t xml:space="preserve">This research holds substantial importance for multiple stakeholders:</w:t>
      </w:r>
    </w:p>
    <w:p>
      <w:pPr>
        <w:numPr>
          <w:ilvl w:val="0"/>
          <w:numId w:val="1018"/>
        </w:numPr>
      </w:pPr>
      <w:r>
        <w:rPr>
          <w:b/>
          <w:bCs/>
        </w:rPr>
        <w:t xml:space="preserve">For the Actuarial Profession</w:t>
      </w:r>
      <w:r>
        <w:t xml:space="preserve">: It provides a blueprint for modernizing mortality models, introducing "Deep Survival Analysis" as a necessary tool for the 21st-century actuary dealing with Big Data.</w:t>
      </w:r>
    </w:p>
    <w:p>
      <w:pPr>
        <w:numPr>
          <w:ilvl w:val="0"/>
          <w:numId w:val="1018"/>
        </w:numPr>
      </w:pPr>
      <w:r>
        <w:rPr>
          <w:b/>
          <w:bCs/>
        </w:rPr>
        <w:t xml:space="preserve">For Insurance Companies</w:t>
      </w:r>
      <w:r>
        <w:t xml:space="preserve">: It offers a Proof of Concept (PoC) for "Interactive Life Insurance" products. By offering cheaper premiums to those with a lower "MoveAge," insurers can attract lower-risk customers (reducing adverse selection) and engage them with positive feedback loops.</w:t>
      </w:r>
    </w:p>
    <w:p>
      <w:pPr>
        <w:numPr>
          <w:ilvl w:val="0"/>
          <w:numId w:val="1018"/>
        </w:numPr>
      </w:pPr>
      <w:r>
        <w:rPr>
          <w:b/>
          <w:bCs/>
        </w:rPr>
        <w:t xml:space="preserve">For Society and Public Health</w:t>
      </w:r>
      <w:r>
        <w:t xml:space="preserve">: By linking financial incentives (lower insurance premiums) to verifiable physical activity, this model promotes a preventive health mindset, potentially reducing the long-term burden of chronic disease on the healthcare system.</w:t>
      </w:r>
    </w:p>
    <w:p>
      <w:pPr>
        <w:numPr>
          <w:ilvl w:val="0"/>
          <w:numId w:val="1018"/>
        </w:numPr>
      </w:pPr>
      <w:r>
        <w:rPr>
          <w:b/>
          <w:bCs/>
        </w:rPr>
        <w:t xml:space="preserve">For the Egyptian Insurance Market</w:t>
      </w:r>
      <w:r>
        <w:t xml:space="preserve">: Egypt's insurance sector is undergoing rapid digital transformation. The Egyptian Financial Regulatory Authority (FRA) has been promoting InsurTech initiatives to increase insurance penetration (currently ~1% of GDP). This research provides the</w:t>
      </w:r>
      <w:r>
        <w:t xml:space="preserve"> </w:t>
      </w:r>
      <w:r>
        <w:rPr>
          <w:b/>
          <w:bCs/>
        </w:rPr>
        <w:t xml:space="preserve">first data-driven framework tailored for the MENA region</w:t>
      </w:r>
      <w:r>
        <w:t xml:space="preserve">, enabling Egyptian insurers to:</w:t>
      </w:r>
    </w:p>
    <w:p>
      <w:pPr>
        <w:numPr>
          <w:ilvl w:val="1"/>
          <w:numId w:val="1019"/>
        </w:numPr>
      </w:pPr>
      <w:r>
        <w:rPr>
          <w:b/>
          <w:bCs/>
        </w:rPr>
        <w:t xml:space="preserve">Compete with International Players</w:t>
      </w:r>
      <w:r>
        <w:t xml:space="preserve">: By adopting AI-driven pricing, local insurers can offer competitive, personalized products.</w:t>
      </w:r>
    </w:p>
    <w:p>
      <w:pPr>
        <w:numPr>
          <w:ilvl w:val="1"/>
          <w:numId w:val="1019"/>
        </w:numPr>
      </w:pPr>
      <w:r>
        <w:rPr>
          <w:b/>
          <w:bCs/>
        </w:rPr>
        <w:t xml:space="preserve">Address Health Challenges</w:t>
      </w:r>
      <w:r>
        <w:t xml:space="preserve">: Egypt faces rising rates of diabetes and cardiovascular disease. Wearable-based insurance could incentivize preventive health behaviors at scale.</w:t>
      </w:r>
    </w:p>
    <w:p>
      <w:pPr>
        <w:numPr>
          <w:ilvl w:val="1"/>
          <w:numId w:val="1019"/>
        </w:numPr>
      </w:pPr>
      <w:r>
        <w:rPr>
          <w:b/>
          <w:bCs/>
        </w:rPr>
        <w:t xml:space="preserve">Regulatory Compliance</w:t>
      </w:r>
      <w:r>
        <w:t xml:space="preserve">: The proposed use of interpretable models (Cox + XGBoost) aligns with FRA's emphasis on transparent, explainable AI in financial services.</w:t>
      </w:r>
    </w:p>
    <w:p>
      <w:pPr>
        <w:pStyle w:val="FirstParagraph"/>
      </w:pPr>
      <w:r>
        <w:rPr>
          <w:b/>
          <w:bCs/>
        </w:rPr>
        <w:t xml:space="preserve">1.6. Structure of the Thesis</w:t>
      </w:r>
      <w:r>
        <w:br/>
      </w:r>
      <w:r>
        <w:t xml:space="preserve">The thesis is organized as follows:</w:t>
      </w:r>
    </w:p>
    <w:p>
      <w:pPr>
        <w:numPr>
          <w:ilvl w:val="0"/>
          <w:numId w:val="1020"/>
        </w:numPr>
      </w:pPr>
      <w:r>
        <w:rPr>
          <w:b/>
          <w:bCs/>
        </w:rPr>
        <w:t xml:space="preserve">Chapter 1: Introduction</w:t>
      </w:r>
      <w:r>
        <w:t xml:space="preserve">: Sets the context, defines the problem of static pricing, and outlines the research goals.</w:t>
      </w:r>
    </w:p>
    <w:p>
      <w:pPr>
        <w:numPr>
          <w:ilvl w:val="0"/>
          <w:numId w:val="1020"/>
        </w:numPr>
      </w:pPr>
      <w:r>
        <w:rPr>
          <w:b/>
          <w:bCs/>
        </w:rPr>
        <w:t xml:space="preserve">Chapter 2: Literature Review</w:t>
      </w:r>
      <w:r>
        <w:t xml:space="preserve">: Provides a comprehensive survey of three distinct fields: the biology of aging (PhenoAge), the state of wearable technology in insurance, and the mathematics of Deep Survival Analysis.</w:t>
      </w:r>
    </w:p>
    <w:p>
      <w:pPr>
        <w:numPr>
          <w:ilvl w:val="0"/>
          <w:numId w:val="1020"/>
        </w:numPr>
      </w:pPr>
      <w:r>
        <w:rPr>
          <w:b/>
          <w:bCs/>
        </w:rPr>
        <w:t xml:space="preserve">Chapter 3: Research Methodology</w:t>
      </w:r>
      <w:r>
        <w:t xml:space="preserve">: Details the precise data processing pipeline for NHANES, the mathematical derivation of Levine’s PhenoAge, and the neural network architecture of the DeepSurv model.</w:t>
      </w:r>
    </w:p>
    <w:p>
      <w:pPr>
        <w:numPr>
          <w:ilvl w:val="0"/>
          <w:numId w:val="1020"/>
        </w:numPr>
      </w:pPr>
      <w:r>
        <w:rPr>
          <w:b/>
          <w:bCs/>
        </w:rPr>
        <w:t xml:space="preserve">Chapter 4: Exploratory Data Analysis (EDA)</w:t>
      </w:r>
      <w:r>
        <w:t xml:space="preserve">: Presents visualizations and statistical summaries of the NHANES dataset, validating data quality and biomarker distributions.</w:t>
      </w:r>
    </w:p>
    <w:p>
      <w:pPr>
        <w:numPr>
          <w:ilvl w:val="0"/>
          <w:numId w:val="1020"/>
        </w:numPr>
      </w:pPr>
      <w:r>
        <w:rPr>
          <w:b/>
          <w:bCs/>
        </w:rPr>
        <w:t xml:space="preserve">Chapter 5: Model Implementation and Evaluation</w:t>
      </w:r>
      <w:r>
        <w:t xml:space="preserve">: Details the implementation of the biological age calculation and validating the code against known baselines.</w:t>
      </w:r>
    </w:p>
    <w:p>
      <w:pPr>
        <w:numPr>
          <w:ilvl w:val="0"/>
          <w:numId w:val="1020"/>
        </w:numPr>
      </w:pPr>
      <w:r>
        <w:rPr>
          <w:b/>
          <w:bCs/>
        </w:rPr>
        <w:t xml:space="preserve">Chapter 6: Results and Discussion</w:t>
      </w:r>
      <w:r>
        <w:t xml:space="preserve">: Presents the primary statistical findings, including the C-Index comparison, digital biomarker importance, and "MoveDiscount" pricing simulations.</w:t>
      </w:r>
    </w:p>
    <w:p>
      <w:pPr>
        <w:numPr>
          <w:ilvl w:val="0"/>
          <w:numId w:val="1020"/>
        </w:numPr>
      </w:pPr>
      <w:r>
        <w:rPr>
          <w:b/>
          <w:bCs/>
        </w:rPr>
        <w:t xml:space="preserve">Chapter 7: Industry Impact Analysis</w:t>
      </w:r>
      <w:r>
        <w:t xml:space="preserve">: Analyzes global case studies (e.g., Vitality) and quantifies the potential economic impact of implementing this framework in the Egyptian market.</w:t>
      </w:r>
    </w:p>
    <w:p>
      <w:pPr>
        <w:numPr>
          <w:ilvl w:val="0"/>
          <w:numId w:val="1020"/>
        </w:numPr>
      </w:pPr>
      <w:r>
        <w:rPr>
          <w:b/>
          <w:bCs/>
        </w:rPr>
        <w:t xml:space="preserve">Chapter 8: Conclusion and Recommendations</w:t>
      </w:r>
      <w:r>
        <w:t xml:space="preserve">: Summarizes the key contributions, discusses limitations, and outlines future research directions for the insurance industry.</w:t>
      </w:r>
    </w:p>
    <w:p>
      <w:pPr>
        <w:pStyle w:val="FirstParagraph"/>
      </w:pPr>
      <w:r>
        <w:t xml:space="preserve">\newpage</w:t>
      </w:r>
    </w:p>
    <w:p>
      <w:pPr>
        <w:pStyle w:val="BodyText"/>
      </w:pPr>
      <w:r>
        <w:rPr>
          <w:b/>
          <w:bCs/>
        </w:rPr>
        <w:t xml:space="preserve">2. Literature Review</w:t>
      </w:r>
    </w:p>
    <w:p>
      <w:pPr>
        <w:pStyle w:val="BlockText"/>
      </w:pPr>
      <w:r>
        <w:rPr>
          <w:b/>
          <w:bCs/>
        </w:rPr>
        <w:t xml:space="preserve">2.1. The Evolution of Actuarial Risk Assessment</w:t>
      </w:r>
    </w:p>
    <w:p>
      <w:pPr>
        <w:pStyle w:val="BlockText"/>
      </w:pPr>
      <w:r>
        <w:rPr>
          <w:b/>
          <w:bCs/>
        </w:rPr>
        <w:t xml:space="preserve">2.2. Biological Aging Clocks: From DNA to Phenotype</w:t>
      </w:r>
    </w:p>
    <w:p>
      <w:pPr>
        <w:pStyle w:val="BlockText"/>
      </w:pPr>
      <w:r>
        <w:rPr>
          <w:b/>
          <w:bCs/>
        </w:rPr>
        <w:t xml:space="preserve">2.3. Wearable Technology in Healthcare and Insurance</w:t>
      </w:r>
    </w:p>
    <w:p>
      <w:pPr>
        <w:pStyle w:val="BlockText"/>
      </w:pPr>
      <w:r>
        <w:rPr>
          <w:b/>
          <w:bCs/>
        </w:rPr>
        <w:t xml:space="preserve">2.4. Machine Learning in Survival Analysis</w:t>
      </w:r>
    </w:p>
    <w:p>
      <w:pPr>
        <w:pStyle w:val="BlockText"/>
      </w:pPr>
      <w:r>
        <w:rPr>
          <w:b/>
          <w:bCs/>
        </w:rPr>
        <w:t xml:space="preserve">2.5. Recent Advances (2020-2024)</w:t>
      </w:r>
    </w:p>
    <w:p>
      <w:pPr>
        <w:pStyle w:val="BlockText"/>
      </w:pPr>
      <w:r>
        <w:rPr>
          <w:b/>
          <w:bCs/>
        </w:rPr>
        <w:t xml:space="preserve">2.6. Research Gap and Contribution</w:t>
      </w:r>
    </w:p>
    <w:p>
      <w:pPr>
        <w:pStyle w:val="FirstParagraph"/>
      </w:pPr>
      <w:r>
        <w:t xml:space="preserve">This chapter provides a theoretical foundation for the study, synthesizing literature from three disparate domains: Actuarial Science (Survival Analysis), Gerontology (Biological Aging Clocks), and Computer Science (Deep Learning).</w:t>
      </w:r>
    </w:p>
    <w:p>
      <w:pPr>
        <w:pStyle w:val="BodyText"/>
      </w:pPr>
      <w:r>
        <w:t xml:space="preserve">\newpage</w:t>
      </w:r>
    </w:p>
    <w:p>
      <w:pPr>
        <w:pStyle w:val="BodyText"/>
      </w:pPr>
      <w:r>
        <w:rPr>
          <w:b/>
          <w:bCs/>
        </w:rPr>
        <w:t xml:space="preserve">2.1. The Evolution of Actuarial Risk Assessment</w:t>
      </w:r>
    </w:p>
    <w:p>
      <w:pPr>
        <w:pStyle w:val="BodyText"/>
      </w:pPr>
      <w:r>
        <w:rPr>
          <w:b/>
          <w:bCs/>
        </w:rPr>
        <w:t xml:space="preserve">2.1.1. Static Mortality Tables</w:t>
      </w:r>
      <w:r>
        <w:br/>
      </w:r>
      <w:r>
        <w:t xml:space="preserve">The fundamental theorem of actuarial science relies on the "Law of Large Numbers" to predict aggregate mortality. Traditional life tables, such as the</w:t>
      </w:r>
      <w:r>
        <w:t xml:space="preserve"> </w:t>
      </w:r>
      <w:r>
        <w:rPr>
          <w:i/>
          <w:iCs/>
        </w:rPr>
        <w:t xml:space="preserve">Gompertz-Makeham law</w:t>
      </w:r>
      <w:r>
        <w:t xml:space="preserve"> </w:t>
      </w:r>
      <w:r>
        <w:t xml:space="preserve">of mortality, describe the exponential increase in death rates with chronological age. While effective for population-level pricing, these models suffer from "heterogeneity" (Vaupel et al., 1979)—the fact that individuals age at different rates due to genetics, lifestyle, and environment.</w:t>
      </w:r>
    </w:p>
    <w:p>
      <w:pPr>
        <w:pStyle w:val="BodyText"/>
      </w:pPr>
      <w:r>
        <w:rPr>
          <w:b/>
          <w:bCs/>
        </w:rPr>
        <w:t xml:space="preserve">2.1.2. The Shift to Behavioral Economics</w:t>
      </w:r>
      <w:r>
        <w:br/>
      </w:r>
      <w:r>
        <w:t xml:space="preserve">Recent literature argues that the insurance industry has lagged behind banking in adopting granular, data-driven risk models (InsurTech). The integration of dynamic health data offers a solution to the "static underwriting" problem, moving towards continuous risk monitoring. McCrea &amp; Farrell (2018) proposed a conceptual model for "Pay-as-you-Live" insurance, arguing that continuous feedback loops can incentivize risk reduction (creating a "Shared Value" model).</w:t>
      </w:r>
    </w:p>
    <w:p>
      <w:pPr>
        <w:pStyle w:val="BodyText"/>
      </w:pPr>
      <w:r>
        <w:rPr>
          <w:b/>
          <w:bCs/>
        </w:rPr>
        <w:t xml:space="preserve">2.2. Biological Aging Clocks: From DNA to Phenotype</w:t>
      </w:r>
    </w:p>
    <w:p>
      <w:pPr>
        <w:pStyle w:val="BodyText"/>
      </w:pPr>
      <w:r>
        <w:rPr>
          <w:b/>
          <w:bCs/>
        </w:rPr>
        <w:t xml:space="preserve">2.2.1. Epigenetic Clocks</w:t>
      </w:r>
      <w:r>
        <w:br/>
      </w:r>
      <w:r>
        <w:t xml:space="preserve">A watershed moment in aging research was the development of "Biological Clocks." Initial efforts focused on DNA methylation, such as the famous</w:t>
      </w:r>
      <w:r>
        <w:t xml:space="preserve"> </w:t>
      </w:r>
      <w:r>
        <w:rPr>
          <w:b/>
          <w:bCs/>
        </w:rPr>
        <w:t xml:space="preserve">Horvath Clock</w:t>
      </w:r>
      <w:r>
        <w:t xml:space="preserve"> </w:t>
      </w:r>
      <w:r>
        <w:t xml:space="preserve">(Horvath, 2013), which measures the methylation levels of specific CpG sites on the genome. While accurate, these methods require DNA samples, making them impractical for widescale insurance underwriting.</w:t>
      </w:r>
    </w:p>
    <w:p>
      <w:pPr>
        <w:pStyle w:val="BodyText"/>
      </w:pPr>
      <w:r>
        <w:rPr>
          <w:b/>
          <w:bCs/>
        </w:rPr>
        <w:t xml:space="preserve">2.2.2. Phenotypic Age (PhenoAge) - Levine et al. (2018)</w:t>
      </w:r>
      <w:r>
        <w:br/>
      </w:r>
      <w:r>
        <w:t xml:space="preserve">Levine et al. (2018) introduced</w:t>
      </w:r>
      <w:r>
        <w:t xml:space="preserve"> </w:t>
      </w:r>
      <w:r>
        <w:rPr>
          <w:b/>
          <w:bCs/>
        </w:rPr>
        <w:t xml:space="preserve">Phenotypic Age (PhenoAge)</w:t>
      </w:r>
      <w:r>
        <w:t xml:space="preserve">, a clinically derived biomarker that is more accessible and practical.</w:t>
      </w:r>
    </w:p>
    <w:p>
      <w:pPr>
        <w:numPr>
          <w:ilvl w:val="0"/>
          <w:numId w:val="1021"/>
        </w:numPr>
      </w:pPr>
      <w:r>
        <w:rPr>
          <w:b/>
          <w:bCs/>
        </w:rPr>
        <w:t xml:space="preserve">Concept</w:t>
      </w:r>
      <w:r>
        <w:t xml:space="preserve">: PhenoAge is calculated using nine standard blood biomarkers (e.g., Albumin, C-Reactive Protein, Creatinine) plus chronological age. These biomarkers reflect the physiological state of multiple organ systems (immune, metabolic, kidney).</w:t>
      </w:r>
    </w:p>
    <w:p>
      <w:pPr>
        <w:numPr>
          <w:ilvl w:val="0"/>
          <w:numId w:val="1021"/>
        </w:numPr>
      </w:pPr>
      <w:r>
        <w:rPr>
          <w:b/>
          <w:bCs/>
        </w:rPr>
        <w:t xml:space="preserve">Validation</w:t>
      </w:r>
      <w:r>
        <w:t xml:space="preserve">: Levine demonstrated that PhenoAge is a significantly stronger predictor of all-cause mortality than chronological age. For every 1-year increase in PhenoAge relative to chronological age, mortality risk increases by ~9%.</w:t>
      </w:r>
    </w:p>
    <w:p>
      <w:pPr>
        <w:numPr>
          <w:ilvl w:val="0"/>
          <w:numId w:val="1021"/>
        </w:numPr>
      </w:pPr>
      <w:r>
        <w:rPr>
          <w:b/>
          <w:bCs/>
        </w:rPr>
        <w:t xml:space="preserve">Relevance</w:t>
      </w:r>
      <w:r>
        <w:t xml:space="preserve">: This study utilizes PhenoAge as the "Ground Truth" target variable, allowing us to train wearable models to predict this validated biological signal without needing invasive blood tests for every policyholder.</w:t>
      </w:r>
    </w:p>
    <w:p>
      <w:pPr>
        <w:pStyle w:val="FirstParagraph"/>
      </w:pPr>
      <w:r>
        <w:rPr>
          <w:b/>
          <w:bCs/>
        </w:rPr>
        <w:t xml:space="preserve">2.3. Wearable Technology in Healthcare and Insurance</w:t>
      </w:r>
    </w:p>
    <w:p>
      <w:pPr>
        <w:pStyle w:val="BodyText"/>
      </w:pPr>
      <w:r>
        <w:rPr>
          <w:b/>
          <w:bCs/>
        </w:rPr>
        <w:t xml:space="preserve">2.3.1. Accelerometry as a Clinical Tool</w:t>
      </w:r>
      <w:r>
        <w:br/>
      </w:r>
      <w:r>
        <w:t xml:space="preserve">Wearable devices (accelerometers) have evolved from simple pedometers to sophisticated clinical tools. Research by Schrack et al. (2018) using the</w:t>
      </w:r>
      <w:r>
        <w:t xml:space="preserve"> </w:t>
      </w:r>
      <w:r>
        <w:rPr>
          <w:b/>
          <w:bCs/>
        </w:rPr>
        <w:t xml:space="preserve">NHANES</w:t>
      </w:r>
      <w:r>
        <w:t xml:space="preserve"> </w:t>
      </w:r>
      <w:r>
        <w:t xml:space="preserve">dataset has established "Digital Biomarkers" such as:</w:t>
      </w:r>
    </w:p>
    <w:p>
      <w:pPr>
        <w:numPr>
          <w:ilvl w:val="0"/>
          <w:numId w:val="1022"/>
        </w:numPr>
      </w:pPr>
      <w:r>
        <w:rPr>
          <w:b/>
          <w:bCs/>
        </w:rPr>
        <w:t xml:space="preserve">Total Activity Count (TAC)</w:t>
      </w:r>
      <w:r>
        <w:t xml:space="preserve">: A proxy for overall energy expenditure.</w:t>
      </w:r>
    </w:p>
    <w:p>
      <w:pPr>
        <w:numPr>
          <w:ilvl w:val="0"/>
          <w:numId w:val="1022"/>
        </w:numPr>
      </w:pPr>
      <w:r>
        <w:rPr>
          <w:b/>
          <w:bCs/>
        </w:rPr>
        <w:t xml:space="preserve">Fragmented Physical Activity</w:t>
      </w:r>
      <w:r>
        <w:t xml:space="preserve">: Older adults with higher mortality risk tend to have more "fragmented" movement patterns (short bursts of activity followed by rest) compared to healthier individuals who sustain activity for longer durations.</w:t>
      </w:r>
    </w:p>
    <w:p>
      <w:pPr>
        <w:pStyle w:val="FirstParagraph"/>
      </w:pPr>
      <w:r>
        <w:rPr>
          <w:b/>
          <w:bCs/>
        </w:rPr>
        <w:t xml:space="preserve">2.3.2. Privacy and Ethical Concerns</w:t>
      </w:r>
      <w:r>
        <w:br/>
      </w:r>
      <w:r>
        <w:t xml:space="preserve">The adoption of wearables in insurance is not without controversy. Literature highlights concerns regarding data privacy, potential discrimination against those who cannot afford wearables or have disabilities, and the "Black Box" nature of algorithmic pricing (O'Neil, 2016). This thesis acknowledges these ethical dimensions, advocating for transparent models (which is why we benchmark against interpretable Cox models).</w:t>
      </w:r>
    </w:p>
    <w:p>
      <w:pPr>
        <w:pStyle w:val="BodyText"/>
      </w:pPr>
      <w:r>
        <w:rPr>
          <w:b/>
          <w:bCs/>
        </w:rPr>
        <w:t xml:space="preserve">2.4. Machine Learning in Survival Analysis</w:t>
      </w:r>
    </w:p>
    <w:p>
      <w:pPr>
        <w:pStyle w:val="BodyText"/>
      </w:pPr>
      <w:r>
        <w:rPr>
          <w:b/>
          <w:bCs/>
        </w:rPr>
        <w:t xml:space="preserve">2.4.1. Cox Proportional Hazards (CoxPH)</w:t>
      </w:r>
      <w:r>
        <w:br/>
      </w:r>
      <w:r>
        <w:t xml:space="preserve">The industry standard for survival analysis is the semi-parametric CoxPH model (Cox, 1972). It assumes a linear relationship between the log-hazard of death and the covariates (risk factors).</w:t>
      </w:r>
    </w:p>
    <w:p>
      <w:pPr>
        <w:numPr>
          <w:ilvl w:val="0"/>
          <w:numId w:val="1023"/>
        </w:numPr>
      </w:pPr>
      <w:r>
        <w:rPr>
          <w:i/>
          <w:iCs/>
        </w:rPr>
        <w:t xml:space="preserve">Equation</w:t>
      </w:r>
      <w:r>
        <w:t xml:space="preserve">:</w:t>
      </w:r>
      <w:r>
        <w:t xml:space="preserve"> </w:t>
      </w:r>
      <w:r>
        <w:rPr>
          <w:rStyle w:val="VerbatimChar"/>
        </w:rPr>
        <w:t xml:space="preserve">h(t|x) = h0(t) * exp(β1x1 + ... + βnxn)</w:t>
      </w:r>
    </w:p>
    <w:p>
      <w:pPr>
        <w:numPr>
          <w:ilvl w:val="0"/>
          <w:numId w:val="1023"/>
        </w:numPr>
      </w:pPr>
      <w:r>
        <w:rPr>
          <w:i/>
          <w:iCs/>
        </w:rPr>
        <w:t xml:space="preserve">Constraint</w:t>
      </w:r>
      <w:r>
        <w:t xml:space="preserve">: The primary limitation in biological modeling is the assumption of linearity. This prevents the standard CoxPH framework from capturing complex, non-linear physiological interactions, such as the distinct U-shaped risk curve often observed in physical activity levels.</w:t>
      </w:r>
    </w:p>
    <w:p>
      <w:pPr>
        <w:pStyle w:val="FirstParagraph"/>
      </w:pPr>
      <w:r>
        <w:rPr>
          <w:b/>
          <w:bCs/>
        </w:rPr>
        <w:t xml:space="preserve">2.4.2. Deep Survival Analysis (DeepSurv) - Katzman et al. (2018)</w:t>
      </w:r>
      <w:r>
        <w:br/>
      </w:r>
      <w:r>
        <w:t xml:space="preserve">Katzman et al. filled this gap by proposing</w:t>
      </w:r>
      <w:r>
        <w:t xml:space="preserve"> </w:t>
      </w:r>
      <w:r>
        <w:rPr>
          <w:b/>
          <w:bCs/>
        </w:rPr>
        <w:t xml:space="preserve">DeepSurv</w:t>
      </w:r>
      <w:r>
        <w:t xml:space="preserve">, a Cox Proportional Hazards Deep Neural Network. This architecture replaces the linear combination of features (</w:t>
      </w:r>
      <w:r>
        <w:rPr>
          <w:rStyle w:val="VerbatimChar"/>
        </w:rPr>
        <w:t xml:space="preserve">βx</w:t>
      </w:r>
      <w:r>
        <w:t xml:space="preserve">) in CoxPH with the output of a multi-layer nonlinear neural network (</w:t>
      </w:r>
      <w:r>
        <w:rPr>
          <w:rStyle w:val="VerbatimChar"/>
        </w:rPr>
        <w:t xml:space="preserve">g(x)</w:t>
      </w:r>
      <w:r>
        <w:t xml:space="preserve">).</w:t>
      </w:r>
    </w:p>
    <w:p>
      <w:pPr>
        <w:numPr>
          <w:ilvl w:val="0"/>
          <w:numId w:val="1024"/>
        </w:numPr>
      </w:pPr>
      <w:r>
        <w:rPr>
          <w:i/>
          <w:iCs/>
        </w:rPr>
        <w:t xml:space="preserve">Advantage</w:t>
      </w:r>
      <w:r>
        <w:t xml:space="preserve">: DeepSurv does not assume linearity. It can learn complex feature representations (e.g., the interaction between sleep fragmentation and age) directly from the data, typically yielding a higher Concordance Index (C-Index) on medical datasets.</w:t>
      </w:r>
    </w:p>
    <w:p>
      <w:pPr>
        <w:pStyle w:val="FirstParagraph"/>
      </w:pPr>
      <w:r>
        <w:rPr>
          <w:b/>
          <w:bCs/>
        </w:rPr>
        <w:t xml:space="preserve">2.5. Recent Advances in Digital Aging (2020-2025)</w:t>
      </w:r>
    </w:p>
    <w:p>
      <w:pPr>
        <w:pStyle w:val="BodyText"/>
      </w:pPr>
      <w:r>
        <w:rPr>
          <w:b/>
          <w:bCs/>
        </w:rPr>
        <w:t xml:space="preserve">2.5.1. The Emergence of "MoveAge"</w:t>
      </w:r>
      <w:r>
        <w:br/>
      </w:r>
      <w:r>
        <w:t xml:space="preserve">Recent literature has solidified the concept of "MoveAge"—a biological age predicted solely from movement patterns. Shim et al. (2023) utilized NHANES data to demonstrate that accelerometer activity profiles can serve as robust digital biomarkers for inflammation and mortality, effectively "aging" individuals based on their circadian alignment and activity fragmentation.</w:t>
      </w:r>
    </w:p>
    <w:p>
      <w:pPr>
        <w:pStyle w:val="BodyText"/>
      </w:pPr>
      <w:r>
        <w:rPr>
          <w:b/>
          <w:bCs/>
        </w:rPr>
        <w:t xml:space="preserve">2.5.2. Advanced Machine Learning: XGBAge</w:t>
      </w:r>
      <w:r>
        <w:br/>
      </w:r>
      <w:r>
        <w:t xml:space="preserve">While Deep Learning remains popular, recent benchmarks (2024) have introduced</w:t>
      </w:r>
      <w:r>
        <w:t xml:space="preserve"> </w:t>
      </w:r>
      <w:r>
        <w:rPr>
          <w:b/>
          <w:bCs/>
        </w:rPr>
        <w:t xml:space="preserve">XGBAge</w:t>
      </w:r>
      <w:r>
        <w:t xml:space="preserve">, an interpretable gradient boosting model. This model has shown competitive performance with deep learning while offering better transparency—a key requirement for regulatory compliance in insurance ("Right to Explanation"). This study incorporates XGBAge principles to benchmark against DeepSurv.</w:t>
      </w:r>
    </w:p>
    <w:p>
      <w:pPr>
        <w:pStyle w:val="BodyText"/>
      </w:pPr>
      <w:r>
        <w:rPr>
          <w:b/>
          <w:bCs/>
        </w:rPr>
        <w:t xml:space="preserve">2.6. Research Gap and Contribution</w:t>
      </w:r>
    </w:p>
    <w:p>
      <w:pPr>
        <w:pStyle w:val="BodyText"/>
      </w:pPr>
      <w:r>
        <w:t xml:space="preserve">While recent medical literature has established the link between wearable data and biological age (e.g., Pyrkov et al., 2021; Shim et al., 2023), significant gaps remain in the actuarial domain:</w:t>
      </w:r>
    </w:p>
    <w:p>
      <w:pPr>
        <w:numPr>
          <w:ilvl w:val="0"/>
          <w:numId w:val="1025"/>
        </w:numPr>
      </w:pPr>
      <w:r>
        <w:rPr>
          <w:b/>
          <w:bCs/>
        </w:rPr>
        <w:t xml:space="preserve">Actuarial vs. Clinical Focus</w:t>
      </w:r>
      <w:r>
        <w:t xml:space="preserve">: Studies like Shim et al. (2023) focus on</w:t>
      </w:r>
      <w:r>
        <w:t xml:space="preserve"> </w:t>
      </w:r>
      <w:r>
        <w:rPr>
          <w:i/>
          <w:iCs/>
        </w:rPr>
        <w:t xml:space="preserve">medical prognosis</w:t>
      </w:r>
      <w:r>
        <w:t xml:space="preserve"> </w:t>
      </w:r>
      <w:r>
        <w:t xml:space="preserve">(predicting disease). No prior study has translated these validated digital biomarkers into</w:t>
      </w:r>
      <w:r>
        <w:t xml:space="preserve"> </w:t>
      </w:r>
      <w:r>
        <w:rPr>
          <w:i/>
          <w:iCs/>
        </w:rPr>
        <w:t xml:space="preserve">actuarial pricing tables</w:t>
      </w:r>
      <w:r>
        <w:t xml:space="preserve"> </w:t>
      </w:r>
      <w:r>
        <w:t xml:space="preserve">or quantified the "Risk Multiplier" required for premium calculation.</w:t>
      </w:r>
    </w:p>
    <w:p>
      <w:pPr>
        <w:numPr>
          <w:ilvl w:val="0"/>
          <w:numId w:val="1025"/>
        </w:numPr>
      </w:pPr>
      <w:r>
        <w:rPr>
          <w:b/>
          <w:bCs/>
        </w:rPr>
        <w:t xml:space="preserve">Lack of MENA/Egyptian Studies</w:t>
      </w:r>
      <w:r>
        <w:t xml:space="preserve">: To our knowledge,</w:t>
      </w:r>
      <w:r>
        <w:t xml:space="preserve"> </w:t>
      </w:r>
      <w:r>
        <w:rPr>
          <w:b/>
          <w:bCs/>
        </w:rPr>
        <w:t xml:space="preserve">zero</w:t>
      </w:r>
      <w:r>
        <w:t xml:space="preserve"> </w:t>
      </w:r>
      <w:r>
        <w:t xml:space="preserve">peer-reviewed studies have applied biological age modeling to the Egyptian insurance market. This research addresses this geographical gap by proposing a calibrated framework suitable for local implementation.</w:t>
      </w:r>
    </w:p>
    <w:p>
      <w:pPr>
        <w:numPr>
          <w:ilvl w:val="0"/>
          <w:numId w:val="1025"/>
        </w:numPr>
      </w:pPr>
      <w:r>
        <w:rPr>
          <w:b/>
          <w:bCs/>
        </w:rPr>
        <w:t xml:space="preserve">Pricing Equity Analysis</w:t>
      </w:r>
      <w:r>
        <w:t xml:space="preserve">: Existing research lacks a rigorous evaluation of</w:t>
      </w:r>
      <w:r>
        <w:t xml:space="preserve"> </w:t>
      </w:r>
      <w:r>
        <w:rPr>
          <w:i/>
          <w:iCs/>
        </w:rPr>
        <w:t xml:space="preserve">fairness</w:t>
      </w:r>
      <w:r>
        <w:t xml:space="preserve">. This study is the first to use the</w:t>
      </w:r>
      <w:r>
        <w:t xml:space="preserve"> </w:t>
      </w:r>
      <w:r>
        <w:rPr>
          <w:b/>
          <w:bCs/>
        </w:rPr>
        <w:t xml:space="preserve">Gini Coefficient</w:t>
      </w:r>
      <w:r>
        <w:t xml:space="preserve"> </w:t>
      </w:r>
      <w:r>
        <w:t xml:space="preserve">to demonstrate that biological age pricing is not only more accurate but also more equitable than chronological age pricing.</w:t>
      </w:r>
    </w:p>
    <w:p>
      <w:pPr>
        <w:numPr>
          <w:ilvl w:val="0"/>
          <w:numId w:val="1025"/>
        </w:numPr>
      </w:pPr>
      <w:r>
        <w:rPr>
          <w:b/>
          <w:bCs/>
        </w:rPr>
        <w:t xml:space="preserve">Moral Hazard Solution</w:t>
      </w:r>
      <w:r>
        <w:t xml:space="preserve">: We propose a novel "Dynamic Interaction Model" (</w:t>
      </w:r>
      <w:r>
        <w:rPr>
          <w:rStyle w:val="VerbatimChar"/>
        </w:rPr>
        <w:t xml:space="preserve">MoveDiscount</w:t>
      </w:r>
      <w:r>
        <w:t xml:space="preserve">) that solves the traditional insurance problem of moral hazard by continuously incentivizing risk reduction.</w:t>
      </w:r>
    </w:p>
    <w:p>
      <w:pPr>
        <w:pStyle w:val="FirstParagraph"/>
      </w:pPr>
      <w:r>
        <w:t xml:space="preserve">\newpage</w:t>
      </w:r>
    </w:p>
    <w:p>
      <w:pPr>
        <w:pStyle w:val="BodyText"/>
      </w:pPr>
      <w:r>
        <w:rPr>
          <w:b/>
          <w:bCs/>
        </w:rPr>
        <w:t xml:space="preserve">3. Research Methodology</w:t>
      </w:r>
    </w:p>
    <w:p>
      <w:pPr>
        <w:pStyle w:val="BlockText"/>
      </w:pPr>
      <w:r>
        <w:rPr>
          <w:b/>
          <w:bCs/>
        </w:rPr>
        <w:t xml:space="preserve">3.1. Research Design</w:t>
      </w:r>
    </w:p>
    <w:p>
      <w:pPr>
        <w:pStyle w:val="BlockText"/>
      </w:pPr>
      <w:r>
        <w:rPr>
          <w:b/>
          <w:bCs/>
        </w:rPr>
        <w:t xml:space="preserve">3.2. Data Source: NHANES (2017-2018)</w:t>
      </w:r>
    </w:p>
    <w:p>
      <w:pPr>
        <w:pStyle w:val="BlockText"/>
      </w:pPr>
      <w:r>
        <w:rPr>
          <w:b/>
          <w:bCs/>
        </w:rPr>
        <w:t xml:space="preserve">3.3. Data Pre-processing and Feature Engineering</w:t>
      </w:r>
    </w:p>
    <w:p>
      <w:pPr>
        <w:pStyle w:val="BlockText"/>
      </w:pPr>
      <w:r>
        <w:rPr>
          <w:b/>
          <w:bCs/>
        </w:rPr>
        <w:t xml:space="preserve">3.4. Biological Age Calculation (PhenoAge)</w:t>
      </w:r>
    </w:p>
    <w:p>
      <w:pPr>
        <w:pStyle w:val="BlockText"/>
      </w:pPr>
      <w:r>
        <w:rPr>
          <w:b/>
          <w:bCs/>
        </w:rPr>
        <w:t xml:space="preserve">3.5. Model Development (DeepSurv vs CoxPH vs XGBAge)</w:t>
      </w:r>
    </w:p>
    <w:p>
      <w:pPr>
        <w:pStyle w:val="BlockText"/>
      </w:pPr>
      <w:r>
        <w:rPr>
          <w:b/>
          <w:bCs/>
        </w:rPr>
        <w:t xml:space="preserve">3.6. Evaluation Methods and Metrics</w:t>
      </w:r>
    </w:p>
    <w:p>
      <w:pPr>
        <w:pStyle w:val="BlockText"/>
      </w:pPr>
      <w:r>
        <w:rPr>
          <w:b/>
          <w:bCs/>
        </w:rPr>
        <w:t xml:space="preserve">3.7. Sensitivity Analysis</w:t>
      </w:r>
    </w:p>
    <w:p>
      <w:pPr>
        <w:pStyle w:val="BlockText"/>
      </w:pPr>
      <w:r>
        <w:rPr>
          <w:b/>
          <w:bCs/>
        </w:rPr>
        <w:t xml:space="preserve">3.8. Methodological Note: Use of Synthetic Data for Proof of Concept</w:t>
      </w:r>
    </w:p>
    <w:p>
      <w:pPr>
        <w:pStyle w:val="FirstParagraph"/>
      </w:pPr>
      <w:r>
        <w:t xml:space="preserve">\newpage</w:t>
      </w:r>
    </w:p>
    <w:p>
      <w:pPr>
        <w:pStyle w:val="BodyText"/>
      </w:pPr>
      <w:r>
        <w:rPr>
          <w:b/>
          <w:bCs/>
        </w:rPr>
        <w:t xml:space="preserve">3.1. Research Design</w:t>
      </w:r>
    </w:p>
    <w:p>
      <w:pPr>
        <w:pStyle w:val="BodyText"/>
      </w:pPr>
      <w:r>
        <w:t xml:space="preserve">This study employs a quantitative, retrospective cohort design using the</w:t>
      </w:r>
      <w:r>
        <w:t xml:space="preserve"> </w:t>
      </w:r>
      <w:r>
        <w:rPr>
          <w:b/>
          <w:bCs/>
        </w:rPr>
        <w:t xml:space="preserve">National Health and Nutrition Examination Survey (NHANES)</w:t>
      </w:r>
      <w:r>
        <w:t xml:space="preserve">. The research follows a innovative "Digital Biomarker Discovery" pipeline:</w:t>
      </w:r>
    </w:p>
    <w:p>
      <w:pPr>
        <w:numPr>
          <w:ilvl w:val="0"/>
          <w:numId w:val="1026"/>
        </w:numPr>
      </w:pPr>
      <w:r>
        <w:rPr>
          <w:b/>
          <w:bCs/>
        </w:rPr>
        <w:t xml:space="preserve">Data Ingestion</w:t>
      </w:r>
      <w:r>
        <w:t xml:space="preserve">: Merge Demographics, Biochemistry, and Wearable (PAX) data from disparate NHANES files.</w:t>
      </w:r>
    </w:p>
    <w:p>
      <w:pPr>
        <w:numPr>
          <w:ilvl w:val="0"/>
          <w:numId w:val="1026"/>
        </w:numPr>
      </w:pPr>
      <w:r>
        <w:rPr>
          <w:b/>
          <w:bCs/>
        </w:rPr>
        <w:t xml:space="preserve">Target Engineering</w:t>
      </w:r>
      <w:r>
        <w:t xml:space="preserve">: Calculate Biological Age (PhenoAge) for each subject to create a labelled dataset.</w:t>
      </w:r>
    </w:p>
    <w:p>
      <w:pPr>
        <w:numPr>
          <w:ilvl w:val="0"/>
          <w:numId w:val="1026"/>
        </w:numPr>
      </w:pPr>
      <w:r>
        <w:rPr>
          <w:b/>
          <w:bCs/>
        </w:rPr>
        <w:t xml:space="preserve">Feature Engineering</w:t>
      </w:r>
      <w:r>
        <w:t xml:space="preserve">: Extract "Digital Phenotypes" from raw accelerometer data.</w:t>
      </w:r>
    </w:p>
    <w:p>
      <w:pPr>
        <w:numPr>
          <w:ilvl w:val="0"/>
          <w:numId w:val="1026"/>
        </w:numPr>
      </w:pPr>
      <w:r>
        <w:rPr>
          <w:b/>
          <w:bCs/>
        </w:rPr>
        <w:t xml:space="preserve">Modeling</w:t>
      </w:r>
      <w:r>
        <w:t xml:space="preserve">: Train DeepSurv vs CoxPH to predict survival/biological decay.</w:t>
      </w:r>
    </w:p>
    <w:p>
      <w:pPr>
        <w:numPr>
          <w:ilvl w:val="0"/>
          <w:numId w:val="1026"/>
        </w:numPr>
      </w:pPr>
      <w:r>
        <w:rPr>
          <w:b/>
          <w:bCs/>
        </w:rPr>
        <w:t xml:space="preserve">Actuarial Simulation</w:t>
      </w:r>
      <w:r>
        <w:t xml:space="preserve">: Estimate pricing impact (Gini Coefficient).</w:t>
      </w:r>
    </w:p>
    <w:p>
      <w:pPr>
        <w:pStyle w:val="FirstParagraph"/>
      </w:pPr>
      <w:r>
        <w:rPr>
          <w:b/>
          <w:bCs/>
        </w:rPr>
        <w:t xml:space="preserve">3.2. Data Source: NHANES (2017-2018)</w:t>
      </w:r>
    </w:p>
    <w:p>
      <w:pPr>
        <w:pStyle w:val="BodyText"/>
      </w:pPr>
      <w:r>
        <w:t xml:space="preserve">The dataset uses the 2017-2018 (J) cycle of NHANES. This specific cycle is selected because it provides the most recent concurrently available</w:t>
      </w:r>
      <w:r>
        <w:t xml:space="preserve"> </w:t>
      </w:r>
      <w:r>
        <w:rPr>
          <w:b/>
          <w:bCs/>
        </w:rPr>
        <w:t xml:space="preserve">High-Sensitivity C-Reactive Protein (hs-CRP)</w:t>
      </w:r>
      <w:r>
        <w:t xml:space="preserve"> </w:t>
      </w:r>
      <w:r>
        <w:t xml:space="preserve">(critical for PhenoAge) and</w:t>
      </w:r>
      <w:r>
        <w:t xml:space="preserve"> </w:t>
      </w:r>
      <w:r>
        <w:rPr>
          <w:b/>
          <w:bCs/>
        </w:rPr>
        <w:t xml:space="preserve">Wrist-Worn Accelerometry (PAX)</w:t>
      </w:r>
      <w:r>
        <w:t xml:space="preserve"> </w:t>
      </w:r>
      <w:r>
        <w:t xml:space="preserve">data, ensuring alignment with modern wearable standards.</w:t>
      </w:r>
    </w:p>
    <w:p>
      <w:pPr>
        <w:pStyle w:val="BodyText"/>
      </w:pPr>
      <w:r>
        <w:rPr>
          <w:b/>
          <w:bCs/>
        </w:rPr>
        <w:t xml:space="preserve">Table 3.1: NHANES Data Files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Category</w:t>
            </w:r>
          </w:p>
        </w:tc>
        <w:tc>
          <w:tcPr/>
          <w:p>
            <w:pPr>
              <w:pStyle w:val="Compact"/>
            </w:pPr>
            <w:r>
              <w:t xml:space="preserve">File Name</w:t>
            </w:r>
          </w:p>
        </w:tc>
        <w:tc>
          <w:tcPr/>
          <w:p>
            <w:pPr>
              <w:pStyle w:val="Compact"/>
            </w:pPr>
            <w:r>
              <w:t xml:space="preserve">Key Variables Used</w:t>
            </w:r>
          </w:p>
        </w:tc>
        <w:tc>
          <w:tcPr/>
          <w:p>
            <w:pPr>
              <w:pStyle w:val="Compact"/>
            </w:pPr>
            <w:r>
              <w:t xml:space="preserve">Purpose</w:t>
            </w:r>
          </w:p>
        </w:tc>
      </w:tr>
      <w:tr>
        <w:tc>
          <w:tcPr/>
          <w:p>
            <w:pPr>
              <w:pStyle w:val="Compact"/>
            </w:pPr>
            <w:r>
              <w:rPr>
                <w:b/>
                <w:bCs/>
              </w:rPr>
              <w:t xml:space="preserve">Demographics</w:t>
            </w:r>
          </w:p>
        </w:tc>
        <w:tc>
          <w:tcPr/>
          <w:p>
            <w:pPr>
              <w:pStyle w:val="Compact"/>
            </w:pPr>
            <w:r>
              <w:rPr>
                <w:rStyle w:val="VerbatimChar"/>
              </w:rPr>
              <w:t xml:space="preserve">DEMO_J.XPT</w:t>
            </w:r>
          </w:p>
        </w:tc>
        <w:tc>
          <w:tcPr/>
          <w:p>
            <w:pPr>
              <w:pStyle w:val="Compact"/>
            </w:pPr>
            <w:r>
              <w:rPr>
                <w:rStyle w:val="VerbatimChar"/>
              </w:rPr>
              <w:t xml:space="preserve">RIDAGEYR</w:t>
            </w:r>
            <w:r>
              <w:t xml:space="preserve"> </w:t>
            </w:r>
            <w:r>
              <w:t xml:space="preserve">(Age),</w:t>
            </w:r>
            <w:r>
              <w:t xml:space="preserve"> </w:t>
            </w:r>
            <w:r>
              <w:rPr>
                <w:rStyle w:val="VerbatimChar"/>
              </w:rPr>
              <w:t xml:space="preserve">RIAGENDR</w:t>
            </w:r>
            <w:r>
              <w:t xml:space="preserve"> </w:t>
            </w:r>
            <w:r>
              <w:t xml:space="preserve">(Gender)</w:t>
            </w:r>
          </w:p>
        </w:tc>
        <w:tc>
          <w:tcPr/>
          <w:p>
            <w:pPr>
              <w:pStyle w:val="Compact"/>
            </w:pPr>
            <w:r>
              <w:t xml:space="preserve">Basic Policyholder Info</w:t>
            </w:r>
          </w:p>
        </w:tc>
      </w:tr>
      <w:tr>
        <w:tc>
          <w:tcPr/>
          <w:p>
            <w:pPr>
              <w:pStyle w:val="Compact"/>
            </w:pPr>
            <w:r>
              <w:rPr>
                <w:b/>
                <w:bCs/>
              </w:rPr>
              <w:t xml:space="preserve">Biochemistry</w:t>
            </w:r>
          </w:p>
        </w:tc>
        <w:tc>
          <w:tcPr/>
          <w:p>
            <w:pPr>
              <w:pStyle w:val="Compact"/>
            </w:pPr>
            <w:r>
              <w:rPr>
                <w:rStyle w:val="VerbatimChar"/>
              </w:rPr>
              <w:t xml:space="preserve">BIOPRO_J.XPT</w:t>
            </w:r>
          </w:p>
        </w:tc>
        <w:tc>
          <w:tcPr/>
          <w:p>
            <w:pPr>
              <w:pStyle w:val="Compact"/>
            </w:pPr>
            <w:r>
              <w:rPr>
                <w:rStyle w:val="VerbatimChar"/>
              </w:rPr>
              <w:t xml:space="preserve">LBXSAL</w:t>
            </w:r>
            <w:r>
              <w:t xml:space="preserve"> </w:t>
            </w:r>
            <w:r>
              <w:t xml:space="preserve">(Albumin),</w:t>
            </w:r>
            <w:r>
              <w:t xml:space="preserve"> </w:t>
            </w:r>
            <w:r>
              <w:rPr>
                <w:rStyle w:val="VerbatimChar"/>
              </w:rPr>
              <w:t xml:space="preserve">LBXSCR</w:t>
            </w:r>
            <w:r>
              <w:t xml:space="preserve"> </w:t>
            </w:r>
            <w:r>
              <w:t xml:space="preserve">(Creatinine),</w:t>
            </w:r>
            <w:r>
              <w:t xml:space="preserve"> </w:t>
            </w:r>
            <w:r>
              <w:rPr>
                <w:rStyle w:val="VerbatimChar"/>
              </w:rPr>
              <w:t xml:space="preserve">LBXSGL</w:t>
            </w:r>
            <w:r>
              <w:t xml:space="preserve"> </w:t>
            </w:r>
            <w:r>
              <w:t xml:space="preserve">(Glucose)</w:t>
            </w:r>
          </w:p>
        </w:tc>
        <w:tc>
          <w:tcPr/>
          <w:p>
            <w:pPr>
              <w:pStyle w:val="Compact"/>
            </w:pPr>
            <w:r>
              <w:t xml:space="preserve">PhenoAge Calculation</w:t>
            </w:r>
          </w:p>
        </w:tc>
      </w:tr>
      <w:tr>
        <w:tc>
          <w:tcPr/>
          <w:p>
            <w:pPr>
              <w:pStyle w:val="Compact"/>
            </w:pPr>
            <w:r>
              <w:rPr>
                <w:b/>
                <w:bCs/>
              </w:rPr>
              <w:t xml:space="preserve">CBC Profile</w:t>
            </w:r>
          </w:p>
        </w:tc>
        <w:tc>
          <w:tcPr/>
          <w:p>
            <w:pPr>
              <w:pStyle w:val="Compact"/>
            </w:pPr>
            <w:r>
              <w:rPr>
                <w:rStyle w:val="VerbatimChar"/>
              </w:rPr>
              <w:t xml:space="preserve">CBC_J.XPT</w:t>
            </w:r>
          </w:p>
        </w:tc>
        <w:tc>
          <w:tcPr/>
          <w:p>
            <w:pPr>
              <w:pStyle w:val="Compact"/>
            </w:pPr>
            <w:r>
              <w:rPr>
                <w:rStyle w:val="VerbatimChar"/>
              </w:rPr>
              <w:t xml:space="preserve">LBXWBC</w:t>
            </w:r>
            <w:r>
              <w:t xml:space="preserve"> </w:t>
            </w:r>
            <w:r>
              <w:t xml:space="preserve">(White Blood Cells),</w:t>
            </w:r>
            <w:r>
              <w:t xml:space="preserve"> </w:t>
            </w:r>
            <w:r>
              <w:rPr>
                <w:rStyle w:val="VerbatimChar"/>
              </w:rPr>
              <w:t xml:space="preserve">LBXMCV</w:t>
            </w:r>
            <w:r>
              <w:t xml:space="preserve"> </w:t>
            </w:r>
            <w:r>
              <w:t xml:space="preserve">(Mean Cell Vol)</w:t>
            </w:r>
          </w:p>
        </w:tc>
        <w:tc>
          <w:tcPr/>
          <w:p>
            <w:pPr>
              <w:pStyle w:val="Compact"/>
            </w:pPr>
            <w:r>
              <w:t xml:space="preserve">PhenoAge Calculation</w:t>
            </w:r>
          </w:p>
        </w:tc>
      </w:tr>
      <w:tr>
        <w:tc>
          <w:tcPr/>
          <w:p>
            <w:pPr>
              <w:pStyle w:val="Compact"/>
            </w:pPr>
            <w:r>
              <w:rPr>
                <w:b/>
                <w:bCs/>
              </w:rPr>
              <w:t xml:space="preserve">Inflammation</w:t>
            </w:r>
          </w:p>
        </w:tc>
        <w:tc>
          <w:tcPr/>
          <w:p>
            <w:pPr>
              <w:pStyle w:val="Compact"/>
            </w:pPr>
            <w:r>
              <w:rPr>
                <w:rStyle w:val="VerbatimChar"/>
              </w:rPr>
              <w:t xml:space="preserve">HSCRP_J.XPT</w:t>
            </w:r>
          </w:p>
        </w:tc>
        <w:tc>
          <w:tcPr/>
          <w:p>
            <w:pPr>
              <w:pStyle w:val="Compact"/>
            </w:pPr>
            <w:r>
              <w:rPr>
                <w:rStyle w:val="VerbatimChar"/>
              </w:rPr>
              <w:t xml:space="preserve">LBXHSCRP</w:t>
            </w:r>
            <w:r>
              <w:t xml:space="preserve"> </w:t>
            </w:r>
            <w:r>
              <w:t xml:space="preserve">(High-Sensitivity CRP)</w:t>
            </w:r>
          </w:p>
        </w:tc>
        <w:tc>
          <w:tcPr/>
          <w:p>
            <w:pPr>
              <w:pStyle w:val="Compact"/>
            </w:pPr>
            <w:r>
              <w:t xml:space="preserve">PhenoAge Calculation</w:t>
            </w:r>
          </w:p>
        </w:tc>
      </w:tr>
      <w:tr>
        <w:tc>
          <w:tcPr/>
          <w:p>
            <w:pPr>
              <w:pStyle w:val="Compact"/>
            </w:pPr>
            <w:r>
              <w:rPr>
                <w:b/>
                <w:bCs/>
              </w:rPr>
              <w:t xml:space="preserve">Wearables</w:t>
            </w:r>
          </w:p>
        </w:tc>
        <w:tc>
          <w:tcPr/>
          <w:p>
            <w:pPr>
              <w:pStyle w:val="Compact"/>
            </w:pPr>
            <w:r>
              <w:rPr>
                <w:rStyle w:val="VerbatimChar"/>
              </w:rPr>
              <w:t xml:space="preserve">PAXMIN_J.XPT</w:t>
            </w:r>
          </w:p>
        </w:tc>
        <w:tc>
          <w:tcPr/>
          <w:p>
            <w:pPr>
              <w:pStyle w:val="Compact"/>
            </w:pPr>
            <w:r>
              <w:rPr>
                <w:rStyle w:val="VerbatimChar"/>
              </w:rPr>
              <w:t xml:space="preserve">PAXINT</w:t>
            </w:r>
            <w:r>
              <w:t xml:space="preserve"> </w:t>
            </w:r>
            <w:r>
              <w:t xml:space="preserve">(Minute Intensity),</w:t>
            </w:r>
            <w:r>
              <w:t xml:space="preserve"> </w:t>
            </w:r>
            <w:r>
              <w:rPr>
                <w:rStyle w:val="VerbatimChar"/>
              </w:rPr>
              <w:t xml:space="preserve">PAXSTEP</w:t>
            </w:r>
            <w:r>
              <w:t xml:space="preserve"> </w:t>
            </w:r>
            <w:r>
              <w:t xml:space="preserve">(Step Count)</w:t>
            </w:r>
          </w:p>
        </w:tc>
        <w:tc>
          <w:tcPr/>
          <w:p>
            <w:pPr>
              <w:pStyle w:val="Compact"/>
            </w:pPr>
            <w:r>
              <w:t xml:space="preserve">Digital Biomarkers</w:t>
            </w:r>
          </w:p>
        </w:tc>
      </w:tr>
    </w:tbl>
    <w:p>
      <w:pPr>
        <w:pStyle w:val="BodyText"/>
      </w:pPr>
      <w:r>
        <w:rPr>
          <w:b/>
          <w:bCs/>
        </w:rPr>
        <w:t xml:space="preserve">3.3. Data Pre-processing and Feature Engineering</w:t>
      </w:r>
    </w:p>
    <w:p>
      <w:pPr>
        <w:pStyle w:val="BodyText"/>
      </w:pPr>
      <w:r>
        <w:rPr>
          <w:b/>
          <w:bCs/>
        </w:rPr>
        <w:t xml:space="preserve">3.3.1. Biomarker Normalization</w:t>
      </w:r>
      <w:r>
        <w:br/>
      </w:r>
      <w:r>
        <w:t xml:space="preserve">NHANES laboratory data requires rigorous cleaning. Specifically,</w:t>
      </w:r>
      <w:r>
        <w:t xml:space="preserve"> </w:t>
      </w:r>
      <w:r>
        <w:rPr>
          <w:rStyle w:val="VerbatimChar"/>
        </w:rPr>
        <w:t xml:space="preserve">hs-CRP</w:t>
      </w:r>
      <w:r>
        <w:t xml:space="preserve"> </w:t>
      </w:r>
      <w:r>
        <w:t xml:space="preserve">values are often right-skewed and require log-transformation (</w:t>
      </w:r>
      <w:r>
        <w:rPr>
          <w:rStyle w:val="VerbatimChar"/>
        </w:rPr>
        <w:t xml:space="preserve">ln(CRP)</w:t>
      </w:r>
      <w:r>
        <w:t xml:space="preserve">) as specified by Levine et al. Missing values for biomarkers (&lt;5% missingness) are imputed using Median Imputation to preserve sample size.</w:t>
      </w:r>
    </w:p>
    <w:p>
      <w:pPr>
        <w:pStyle w:val="BodyText"/>
      </w:pPr>
      <w:r>
        <w:rPr>
          <w:b/>
          <w:bCs/>
        </w:rPr>
        <w:t xml:space="preserve">3.3.2. Wearable Feature Extraction</w:t>
      </w:r>
      <w:r>
        <w:br/>
      </w:r>
      <w:r>
        <w:t xml:space="preserve">The raw data consists of minute-level intensity values (MIMS units) for 7 days. We aggregate this high-frequency data into daily summaries:</w:t>
      </w:r>
    </w:p>
    <w:p>
      <w:pPr>
        <w:numPr>
          <w:ilvl w:val="0"/>
          <w:numId w:val="1027"/>
        </w:numPr>
      </w:pPr>
      <w:r>
        <w:rPr>
          <w:b/>
          <w:bCs/>
        </w:rPr>
        <w:t xml:space="preserve">Total Activity Volume</w:t>
      </w:r>
      <w:r>
        <w:t xml:space="preserve">: Sum of daily MIMS.</w:t>
      </w:r>
    </w:p>
    <w:p>
      <w:pPr>
        <w:numPr>
          <w:ilvl w:val="0"/>
          <w:numId w:val="1027"/>
        </w:numPr>
      </w:pPr>
      <w:r>
        <w:rPr>
          <w:b/>
          <w:bCs/>
        </w:rPr>
        <w:t xml:space="preserve">Intensity Distribution</w:t>
      </w:r>
      <w:r>
        <w:t xml:space="preserve">: Time spent in Sedentary, Light, Moderate, and Vigorous zones (based on distinct MIMS thresholds).</w:t>
      </w:r>
    </w:p>
    <w:p>
      <w:pPr>
        <w:numPr>
          <w:ilvl w:val="0"/>
          <w:numId w:val="1027"/>
        </w:numPr>
      </w:pPr>
      <w:r>
        <w:rPr>
          <w:b/>
          <w:bCs/>
        </w:rPr>
        <w:t xml:space="preserve">Movement Fragmentation</w:t>
      </w:r>
      <w:r>
        <w:t xml:space="preserve">: A metric of movement continuity (transition probability between active/rest states), which research suggests is predictive of frailty.</w:t>
      </w:r>
    </w:p>
    <w:p>
      <w:pPr>
        <w:pStyle w:val="FirstParagraph"/>
      </w:pPr>
      <w:r>
        <w:rPr>
          <w:b/>
          <w:bCs/>
        </w:rPr>
        <w:t xml:space="preserve">3.4. Biological Age Engineering (Target Variable)</w:t>
      </w:r>
    </w:p>
    <w:p>
      <w:pPr>
        <w:pStyle w:val="BodyText"/>
      </w:pPr>
      <w:r>
        <w:t xml:space="preserve">We implement the exact</w:t>
      </w:r>
      <w:r>
        <w:t xml:space="preserve"> </w:t>
      </w:r>
      <w:r>
        <w:rPr>
          <w:b/>
          <w:bCs/>
        </w:rPr>
        <w:t xml:space="preserve">Phenotypic Age</w:t>
      </w:r>
      <w:r>
        <w:t xml:space="preserve"> </w:t>
      </w:r>
      <w:r>
        <w:t xml:space="preserve">algorithm (Levine et al., 2018). This involves a two-step calculation using the coefficients reported in</w:t>
      </w:r>
      <w:r>
        <w:t xml:space="preserve"> </w:t>
      </w:r>
      <w:r>
        <w:rPr>
          <w:b/>
          <w:bCs/>
        </w:rPr>
        <w:t xml:space="preserve">Table 1</w:t>
      </w:r>
      <w:r>
        <w:t xml:space="preserve"> </w:t>
      </w:r>
      <w:r>
        <w:t xml:space="preserve">of the original publication:</w:t>
      </w:r>
    </w:p>
    <w:p>
      <w:pPr>
        <w:pStyle w:val="BodyText"/>
      </w:pPr>
      <w:r>
        <w:rPr>
          <w:b/>
          <w:bCs/>
        </w:rPr>
        <w:t xml:space="preserve">Step 1: Calculate Mortality Score (xb)</w:t>
      </w:r>
      <w:r>
        <w:br/>
      </w:r>
      <w:r>
        <w:t xml:space="preserve">Using the weighted sum of 9 biomarkers and chronological age:</w:t>
      </w:r>
    </w:p>
    <w:p>
      <w:pPr>
        <w:pStyle w:val="BodyText"/>
      </w:pPr>
      <w:r>
        <w:rPr>
          <w:rStyle w:val="VerbatimChar"/>
        </w:rPr>
        <w:t xml:space="preserve">xb = -19.907 - 0.0336(Albumin) + 0.0095(Creatinine) + 0.1953(Glucose) + 0.0954(ln(CRP)) - 0.0120(Lymph%) + 0.0268(MCV) + 0.3306(RDW) + 0.00188(ALP) + 0.0554(WBC) + 0.0804(ChronologicalAge)</w:t>
      </w:r>
    </w:p>
    <w:p>
      <w:pPr>
        <w:pStyle w:val="BodyText"/>
      </w:pPr>
      <w:r>
        <w:rPr>
          <w:b/>
          <w:bCs/>
        </w:rPr>
        <w:t xml:space="preserve">Step 2: Convert to PhenoAge</w:t>
      </w:r>
      <w:r>
        <w:br/>
      </w:r>
      <w:r>
        <w:rPr>
          <w:rStyle w:val="VerbatimChar"/>
        </w:rPr>
        <w:t xml:space="preserve">PhenoAge = 141.50 + ln(-ln(1 - e^xb) / 0.0095) / 0.09165</w:t>
      </w:r>
    </w:p>
    <w:p>
      <w:pPr>
        <w:pStyle w:val="BodyText"/>
      </w:pPr>
      <w:r>
        <w:t xml:space="preserve">This calculated</w:t>
      </w:r>
      <w:r>
        <w:t xml:space="preserve"> </w:t>
      </w:r>
      <w:r>
        <w:rPr>
          <w:rStyle w:val="VerbatimChar"/>
        </w:rPr>
        <w:t xml:space="preserve">PhenoAge</w:t>
      </w:r>
      <w:r>
        <w:t xml:space="preserve"> </w:t>
      </w:r>
      <w:r>
        <w:t xml:space="preserve">serves as the target variable. The difference (</w:t>
      </w:r>
      <w:r>
        <w:rPr>
          <w:rStyle w:val="VerbatimChar"/>
        </w:rPr>
        <w:t xml:space="preserve">PhenoAge - ChronologicalAge</w:t>
      </w:r>
      <w:r>
        <w:t xml:space="preserve">) represents the "Age Acceleration" we seek to predict with wearables.</w:t>
      </w:r>
    </w:p>
    <w:p>
      <w:pPr>
        <w:pStyle w:val="BodyText"/>
      </w:pPr>
      <w:r>
        <w:rPr>
          <w:b/>
          <w:bCs/>
        </w:rPr>
        <w:t xml:space="preserve">3.3.3. Cross-Population Validity and Calibration (Methodological Defense)</w:t>
      </w:r>
    </w:p>
    <w:p>
      <w:pPr>
        <w:pStyle w:val="BodyText"/>
      </w:pPr>
      <w:r>
        <w:t xml:space="preserve">A critical methodological challenge is the use of U.S.-based NHANES data as a proxy for the Egyptian population. We address this via a valid</w:t>
      </w:r>
      <w:r>
        <w:t xml:space="preserve"> </w:t>
      </w:r>
      <w:r>
        <w:rPr>
          <w:b/>
          <w:bCs/>
        </w:rPr>
        <w:t xml:space="preserve">"Biological Universality"</w:t>
      </w:r>
      <w:r>
        <w:t xml:space="preserve"> </w:t>
      </w:r>
      <w:r>
        <w:t xml:space="preserve">assumption:</w:t>
      </w:r>
    </w:p>
    <w:p>
      <w:pPr>
        <w:numPr>
          <w:ilvl w:val="0"/>
          <w:numId w:val="1028"/>
        </w:numPr>
      </w:pPr>
      <w:r>
        <w:rPr>
          <w:b/>
          <w:bCs/>
        </w:rPr>
        <w:t xml:space="preserve">Physiological Mechanisms</w:t>
      </w:r>
      <w:r>
        <w:t xml:space="preserve">: The biological relationship between physical inactivity (sedentary behavior) and mortality risk is universal across human populations (World Health Organization, 2020).</w:t>
      </w:r>
    </w:p>
    <w:p>
      <w:pPr>
        <w:numPr>
          <w:ilvl w:val="0"/>
          <w:numId w:val="1028"/>
        </w:numPr>
      </w:pPr>
      <w:r>
        <w:rPr>
          <w:b/>
          <w:bCs/>
        </w:rPr>
        <w:t xml:space="preserve">Calibration Strategy</w:t>
      </w:r>
      <w:r>
        <w:t xml:space="preserve">: While the</w:t>
      </w:r>
      <w:r>
        <w:t xml:space="preserve"> </w:t>
      </w:r>
      <w:r>
        <w:rPr>
          <w:i/>
          <w:iCs/>
        </w:rPr>
        <w:t xml:space="preserve">relative risk</w:t>
      </w:r>
      <w:r>
        <w:t xml:space="preserve"> </w:t>
      </w:r>
      <w:r>
        <w:t xml:space="preserve">(Hazard Ratios) derived from NHANES is transferable, the</w:t>
      </w:r>
      <w:r>
        <w:t xml:space="preserve"> </w:t>
      </w:r>
      <w:r>
        <w:rPr>
          <w:i/>
          <w:iCs/>
        </w:rPr>
        <w:t xml:space="preserve">baseline hazard</w:t>
      </w:r>
      <w:r>
        <w:t xml:space="preserve"> </w:t>
      </w:r>
      <w:r>
        <w:t xml:space="preserve">(h0) must be calibrated to local mortality tables.</w:t>
      </w:r>
    </w:p>
    <w:p>
      <w:pPr>
        <w:numPr>
          <w:ilvl w:val="0"/>
          <w:numId w:val="1028"/>
        </w:numPr>
      </w:pPr>
      <w:r>
        <w:rPr>
          <w:b/>
          <w:bCs/>
        </w:rPr>
        <w:t xml:space="preserve">Proposed Methodology</w:t>
      </w:r>
      <w:r>
        <w:t xml:space="preserve">: We apply an</w:t>
      </w:r>
      <w:r>
        <w:t xml:space="preserve"> </w:t>
      </w:r>
      <w:r>
        <w:rPr>
          <w:b/>
          <w:bCs/>
        </w:rPr>
        <w:t xml:space="preserve">Empirical Calibration</w:t>
      </w:r>
      <w:r>
        <w:t xml:space="preserve"> </w:t>
      </w:r>
      <w:r>
        <w:t xml:space="preserve">step where the mean and standard deviation of the predicted "Age Acceleration" are normalized to match the expected distribution of the target Egyptian demographic. This ensures that while the</w:t>
      </w:r>
      <w:r>
        <w:t xml:space="preserve"> </w:t>
      </w:r>
      <w:r>
        <w:rPr>
          <w:i/>
          <w:iCs/>
        </w:rPr>
        <w:t xml:space="preserve">ranking</w:t>
      </w:r>
      <w:r>
        <w:t xml:space="preserve"> </w:t>
      </w:r>
      <w:r>
        <w:t xml:space="preserve">of risk remains accurate (preserving the Gini coefficient), the absolute premium levels are appropriate for the local market.</w:t>
      </w:r>
    </w:p>
    <w:p>
      <w:pPr>
        <w:pStyle w:val="FirstParagraph"/>
      </w:pPr>
      <w:r>
        <w:t xml:space="preserve">We compare two primary survival models to predict the hazard of biological aging:</w:t>
      </w:r>
    </w:p>
    <w:p>
      <w:pPr>
        <w:pStyle w:val="BodyText"/>
      </w:pPr>
      <w:r>
        <w:rPr>
          <w:b/>
          <w:bCs/>
        </w:rPr>
        <w:t xml:space="preserve">1. Baseline: Cox Proportional Hazards (CoxPH)</w:t>
      </w:r>
    </w:p>
    <w:p>
      <w:pPr>
        <w:numPr>
          <w:ilvl w:val="0"/>
          <w:numId w:val="1029"/>
        </w:numPr>
      </w:pPr>
      <w:r>
        <w:rPr>
          <w:i/>
          <w:iCs/>
        </w:rPr>
        <w:t xml:space="preserve">Implementation</w:t>
      </w:r>
      <w:r>
        <w:t xml:space="preserve">:</w:t>
      </w:r>
      <w:r>
        <w:t xml:space="preserve"> </w:t>
      </w:r>
      <w:r>
        <w:rPr>
          <w:rStyle w:val="VerbatimChar"/>
        </w:rPr>
        <w:t xml:space="preserve">lifelines</w:t>
      </w:r>
      <w:r>
        <w:t xml:space="preserve"> </w:t>
      </w:r>
      <w:r>
        <w:t xml:space="preserve">Python library.</w:t>
      </w:r>
    </w:p>
    <w:p>
      <w:pPr>
        <w:numPr>
          <w:ilvl w:val="0"/>
          <w:numId w:val="1029"/>
        </w:numPr>
      </w:pPr>
      <w:r>
        <w:rPr>
          <w:i/>
          <w:iCs/>
        </w:rPr>
        <w:t xml:space="preserve">Purpose</w:t>
      </w:r>
      <w:r>
        <w:t xml:space="preserve">: Establish a linear baseline. This represents the "traditional" actuarial approach.</w:t>
      </w:r>
    </w:p>
    <w:p>
      <w:pPr>
        <w:pStyle w:val="FirstParagraph"/>
      </w:pPr>
      <w:r>
        <w:rPr>
          <w:b/>
          <w:bCs/>
        </w:rPr>
        <w:t xml:space="preserve">2. Modern Benchmark: XGBoost Survival (XGBAge)</w:t>
      </w:r>
    </w:p>
    <w:p>
      <w:pPr>
        <w:numPr>
          <w:ilvl w:val="0"/>
          <w:numId w:val="1030"/>
        </w:numPr>
      </w:pPr>
      <w:r>
        <w:rPr>
          <w:i/>
          <w:iCs/>
        </w:rPr>
        <w:t xml:space="preserve">Implementation</w:t>
      </w:r>
      <w:r>
        <w:t xml:space="preserve">:</w:t>
      </w:r>
      <w:r>
        <w:t xml:space="preserve"> </w:t>
      </w:r>
      <w:r>
        <w:rPr>
          <w:rStyle w:val="VerbatimChar"/>
        </w:rPr>
        <w:t xml:space="preserve">xgboost</w:t>
      </w:r>
      <w:r>
        <w:t xml:space="preserve"> </w:t>
      </w:r>
      <w:r>
        <w:t xml:space="preserve">Python library (AFT/Cox objective).</w:t>
      </w:r>
    </w:p>
    <w:p>
      <w:pPr>
        <w:numPr>
          <w:ilvl w:val="0"/>
          <w:numId w:val="1030"/>
        </w:numPr>
      </w:pPr>
      <w:r>
        <w:rPr>
          <w:i/>
          <w:iCs/>
        </w:rPr>
        <w:t xml:space="preserve">Purpose</w:t>
      </w:r>
      <w:r>
        <w:t xml:space="preserve">: To represent the current non-neural network state-of-the-art (SOTA). XGBoost is known for handling tabular/structured data often better than neural networks and serves as a rigorous benchmark for DeepSurv.</w:t>
      </w:r>
    </w:p>
    <w:p>
      <w:pPr>
        <w:pStyle w:val="FirstParagraph"/>
      </w:pPr>
      <w:r>
        <w:rPr>
          <w:b/>
          <w:bCs/>
        </w:rPr>
        <w:t xml:space="preserve">3. Advanced: DeepSurv (Deep Learning)</w:t>
      </w:r>
    </w:p>
    <w:p>
      <w:pPr>
        <w:numPr>
          <w:ilvl w:val="0"/>
          <w:numId w:val="1031"/>
        </w:numPr>
      </w:pPr>
      <w:r>
        <w:rPr>
          <w:i/>
          <w:iCs/>
        </w:rPr>
        <w:t xml:space="preserve">Implementation</w:t>
      </w:r>
      <w:r>
        <w:t xml:space="preserve">:</w:t>
      </w:r>
      <w:r>
        <w:t xml:space="preserve"> </w:t>
      </w:r>
      <w:r>
        <w:rPr>
          <w:rStyle w:val="VerbatimChar"/>
        </w:rPr>
        <w:t xml:space="preserve">pycox</w:t>
      </w:r>
      <w:r>
        <w:t xml:space="preserve"> </w:t>
      </w:r>
      <w:r>
        <w:t xml:space="preserve">(PyTorch-based) library.</w:t>
      </w:r>
    </w:p>
    <w:p>
      <w:pPr>
        <w:numPr>
          <w:ilvl w:val="0"/>
          <w:numId w:val="1031"/>
        </w:numPr>
      </w:pPr>
      <w:r>
        <w:rPr>
          <w:i/>
          <w:iCs/>
        </w:rPr>
        <w:t xml:space="preserve">Architecture</w:t>
      </w:r>
      <w:r>
        <w:t xml:space="preserve">: Multi-Layer Perceptron (MLP).</w:t>
      </w:r>
    </w:p>
    <w:p>
      <w:pPr>
        <w:numPr>
          <w:ilvl w:val="1"/>
          <w:numId w:val="1032"/>
        </w:numPr>
      </w:pPr>
      <w:r>
        <w:rPr>
          <w:b/>
          <w:bCs/>
        </w:rPr>
        <w:t xml:space="preserve">Input Layer</w:t>
      </w:r>
      <w:r>
        <w:t xml:space="preserve">: 15 Wearable Features (Intensity, Steps, Fragmentation) + Age + Gender.</w:t>
      </w:r>
    </w:p>
    <w:p>
      <w:pPr>
        <w:numPr>
          <w:ilvl w:val="1"/>
          <w:numId w:val="1032"/>
        </w:numPr>
      </w:pPr>
      <w:r>
        <w:rPr>
          <w:b/>
          <w:bCs/>
        </w:rPr>
        <w:t xml:space="preserve">Hidden Layers</w:t>
      </w:r>
      <w:r>
        <w:t xml:space="preserve">: 2 layers of 32 nodes each, allowing the model to learn non-linear representations.</w:t>
      </w:r>
    </w:p>
    <w:p>
      <w:pPr>
        <w:numPr>
          <w:ilvl w:val="1"/>
          <w:numId w:val="1032"/>
        </w:numPr>
      </w:pPr>
      <w:r>
        <w:rPr>
          <w:b/>
          <w:bCs/>
        </w:rPr>
        <w:t xml:space="preserve">Activation</w:t>
      </w:r>
      <w:r>
        <w:t xml:space="preserve">: ReLU (Rectified Linear Unit).</w:t>
      </w:r>
    </w:p>
    <w:p>
      <w:pPr>
        <w:numPr>
          <w:ilvl w:val="1"/>
          <w:numId w:val="1032"/>
        </w:numPr>
      </w:pPr>
      <w:r>
        <w:rPr>
          <w:b/>
          <w:bCs/>
        </w:rPr>
        <w:t xml:space="preserve">Regularization</w:t>
      </w:r>
      <w:r>
        <w:t xml:space="preserve">: Batch Normalization and Dropout (0.1) to prevent overfitting.</w:t>
      </w:r>
    </w:p>
    <w:p>
      <w:pPr>
        <w:numPr>
          <w:ilvl w:val="0"/>
          <w:numId w:val="1031"/>
        </w:numPr>
      </w:pPr>
      <w:r>
        <w:rPr>
          <w:i/>
          <w:iCs/>
        </w:rPr>
        <w:t xml:space="preserve">Loss Function</w:t>
      </w:r>
      <w:r>
        <w:t xml:space="preserve">: Cox Partial Log-Likelihood.</w:t>
      </w:r>
      <w:r>
        <w:br/>
      </w:r>
      <w:r>
        <w:t xml:space="preserve">The model minimizes the negative partial log-likelihood:</w:t>
      </w:r>
      <w:r>
        <w:br/>
      </w:r>
      <w:r>
        <w:rPr>
          <w:rStyle w:val="VerbatimChar"/>
        </w:rPr>
        <w:t xml:space="preserve">Loss(θ) = - Σ (h_θ(x_i) - log(Σ exp(h_θ(x_j))))</w:t>
      </w:r>
      <w:r>
        <w:br/>
      </w:r>
      <w:r>
        <w:t xml:space="preserve">Where the outer sum is over the set of events (deaths) and the inner sum is over the "risk set" (all individuals still alive at the time of the event).</w:t>
      </w:r>
    </w:p>
    <w:p>
      <w:pPr>
        <w:pStyle w:val="FirstParagraph"/>
      </w:pPr>
      <w:r>
        <w:rPr>
          <w:b/>
          <w:bCs/>
        </w:rPr>
        <w:t xml:space="preserve">3.6. Evaluation Methods and Metrics</w:t>
      </w:r>
    </w:p>
    <w:p>
      <w:pPr>
        <w:pStyle w:val="BodyText"/>
      </w:pPr>
      <w:r>
        <w:t xml:space="preserve">To ensure robustness, models are evaluated using 5-Fold Cross-Validation:</w:t>
      </w:r>
    </w:p>
    <w:p>
      <w:pPr>
        <w:numPr>
          <w:ilvl w:val="0"/>
          <w:numId w:val="1033"/>
        </w:numPr>
      </w:pPr>
      <w:r>
        <w:rPr>
          <w:b/>
          <w:bCs/>
        </w:rPr>
        <w:t xml:space="preserve">Concordance Index (C-Index)</w:t>
      </w:r>
      <w:r>
        <w:t xml:space="preserve">: A generalization of the AUC metric for survival data. It measures the probability that, given two randomly selected patients, the model correctly predicts who will die sooner.</w:t>
      </w:r>
    </w:p>
    <w:p>
      <w:pPr>
        <w:numPr>
          <w:ilvl w:val="1"/>
          <w:numId w:val="1034"/>
        </w:numPr>
      </w:pPr>
      <w:r>
        <w:rPr>
          <w:i/>
          <w:iCs/>
        </w:rPr>
        <w:t xml:space="preserve">Interpretation</w:t>
      </w:r>
      <w:r>
        <w:t xml:space="preserve">: C-Index = 0.5 (Random), C-Index &gt; 0.7 (Good), C-Index &gt; 0.8 (Strong).</w:t>
      </w:r>
    </w:p>
    <w:p>
      <w:pPr>
        <w:numPr>
          <w:ilvl w:val="1"/>
          <w:numId w:val="1034"/>
        </w:numPr>
      </w:pPr>
      <w:r>
        <w:rPr>
          <w:i/>
          <w:iCs/>
        </w:rPr>
        <w:t xml:space="preserve">Hypothesis</w:t>
      </w:r>
      <w:r>
        <w:t xml:space="preserve">:</w:t>
      </w:r>
      <w:r>
        <w:t xml:space="preserve"> </w:t>
      </w:r>
      <w:r>
        <w:rPr>
          <w:rStyle w:val="VerbatimChar"/>
        </w:rPr>
        <w:t xml:space="preserve">C-Index(DeepSurv) &gt; C-Index(XGBAge) &gt; C-Index(CoxPH)</w:t>
      </w:r>
      <w:r>
        <w:t xml:space="preserve">.</w:t>
      </w:r>
    </w:p>
    <w:p>
      <w:pPr>
        <w:numPr>
          <w:ilvl w:val="0"/>
          <w:numId w:val="1033"/>
        </w:numPr>
      </w:pPr>
      <w:r>
        <w:rPr>
          <w:b/>
          <w:bCs/>
        </w:rPr>
        <w:t xml:space="preserve">Actuarial Gini Coefficient</w:t>
      </w:r>
      <w:r>
        <w:t xml:space="preserve">: A business-centric metric. We calculate the Gini coefficient of the predicted risk scores to measure "Separation Power."</w:t>
      </w:r>
    </w:p>
    <w:p>
      <w:pPr>
        <w:numPr>
          <w:ilvl w:val="1"/>
          <w:numId w:val="1035"/>
        </w:numPr>
      </w:pPr>
      <w:r>
        <w:rPr>
          <w:i/>
          <w:iCs/>
        </w:rPr>
        <w:t xml:space="preserve">Actuarial Relevance</w:t>
      </w:r>
      <w:r>
        <w:t xml:space="preserve">: In this study, a higher Gini coefficient signifies superior "Risk Separation Power." It quantifies the model's efficiency in distinguishing between low-risk policyholders (who deserve premium discounts) and high-risk applicants, thereby minimizing the subsidization inherent in traditional pools.</w:t>
      </w:r>
    </w:p>
    <w:p>
      <w:pPr>
        <w:pStyle w:val="FirstParagraph"/>
      </w:pPr>
      <w:r>
        <w:rPr>
          <w:b/>
          <w:bCs/>
        </w:rPr>
        <w:t xml:space="preserve">3.7. Sensitivity Analysis</w:t>
      </w:r>
      <w:r>
        <w:br/>
      </w:r>
      <w:r>
        <w:t xml:space="preserve">A sensitivity analysis will be conducted to assess the robustness of the model's performance and actuarial implications to variations in key assumptions, such as biomarker imputation methods and the threshold for defining "accelerated agers." This will provide insights into the stability of the findings under different data conditions.</w:t>
      </w:r>
    </w:p>
    <w:p>
      <w:pPr>
        <w:pStyle w:val="BodyText"/>
      </w:pPr>
      <w:r>
        <w:rPr>
          <w:b/>
          <w:bCs/>
        </w:rPr>
        <w:t xml:space="preserve">3.8. Methodological Note: Use of Synthetic Data for Proof of Concept</w:t>
      </w:r>
    </w:p>
    <w:p>
      <w:pPr>
        <w:pStyle w:val="BodyText"/>
      </w:pPr>
      <w:r>
        <w:t xml:space="preserve">This research employs synthetic wearable data to demonstrate the DeepSurv model architecture and pricing framework. This methodological choice is well-established in machine learning research and healthcare applications for several academically validated reasons:</w:t>
      </w:r>
    </w:p>
    <w:p>
      <w:pPr>
        <w:pStyle w:val="BodyText"/>
      </w:pPr>
      <w:r>
        <w:rPr>
          <w:b/>
          <w:bCs/>
        </w:rPr>
        <w:t xml:space="preserve">3.8.1. Academic Justification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Justification</w:t>
            </w:r>
          </w:p>
        </w:tc>
        <w:tc>
          <w:tcPr/>
          <w:p>
            <w:pPr>
              <w:pStyle w:val="Compact"/>
            </w:pPr>
            <w:r>
              <w:t xml:space="preserve">Supporting Evidence</w:t>
            </w:r>
          </w:p>
        </w:tc>
      </w:tr>
      <w:tr>
        <w:tc>
          <w:tcPr/>
          <w:p>
            <w:pPr>
              <w:pStyle w:val="Compact"/>
            </w:pPr>
            <w:r>
              <w:rPr>
                <w:b/>
                <w:bCs/>
              </w:rPr>
              <w:t xml:space="preserve">Privacy Preservation</w:t>
            </w:r>
          </w:p>
        </w:tc>
        <w:tc>
          <w:tcPr/>
          <w:p>
            <w:pPr>
              <w:pStyle w:val="Compact"/>
            </w:pPr>
            <w:r>
              <w:t xml:space="preserve">Synthetic data addresses HIPAA and GDPR compliance by removing direct links to real individuals (Chen et al., 2021; NIH Guidelines, 2023)</w:t>
            </w:r>
          </w:p>
        </w:tc>
      </w:tr>
      <w:tr>
        <w:tc>
          <w:tcPr/>
          <w:p>
            <w:pPr>
              <w:pStyle w:val="Compact"/>
            </w:pPr>
            <w:r>
              <w:rPr>
                <w:b/>
                <w:bCs/>
              </w:rPr>
              <w:t xml:space="preserve">Proof of Concept Standards</w:t>
            </w:r>
          </w:p>
        </w:tc>
        <w:tc>
          <w:tcPr/>
          <w:p>
            <w:pPr>
              <w:pStyle w:val="Compact"/>
            </w:pPr>
            <w:r>
              <w:t xml:space="preserve">Industry leaders (JPMorgan, Google) use synthetic data sandboxes to accelerate PoCs before production deployment (Gartner, 2023)</w:t>
            </w:r>
          </w:p>
        </w:tc>
      </w:tr>
      <w:tr>
        <w:tc>
          <w:tcPr/>
          <w:p>
            <w:pPr>
              <w:pStyle w:val="Compact"/>
            </w:pPr>
            <w:r>
              <w:rPr>
                <w:b/>
                <w:bCs/>
              </w:rPr>
              <w:t xml:space="preserve">Statistical Validity</w:t>
            </w:r>
          </w:p>
        </w:tc>
        <w:tc>
          <w:tcPr/>
          <w:p>
            <w:pPr>
              <w:pStyle w:val="Compact"/>
            </w:pPr>
            <w:r>
              <w:t xml:space="preserve">High-quality synthetic data achieves 90%+ statistical accuracy and model performance within 5-15% of real data (BlueGen.ai, 2024)</w:t>
            </w:r>
          </w:p>
        </w:tc>
      </w:tr>
      <w:tr>
        <w:tc>
          <w:tcPr/>
          <w:p>
            <w:pPr>
              <w:pStyle w:val="Compact"/>
            </w:pPr>
            <w:r>
              <w:rPr>
                <w:b/>
                <w:bCs/>
              </w:rPr>
              <w:t xml:space="preserve">Regulatory Acceptance</w:t>
            </w:r>
          </w:p>
        </w:tc>
        <w:tc>
          <w:tcPr/>
          <w:p>
            <w:pPr>
              <w:pStyle w:val="Compact"/>
            </w:pPr>
            <w:r>
              <w:t xml:space="preserve">Synthetic data is not considered PHI under HIPAA when properly generated (HHS Guidelines, 2022)</w:t>
            </w:r>
          </w:p>
        </w:tc>
      </w:tr>
    </w:tbl>
    <w:p>
      <w:pPr>
        <w:pStyle w:val="BodyText"/>
      </w:pPr>
      <w:r>
        <w:rPr>
          <w:b/>
          <w:bCs/>
        </w:rPr>
        <w:t xml:space="preserve">3.8.2. Gartner Prediction</w:t>
      </w:r>
    </w:p>
    <w:p>
      <w:pPr>
        <w:pStyle w:val="BlockText"/>
      </w:pPr>
      <w:r>
        <w:t xml:space="preserve">"By 2030, synthetic data will surpass real data in its use for developing AI models" — Gartner Research, 2023</w:t>
      </w:r>
    </w:p>
    <w:p>
      <w:pPr>
        <w:pStyle w:val="FirstParagraph"/>
      </w:pPr>
      <w:r>
        <w:rPr>
          <w:b/>
          <w:bCs/>
        </w:rPr>
        <w:t xml:space="preserve">3.8.3. Study Design</w:t>
      </w:r>
      <w:r>
        <w:br/>
      </w:r>
      <w:r>
        <w:t xml:space="preserve">In this thesis, synthetic data is used specifically for:</w:t>
      </w:r>
    </w:p>
    <w:p>
      <w:pPr>
        <w:numPr>
          <w:ilvl w:val="0"/>
          <w:numId w:val="1036"/>
        </w:numPr>
      </w:pPr>
      <w:r>
        <w:rPr>
          <w:b/>
          <w:bCs/>
        </w:rPr>
        <w:t xml:space="preserve">Architecture Demonstration</w:t>
      </w:r>
      <w:r>
        <w:t xml:space="preserve">: Validating that DeepSurv can learn non-linear survival patterns from wearable features</w:t>
      </w:r>
    </w:p>
    <w:p>
      <w:pPr>
        <w:numPr>
          <w:ilvl w:val="0"/>
          <w:numId w:val="1036"/>
        </w:numPr>
      </w:pPr>
      <w:r>
        <w:rPr>
          <w:b/>
          <w:bCs/>
        </w:rPr>
        <w:t xml:space="preserve">Pricing Framework Proof</w:t>
      </w:r>
      <w:r>
        <w:t xml:space="preserve">: Showing that the MoveDiscount formula produces economically meaningful premium adjustments</w:t>
      </w:r>
    </w:p>
    <w:p>
      <w:pPr>
        <w:numPr>
          <w:ilvl w:val="0"/>
          <w:numId w:val="1036"/>
        </w:numPr>
      </w:pPr>
      <w:r>
        <w:rPr>
          <w:b/>
          <w:bCs/>
        </w:rPr>
        <w:t xml:space="preserve">Comparative Benchmarking</w:t>
      </w:r>
      <w:r>
        <w:t xml:space="preserve">: Establishing relative performance rankings (DeepSurv &gt; XGBAge &gt; CoxPH)</w:t>
      </w:r>
    </w:p>
    <w:p>
      <w:pPr>
        <w:pStyle w:val="FirstParagraph"/>
      </w:pPr>
      <w:r>
        <w:rPr>
          <w:b/>
          <w:bCs/>
        </w:rPr>
        <w:t xml:space="preserve">3.8.4. Validation Pathway</w:t>
      </w:r>
      <w:r>
        <w:br/>
      </w:r>
      <w:r>
        <w:t xml:space="preserve">The biological age calculations (PhenoAge) use</w:t>
      </w:r>
      <w:r>
        <w:t xml:space="preserve"> </w:t>
      </w:r>
      <w:r>
        <w:rPr>
          <w:b/>
          <w:bCs/>
        </w:rPr>
        <w:t xml:space="preserve">real NHANES 2017-2018 biomarker data</w:t>
      </w:r>
      <w:r>
        <w:t xml:space="preserve">. Future work will validate the wearable component using real accelerometer data from insurance industry partners, following the established PoC-to-Production pipeline:</w:t>
      </w:r>
    </w:p>
    <w:p>
      <w:pPr>
        <w:pStyle w:val="SourceCode"/>
      </w:pPr>
      <w:r>
        <w:rPr>
          <w:rStyle w:val="VerbatimChar"/>
        </w:rPr>
        <w:t xml:space="preserve">[Synthetic PoC] → [Pilot Study] → [Real-World Validation] → [Production Deployment]</w:t>
      </w:r>
      <w:r>
        <w:br/>
      </w:r>
      <w:r>
        <w:rPr>
          <w:rStyle w:val="VerbatimChar"/>
        </w:rPr>
        <w:t xml:space="preserve">      ↑                              ↑</w:t>
      </w:r>
      <w:r>
        <w:br/>
      </w:r>
      <w:r>
        <w:rPr>
          <w:rStyle w:val="VerbatimChar"/>
        </w:rPr>
        <w:t xml:space="preserve">  This Thesis               Future Research</w:t>
      </w:r>
    </w:p>
    <w:p>
      <w:pPr>
        <w:pStyle w:val="FirstParagraph"/>
      </w:pPr>
      <w:r>
        <w:t xml:space="preserve">This approach follows best practices in healthcare AI research where privacy constraints necessitate synthetic data for initial model development (Walonoski et al., 2018; Tucker et al., 2020).</w:t>
      </w:r>
    </w:p>
    <w:p>
      <w:pPr>
        <w:pStyle w:val="BodyText"/>
      </w:pPr>
      <w:r>
        <w:t xml:space="preserve">\newpage</w:t>
      </w:r>
    </w:p>
    <w:p>
      <w:pPr>
        <w:pStyle w:val="BodyText"/>
      </w:pPr>
      <w:r>
        <w:rPr>
          <w:b/>
          <w:bCs/>
        </w:rPr>
        <w:t xml:space="preserve">4. Exploratory Data Analysis (EDA)</w:t>
      </w:r>
    </w:p>
    <w:p>
      <w:pPr>
        <w:pStyle w:val="BlockText"/>
      </w:pPr>
      <w:r>
        <w:rPr>
          <w:b/>
          <w:bCs/>
        </w:rPr>
        <w:t xml:space="preserve">4.1. Introduction</w:t>
      </w:r>
    </w:p>
    <w:p>
      <w:pPr>
        <w:pStyle w:val="BlockText"/>
      </w:pPr>
      <w:r>
        <w:rPr>
          <w:b/>
          <w:bCs/>
        </w:rPr>
        <w:t xml:space="preserve">4.2. Data Overview and Quality Assessment</w:t>
      </w:r>
    </w:p>
    <w:p>
      <w:pPr>
        <w:pStyle w:val="BlockText"/>
      </w:pPr>
      <w:r>
        <w:rPr>
          <w:b/>
          <w:bCs/>
        </w:rPr>
        <w:t xml:space="preserve">4.3. Demographic Characteristics</w:t>
      </w:r>
    </w:p>
    <w:p>
      <w:pPr>
        <w:pStyle w:val="BlockText"/>
      </w:pPr>
      <w:r>
        <w:rPr>
          <w:b/>
          <w:bCs/>
        </w:rPr>
        <w:t xml:space="preserve">4.4. Biomarker Distributions and Outlier Analysis</w:t>
      </w:r>
    </w:p>
    <w:p>
      <w:pPr>
        <w:pStyle w:val="BlockText"/>
      </w:pPr>
      <w:r>
        <w:rPr>
          <w:b/>
          <w:bCs/>
        </w:rPr>
        <w:t xml:space="preserve">4.5. Correlation Analysis</w:t>
      </w:r>
    </w:p>
    <w:p>
      <w:pPr>
        <w:pStyle w:val="BlockText"/>
      </w:pPr>
      <w:r>
        <w:rPr>
          <w:b/>
          <w:bCs/>
        </w:rPr>
        <w:t xml:space="preserve">4.6. Age Acceleration Distribution</w:t>
      </w:r>
    </w:p>
    <w:p>
      <w:pPr>
        <w:pStyle w:val="BlockText"/>
      </w:pPr>
      <w:r>
        <w:rPr>
          <w:b/>
          <w:bCs/>
        </w:rPr>
        <w:t xml:space="preserve">4.7. Insights from EDA</w:t>
      </w:r>
    </w:p>
    <w:p>
      <w:pPr>
        <w:pStyle w:val="FirstParagraph"/>
      </w:pPr>
      <w:r>
        <w:t xml:space="preserve">\newpage</w:t>
      </w:r>
    </w:p>
    <w:p>
      <w:pPr>
        <w:pStyle w:val="BodyText"/>
      </w:pPr>
      <w:r>
        <w:rPr>
          <w:b/>
          <w:bCs/>
        </w:rPr>
        <w:t xml:space="preserve">4.1. Introduction</w:t>
      </w:r>
      <w:r>
        <w:br/>
      </w:r>
      <w:r>
        <w:t xml:space="preserve">Before applying predictive models, a thorough exploration of the NHANES 2017-2018 dataset was conducted to understand data quality, identify patterns, and validate assumptions. This chapter presents visualizations and statistical summaries that informed the subsequent modeling decisions.</w:t>
      </w:r>
    </w:p>
    <w:p>
      <w:pPr>
        <w:pStyle w:val="BodyText"/>
      </w:pPr>
      <w:r>
        <w:rPr>
          <w:b/>
          <w:bCs/>
        </w:rPr>
        <w:t xml:space="preserve">4.2. Data Overview and Quality Assessment</w:t>
      </w:r>
    </w:p>
    <w:p>
      <w:pPr>
        <w:pStyle w:val="BodyText"/>
      </w:pPr>
      <w:r>
        <w:rPr>
          <w:b/>
          <w:bCs/>
        </w:rPr>
        <w:t xml:space="preserve">Table 4.1: Summary of Downloaded NHANES Data 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Description</w:t>
            </w:r>
          </w:p>
        </w:tc>
        <w:tc>
          <w:tcPr/>
          <w:p>
            <w:pPr>
              <w:pStyle w:val="Compact"/>
            </w:pPr>
            <w:r>
              <w:t xml:space="preserve">Records</w:t>
            </w:r>
          </w:p>
        </w:tc>
        <w:tc>
          <w:tcPr/>
          <w:p>
            <w:pPr>
              <w:pStyle w:val="Compact"/>
            </w:pPr>
            <w:r>
              <w:t xml:space="preserve">Key Variables</w:t>
            </w:r>
          </w:p>
        </w:tc>
      </w:tr>
      <w:tr>
        <w:tc>
          <w:tcPr/>
          <w:p>
            <w:pPr>
              <w:pStyle w:val="Compact"/>
            </w:pPr>
            <w:r>
              <w:t xml:space="preserve">DEMO_J.XPT</w:t>
            </w:r>
          </w:p>
        </w:tc>
        <w:tc>
          <w:tcPr/>
          <w:p>
            <w:pPr>
              <w:pStyle w:val="Compact"/>
            </w:pPr>
            <w:r>
              <w:t xml:space="preserve">Demographics</w:t>
            </w:r>
          </w:p>
        </w:tc>
        <w:tc>
          <w:tcPr/>
          <w:p>
            <w:pPr>
              <w:pStyle w:val="Compact"/>
            </w:pPr>
            <w:r>
              <w:t xml:space="preserve">9,254</w:t>
            </w:r>
          </w:p>
        </w:tc>
        <w:tc>
          <w:tcPr/>
          <w:p>
            <w:pPr>
              <w:pStyle w:val="Compact"/>
            </w:pPr>
            <w:r>
              <w:t xml:space="preserve">Age, Gender, Race, Education</w:t>
            </w:r>
          </w:p>
        </w:tc>
      </w:tr>
      <w:tr>
        <w:tc>
          <w:tcPr/>
          <w:p>
            <w:pPr>
              <w:pStyle w:val="Compact"/>
            </w:pPr>
            <w:r>
              <w:t xml:space="preserve">BIOPRO_J.XPT</w:t>
            </w:r>
          </w:p>
        </w:tc>
        <w:tc>
          <w:tcPr/>
          <w:p>
            <w:pPr>
              <w:pStyle w:val="Compact"/>
            </w:pPr>
            <w:r>
              <w:t xml:space="preserve">Biochemistry</w:t>
            </w:r>
          </w:p>
        </w:tc>
        <w:tc>
          <w:tcPr/>
          <w:p>
            <w:pPr>
              <w:pStyle w:val="Compact"/>
            </w:pPr>
            <w:r>
              <w:t xml:space="preserve">8,704</w:t>
            </w:r>
          </w:p>
        </w:tc>
        <w:tc>
          <w:tcPr/>
          <w:p>
            <w:pPr>
              <w:pStyle w:val="Compact"/>
            </w:pPr>
            <w:r>
              <w:t xml:space="preserve">Albumin, Creatinine, Glucose, ALP</w:t>
            </w:r>
          </w:p>
        </w:tc>
      </w:tr>
      <w:tr>
        <w:tc>
          <w:tcPr/>
          <w:p>
            <w:pPr>
              <w:pStyle w:val="Compact"/>
            </w:pPr>
            <w:r>
              <w:t xml:space="preserve">CBC_J.XPT</w:t>
            </w:r>
          </w:p>
        </w:tc>
        <w:tc>
          <w:tcPr/>
          <w:p>
            <w:pPr>
              <w:pStyle w:val="Compact"/>
            </w:pPr>
            <w:r>
              <w:t xml:space="preserve">Complete Blood Count</w:t>
            </w:r>
          </w:p>
        </w:tc>
        <w:tc>
          <w:tcPr/>
          <w:p>
            <w:pPr>
              <w:pStyle w:val="Compact"/>
            </w:pPr>
            <w:r>
              <w:t xml:space="preserve">8,690</w:t>
            </w:r>
          </w:p>
        </w:tc>
        <w:tc>
          <w:tcPr/>
          <w:p>
            <w:pPr>
              <w:pStyle w:val="Compact"/>
            </w:pPr>
            <w:r>
              <w:t xml:space="preserve">WBC, MCV, RDW, Lymphocyte %</w:t>
            </w:r>
          </w:p>
        </w:tc>
      </w:tr>
      <w:tr>
        <w:tc>
          <w:tcPr/>
          <w:p>
            <w:pPr>
              <w:pStyle w:val="Compact"/>
            </w:pPr>
            <w:r>
              <w:t xml:space="preserve">HSCRP_J.XPT</w:t>
            </w:r>
          </w:p>
        </w:tc>
        <w:tc>
          <w:tcPr/>
          <w:p>
            <w:pPr>
              <w:pStyle w:val="Compact"/>
            </w:pPr>
            <w:r>
              <w:t xml:space="preserve">High-Sensitivity CRP</w:t>
            </w:r>
          </w:p>
        </w:tc>
        <w:tc>
          <w:tcPr/>
          <w:p>
            <w:pPr>
              <w:pStyle w:val="Compact"/>
            </w:pPr>
            <w:r>
              <w:t xml:space="preserve">7,823</w:t>
            </w:r>
          </w:p>
        </w:tc>
        <w:tc>
          <w:tcPr/>
          <w:p>
            <w:pPr>
              <w:pStyle w:val="Compact"/>
            </w:pPr>
            <w:r>
              <w:t xml:space="preserve">CRP (mg/L)</w:t>
            </w:r>
          </w:p>
        </w:tc>
      </w:tr>
      <w:tr>
        <w:tc>
          <w:tcPr/>
          <w:p>
            <w:pPr>
              <w:pStyle w:val="Compact"/>
            </w:pPr>
            <w:r>
              <w:rPr>
                <w:b/>
                <w:bCs/>
              </w:rPr>
              <w:t xml:space="preserve">Merged Dataset</w:t>
            </w:r>
          </w:p>
        </w:tc>
        <w:tc>
          <w:tcPr/>
          <w:p>
            <w:pPr>
              <w:pStyle w:val="Compact"/>
            </w:pPr>
            <w:r>
              <w:rPr>
                <w:b/>
                <w:bCs/>
              </w:rPr>
              <w:t xml:space="preserve">All biomarkers</w:t>
            </w:r>
          </w:p>
        </w:tc>
        <w:tc>
          <w:tcPr/>
          <w:p>
            <w:pPr>
              <w:pStyle w:val="Compact"/>
            </w:pPr>
            <w:r>
              <w:rPr>
                <w:b/>
                <w:bCs/>
              </w:rPr>
              <w:t xml:space="preserve">6,401</w:t>
            </w:r>
          </w:p>
        </w:tc>
        <w:tc>
          <w:tcPr/>
          <w:p>
            <w:pPr>
              <w:pStyle w:val="Compact"/>
            </w:pPr>
            <w:r>
              <w:t xml:space="preserve">All above variables</w:t>
            </w:r>
          </w:p>
        </w:tc>
      </w:tr>
      <w:tr>
        <w:tc>
          <w:tcPr/>
          <w:p>
            <w:pPr>
              <w:pStyle w:val="Compact"/>
            </w:pPr>
            <w:r>
              <w:rPr>
                <w:b/>
                <w:bCs/>
              </w:rPr>
              <w:t xml:space="preserve">Final Analytical Sample</w:t>
            </w:r>
          </w:p>
        </w:tc>
        <w:tc>
          <w:tcPr/>
          <w:p>
            <w:pPr>
              <w:pStyle w:val="Compact"/>
            </w:pPr>
            <w:r>
              <w:rPr>
                <w:b/>
                <w:bCs/>
              </w:rPr>
              <w:t xml:space="preserve">After exclusion criteria</w:t>
            </w:r>
          </w:p>
        </w:tc>
        <w:tc>
          <w:tcPr/>
          <w:p>
            <w:pPr>
              <w:pStyle w:val="Compact"/>
            </w:pPr>
            <w:r>
              <w:rPr>
                <w:b/>
                <w:bCs/>
              </w:rPr>
              <w:t xml:space="preserve">4,894</w:t>
            </w:r>
          </w:p>
        </w:tc>
        <w:tc>
          <w:tcPr/>
          <w:p>
            <w:pPr>
              <w:pStyle w:val="Compact"/>
            </w:pPr>
            <w:r>
              <w:t xml:space="preserve">Adults 20-80, complete data</w:t>
            </w:r>
          </w:p>
        </w:tc>
      </w:tr>
    </w:tbl>
    <w:p>
      <w:pPr>
        <w:pStyle w:val="BodyText"/>
      </w:pPr>
      <w:r>
        <w:rPr>
          <w:b/>
          <w:bCs/>
        </w:rPr>
        <w:t xml:space="preserve">Missing Data Analysis</w:t>
      </w:r>
      <w:r>
        <w:t xml:space="preserve">:</w:t>
      </w:r>
    </w:p>
    <w:p>
      <w:pPr>
        <w:numPr>
          <w:ilvl w:val="0"/>
          <w:numId w:val="1037"/>
        </w:numPr>
      </w:pPr>
      <w:r>
        <w:t xml:space="preserve">Of 6,401 merged records, 1,507 (23.5%) had at least one missing biomarker</w:t>
      </w:r>
    </w:p>
    <w:p>
      <w:pPr>
        <w:numPr>
          <w:ilvl w:val="0"/>
          <w:numId w:val="1037"/>
        </w:numPr>
      </w:pPr>
      <w:r>
        <w:t xml:space="preserve">CRP had the highest missingness rate (8.3%)</w:t>
      </w:r>
    </w:p>
    <w:p>
      <w:pPr>
        <w:numPr>
          <w:ilvl w:val="0"/>
          <w:numId w:val="1037"/>
        </w:numPr>
      </w:pPr>
      <w:r>
        <w:t xml:space="preserve">Records with CRP = 0 were excluded (required for log-transformation)</w:t>
      </w:r>
    </w:p>
    <w:p>
      <w:pPr>
        <w:pStyle w:val="FirstParagraph"/>
      </w:pPr>
      <w:r>
        <w:rPr>
          <w:b/>
          <w:bCs/>
        </w:rPr>
        <w:t xml:space="preserve">4.3. Demographic Characteristics</w:t>
      </w:r>
    </w:p>
    <w:p>
      <w:pPr>
        <w:pStyle w:val="BodyText"/>
      </w:pPr>
      <w:r>
        <w:rPr>
          <w:b/>
          <w:bCs/>
        </w:rPr>
        <w:t xml:space="preserve">4.3.1. Age Distribution</w:t>
      </w:r>
      <w:r>
        <w:br/>
      </w:r>
      <w:r>
        <w:t xml:space="preserve">The analytical sample exhibited a broad age distribution representative of the adult US population: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N</w:t>
            </w:r>
          </w:p>
        </w:tc>
        <w:tc>
          <w:tcPr/>
          <w:p>
            <w:pPr>
              <w:pStyle w:val="Compact"/>
            </w:pPr>
            <w:r>
              <w:t xml:space="preserve">Percentage</w:t>
            </w:r>
          </w:p>
        </w:tc>
      </w:tr>
      <w:tr>
        <w:tc>
          <w:tcPr/>
          <w:p>
            <w:pPr>
              <w:pStyle w:val="Compact"/>
            </w:pPr>
            <w:r>
              <w:t xml:space="preserve">20-29 years</w:t>
            </w:r>
          </w:p>
        </w:tc>
        <w:tc>
          <w:tcPr/>
          <w:p>
            <w:pPr>
              <w:pStyle w:val="Compact"/>
            </w:pPr>
            <w:r>
              <w:t xml:space="preserve">654</w:t>
            </w:r>
          </w:p>
        </w:tc>
        <w:tc>
          <w:tcPr/>
          <w:p>
            <w:pPr>
              <w:pStyle w:val="Compact"/>
            </w:pPr>
            <w:r>
              <w:t xml:space="preserve">13.4%</w:t>
            </w:r>
          </w:p>
        </w:tc>
      </w:tr>
      <w:tr>
        <w:tc>
          <w:tcPr/>
          <w:p>
            <w:pPr>
              <w:pStyle w:val="Compact"/>
            </w:pPr>
            <w:r>
              <w:t xml:space="preserve">30-39 years</w:t>
            </w:r>
          </w:p>
        </w:tc>
        <w:tc>
          <w:tcPr/>
          <w:p>
            <w:pPr>
              <w:pStyle w:val="Compact"/>
            </w:pPr>
            <w:r>
              <w:t xml:space="preserve">712</w:t>
            </w:r>
          </w:p>
        </w:tc>
        <w:tc>
          <w:tcPr/>
          <w:p>
            <w:pPr>
              <w:pStyle w:val="Compact"/>
            </w:pPr>
            <w:r>
              <w:t xml:space="preserve">14.5%</w:t>
            </w:r>
          </w:p>
        </w:tc>
      </w:tr>
      <w:tr>
        <w:tc>
          <w:tcPr/>
          <w:p>
            <w:pPr>
              <w:pStyle w:val="Compact"/>
            </w:pPr>
            <w:r>
              <w:t xml:space="preserve">40-49 years</w:t>
            </w:r>
          </w:p>
        </w:tc>
        <w:tc>
          <w:tcPr/>
          <w:p>
            <w:pPr>
              <w:pStyle w:val="Compact"/>
            </w:pPr>
            <w:r>
              <w:t xml:space="preserve">758</w:t>
            </w:r>
          </w:p>
        </w:tc>
        <w:tc>
          <w:tcPr/>
          <w:p>
            <w:pPr>
              <w:pStyle w:val="Compact"/>
            </w:pPr>
            <w:r>
              <w:t xml:space="preserve">15.5%</w:t>
            </w:r>
          </w:p>
        </w:tc>
      </w:tr>
      <w:tr>
        <w:tc>
          <w:tcPr/>
          <w:p>
            <w:pPr>
              <w:pStyle w:val="Compact"/>
            </w:pPr>
            <w:r>
              <w:t xml:space="preserve">50-59 years</w:t>
            </w:r>
          </w:p>
        </w:tc>
        <w:tc>
          <w:tcPr/>
          <w:p>
            <w:pPr>
              <w:pStyle w:val="Compact"/>
            </w:pPr>
            <w:r>
              <w:t xml:space="preserve">891</w:t>
            </w:r>
          </w:p>
        </w:tc>
        <w:tc>
          <w:tcPr/>
          <w:p>
            <w:pPr>
              <w:pStyle w:val="Compact"/>
            </w:pPr>
            <w:r>
              <w:t xml:space="preserve">18.2%</w:t>
            </w:r>
          </w:p>
        </w:tc>
      </w:tr>
      <w:tr>
        <w:tc>
          <w:tcPr/>
          <w:p>
            <w:pPr>
              <w:pStyle w:val="Compact"/>
            </w:pPr>
            <w:r>
              <w:t xml:space="preserve">60-69 years</w:t>
            </w:r>
          </w:p>
        </w:tc>
        <w:tc>
          <w:tcPr/>
          <w:p>
            <w:pPr>
              <w:pStyle w:val="Compact"/>
            </w:pPr>
            <w:r>
              <w:t xml:space="preserve">1,024</w:t>
            </w:r>
          </w:p>
        </w:tc>
        <w:tc>
          <w:tcPr/>
          <w:p>
            <w:pPr>
              <w:pStyle w:val="Compact"/>
            </w:pPr>
            <w:r>
              <w:t xml:space="preserve">20.9%</w:t>
            </w:r>
          </w:p>
        </w:tc>
      </w:tr>
      <w:tr>
        <w:tc>
          <w:tcPr/>
          <w:p>
            <w:pPr>
              <w:pStyle w:val="Compact"/>
            </w:pPr>
            <w:r>
              <w:t xml:space="preserve">70-80 years</w:t>
            </w:r>
          </w:p>
        </w:tc>
        <w:tc>
          <w:tcPr/>
          <w:p>
            <w:pPr>
              <w:pStyle w:val="Compact"/>
            </w:pPr>
            <w:r>
              <w:t xml:space="preserve">855</w:t>
            </w:r>
          </w:p>
        </w:tc>
        <w:tc>
          <w:tcPr/>
          <w:p>
            <w:pPr>
              <w:pStyle w:val="Compact"/>
            </w:pPr>
            <w:r>
              <w:t xml:space="preserve">17.5%</w:t>
            </w:r>
          </w:p>
        </w:tc>
      </w:tr>
      <w:tr>
        <w:tc>
          <w:tcPr/>
          <w:p>
            <w:pPr>
              <w:pStyle w:val="Compact"/>
            </w:pPr>
            <w:r>
              <w:rPr>
                <w:b/>
                <w:bCs/>
              </w:rPr>
              <w:t xml:space="preserve">Total</w:t>
            </w:r>
          </w:p>
        </w:tc>
        <w:tc>
          <w:tcPr/>
          <w:p>
            <w:pPr>
              <w:pStyle w:val="Compact"/>
            </w:pPr>
            <w:r>
              <w:rPr>
                <w:b/>
                <w:bCs/>
              </w:rPr>
              <w:t xml:space="preserve">4,894</w:t>
            </w:r>
          </w:p>
        </w:tc>
        <w:tc>
          <w:tcPr/>
          <w:p>
            <w:pPr>
              <w:pStyle w:val="Compact"/>
            </w:pPr>
            <w:r>
              <w:rPr>
                <w:b/>
                <w:bCs/>
              </w:rPr>
              <w:t xml:space="preserve">100%</w:t>
            </w:r>
          </w:p>
        </w:tc>
      </w:tr>
    </w:tbl>
    <w:p>
      <w:pPr>
        <w:pStyle w:val="BodyText"/>
      </w:pPr>
      <w:r>
        <w:rPr>
          <w:b/>
          <w:bCs/>
        </w:rPr>
        <w:t xml:space="preserve">Key Observation</w:t>
      </w:r>
      <w:r>
        <w:t xml:space="preserve">: The sample is slightly weighted toward older ages (mean = 51.5 years), which is advantageous for mortality risk modeling as this population has higher event rates.</w:t>
      </w:r>
    </w:p>
    <w:p>
      <w:pPr>
        <w:pStyle w:val="BodyText"/>
      </w:pPr>
      <w:r>
        <w:rPr>
          <w:b/>
          <w:bCs/>
        </w:rPr>
        <w:t xml:space="preserve">4.3.2. Gender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Gender</w:t>
            </w:r>
          </w:p>
        </w:tc>
        <w:tc>
          <w:tcPr/>
          <w:p>
            <w:pPr>
              <w:pStyle w:val="Compact"/>
            </w:pPr>
            <w:r>
              <w:t xml:space="preserve">N</w:t>
            </w:r>
          </w:p>
        </w:tc>
        <w:tc>
          <w:tcPr/>
          <w:p>
            <w:pPr>
              <w:pStyle w:val="Compact"/>
            </w:pPr>
            <w:r>
              <w:t xml:space="preserve">Percentage</w:t>
            </w:r>
          </w:p>
        </w:tc>
      </w:tr>
      <w:tr>
        <w:tc>
          <w:tcPr/>
          <w:p>
            <w:pPr>
              <w:pStyle w:val="Compact"/>
            </w:pPr>
            <w:r>
              <w:t xml:space="preserve">Female</w:t>
            </w:r>
          </w:p>
        </w:tc>
        <w:tc>
          <w:tcPr/>
          <w:p>
            <w:pPr>
              <w:pStyle w:val="Compact"/>
            </w:pPr>
            <w:r>
              <w:t xml:space="preserve">2,535</w:t>
            </w:r>
          </w:p>
        </w:tc>
        <w:tc>
          <w:tcPr/>
          <w:p>
            <w:pPr>
              <w:pStyle w:val="Compact"/>
            </w:pPr>
            <w:r>
              <w:t xml:space="preserve">51.8%</w:t>
            </w:r>
          </w:p>
        </w:tc>
      </w:tr>
      <w:tr>
        <w:tc>
          <w:tcPr/>
          <w:p>
            <w:pPr>
              <w:pStyle w:val="Compact"/>
            </w:pPr>
            <w:r>
              <w:t xml:space="preserve">Male</w:t>
            </w:r>
          </w:p>
        </w:tc>
        <w:tc>
          <w:tcPr/>
          <w:p>
            <w:pPr>
              <w:pStyle w:val="Compact"/>
            </w:pPr>
            <w:r>
              <w:t xml:space="preserve">2,359</w:t>
            </w:r>
          </w:p>
        </w:tc>
        <w:tc>
          <w:tcPr/>
          <w:p>
            <w:pPr>
              <w:pStyle w:val="Compact"/>
            </w:pPr>
            <w:r>
              <w:t xml:space="preserve">48.2%</w:t>
            </w:r>
          </w:p>
        </w:tc>
      </w:tr>
    </w:tbl>
    <w:p>
      <w:pPr>
        <w:pStyle w:val="BodyText"/>
      </w:pPr>
      <w:r>
        <w:t xml:space="preserve">The gender distribution is balanced and consistent with US census proportions.</w:t>
      </w:r>
    </w:p>
    <w:p>
      <w:pPr>
        <w:pStyle w:val="BodyText"/>
      </w:pPr>
      <w:r>
        <w:rPr>
          <w:b/>
          <w:bCs/>
        </w:rPr>
        <w:t xml:space="preserve">4.4. Biomarker Distributions and Outlier Analysis</w:t>
      </w:r>
    </w:p>
    <w:p>
      <w:pPr>
        <w:pStyle w:val="BodyText"/>
      </w:pPr>
      <w:r>
        <w:rPr>
          <w:b/>
          <w:bCs/>
        </w:rPr>
        <w:t xml:space="preserve">Table 4.2: Descriptive Statistics for PhenoAge Biomarkers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Biomarker</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Unit</w:t>
            </w:r>
          </w:p>
        </w:tc>
      </w:tr>
      <w:tr>
        <w:tc>
          <w:tcPr/>
          <w:p>
            <w:pPr>
              <w:pStyle w:val="Compact"/>
            </w:pPr>
            <w:r>
              <w:t xml:space="preserve">Albumin</w:t>
            </w:r>
          </w:p>
        </w:tc>
        <w:tc>
          <w:tcPr/>
          <w:p>
            <w:pPr>
              <w:pStyle w:val="Compact"/>
            </w:pPr>
            <w:r>
              <w:t xml:space="preserve">4.2</w:t>
            </w:r>
          </w:p>
        </w:tc>
        <w:tc>
          <w:tcPr/>
          <w:p>
            <w:pPr>
              <w:pStyle w:val="Compact"/>
            </w:pPr>
            <w:r>
              <w:t xml:space="preserve">0.3</w:t>
            </w:r>
          </w:p>
        </w:tc>
        <w:tc>
          <w:tcPr/>
          <w:p>
            <w:pPr>
              <w:pStyle w:val="Compact"/>
            </w:pPr>
            <w:r>
              <w:t xml:space="preserve">2.1</w:t>
            </w:r>
          </w:p>
        </w:tc>
        <w:tc>
          <w:tcPr/>
          <w:p>
            <w:pPr>
              <w:pStyle w:val="Compact"/>
            </w:pPr>
            <w:r>
              <w:t xml:space="preserve">5.4</w:t>
            </w:r>
          </w:p>
        </w:tc>
        <w:tc>
          <w:tcPr/>
          <w:p>
            <w:pPr>
              <w:pStyle w:val="Compact"/>
            </w:pPr>
            <w:r>
              <w:t xml:space="preserve">g/dL</w:t>
            </w:r>
          </w:p>
        </w:tc>
      </w:tr>
      <w:tr>
        <w:tc>
          <w:tcPr/>
          <w:p>
            <w:pPr>
              <w:pStyle w:val="Compact"/>
            </w:pPr>
            <w:r>
              <w:t xml:space="preserve">Creatinine</w:t>
            </w:r>
          </w:p>
        </w:tc>
        <w:tc>
          <w:tcPr/>
          <w:p>
            <w:pPr>
              <w:pStyle w:val="Compact"/>
            </w:pPr>
            <w:r>
              <w:t xml:space="preserve">0.95</w:t>
            </w:r>
          </w:p>
        </w:tc>
        <w:tc>
          <w:tcPr/>
          <w:p>
            <w:pPr>
              <w:pStyle w:val="Compact"/>
            </w:pPr>
            <w:r>
              <w:t xml:space="preserve">0.35</w:t>
            </w:r>
          </w:p>
        </w:tc>
        <w:tc>
          <w:tcPr/>
          <w:p>
            <w:pPr>
              <w:pStyle w:val="Compact"/>
            </w:pPr>
            <w:r>
              <w:t xml:space="preserve">0.2</w:t>
            </w:r>
          </w:p>
        </w:tc>
        <w:tc>
          <w:tcPr/>
          <w:p>
            <w:pPr>
              <w:pStyle w:val="Compact"/>
            </w:pPr>
            <w:r>
              <w:t xml:space="preserve">8.5</w:t>
            </w:r>
          </w:p>
        </w:tc>
        <w:tc>
          <w:tcPr/>
          <w:p>
            <w:pPr>
              <w:pStyle w:val="Compact"/>
            </w:pPr>
            <w:r>
              <w:t xml:space="preserve">mg/dL</w:t>
            </w:r>
          </w:p>
        </w:tc>
      </w:tr>
      <w:tr>
        <w:tc>
          <w:tcPr/>
          <w:p>
            <w:pPr>
              <w:pStyle w:val="Compact"/>
            </w:pPr>
            <w:r>
              <w:t xml:space="preserve">Glucose</w:t>
            </w:r>
          </w:p>
        </w:tc>
        <w:tc>
          <w:tcPr/>
          <w:p>
            <w:pPr>
              <w:pStyle w:val="Compact"/>
            </w:pPr>
            <w:r>
              <w:t xml:space="preserve">106.3</w:t>
            </w:r>
          </w:p>
        </w:tc>
        <w:tc>
          <w:tcPr/>
          <w:p>
            <w:pPr>
              <w:pStyle w:val="Compact"/>
            </w:pPr>
            <w:r>
              <w:t xml:space="preserve">32.1</w:t>
            </w:r>
          </w:p>
        </w:tc>
        <w:tc>
          <w:tcPr/>
          <w:p>
            <w:pPr>
              <w:pStyle w:val="Compact"/>
            </w:pPr>
            <w:r>
              <w:t xml:space="preserve">42</w:t>
            </w:r>
          </w:p>
        </w:tc>
        <w:tc>
          <w:tcPr/>
          <w:p>
            <w:pPr>
              <w:pStyle w:val="Compact"/>
            </w:pPr>
            <w:r>
              <w:t xml:space="preserve">498</w:t>
            </w:r>
          </w:p>
        </w:tc>
        <w:tc>
          <w:tcPr/>
          <w:p>
            <w:pPr>
              <w:pStyle w:val="Compact"/>
            </w:pPr>
            <w:r>
              <w:t xml:space="preserve">mg/dL</w:t>
            </w:r>
          </w:p>
        </w:tc>
      </w:tr>
      <w:tr>
        <w:tc>
          <w:tcPr/>
          <w:p>
            <w:pPr>
              <w:pStyle w:val="Compact"/>
            </w:pPr>
            <w:r>
              <w:t xml:space="preserve">CRP (log)</w:t>
            </w:r>
          </w:p>
        </w:tc>
        <w:tc>
          <w:tcPr/>
          <w:p>
            <w:pPr>
              <w:pStyle w:val="Compact"/>
            </w:pPr>
            <w:r>
              <w:t xml:space="preserve">0.58</w:t>
            </w:r>
          </w:p>
        </w:tc>
        <w:tc>
          <w:tcPr/>
          <w:p>
            <w:pPr>
              <w:pStyle w:val="Compact"/>
            </w:pPr>
            <w:r>
              <w:t xml:space="preserve">1.12</w:t>
            </w:r>
          </w:p>
        </w:tc>
        <w:tc>
          <w:tcPr/>
          <w:p>
            <w:pPr>
              <w:pStyle w:val="Compact"/>
            </w:pPr>
            <w:r>
              <w:t xml:space="preserve">-2.3</w:t>
            </w:r>
          </w:p>
        </w:tc>
        <w:tc>
          <w:tcPr/>
          <w:p>
            <w:pPr>
              <w:pStyle w:val="Compact"/>
            </w:pPr>
            <w:r>
              <w:t xml:space="preserve">4.6</w:t>
            </w:r>
          </w:p>
        </w:tc>
        <w:tc>
          <w:tcPr/>
          <w:p>
            <w:pPr>
              <w:pStyle w:val="Compact"/>
            </w:pPr>
            <w:r>
              <w:t xml:space="preserve">ln(mg/L)</w:t>
            </w:r>
          </w:p>
        </w:tc>
      </w:tr>
      <w:tr>
        <w:tc>
          <w:tcPr/>
          <w:p>
            <w:pPr>
              <w:pStyle w:val="Compact"/>
            </w:pPr>
            <w:r>
              <w:t xml:space="preserve">MCV</w:t>
            </w:r>
          </w:p>
        </w:tc>
        <w:tc>
          <w:tcPr/>
          <w:p>
            <w:pPr>
              <w:pStyle w:val="Compact"/>
            </w:pPr>
            <w:r>
              <w:t xml:space="preserve">89.4</w:t>
            </w:r>
          </w:p>
        </w:tc>
        <w:tc>
          <w:tcPr/>
          <w:p>
            <w:pPr>
              <w:pStyle w:val="Compact"/>
            </w:pPr>
            <w:r>
              <w:t xml:space="preserve">5.8</w:t>
            </w:r>
          </w:p>
        </w:tc>
        <w:tc>
          <w:tcPr/>
          <w:p>
            <w:pPr>
              <w:pStyle w:val="Compact"/>
            </w:pPr>
            <w:r>
              <w:t xml:space="preserve">62</w:t>
            </w:r>
          </w:p>
        </w:tc>
        <w:tc>
          <w:tcPr/>
          <w:p>
            <w:pPr>
              <w:pStyle w:val="Compact"/>
            </w:pPr>
            <w:r>
              <w:t xml:space="preserve">122</w:t>
            </w:r>
          </w:p>
        </w:tc>
        <w:tc>
          <w:tcPr/>
          <w:p>
            <w:pPr>
              <w:pStyle w:val="Compact"/>
            </w:pPr>
            <w:r>
              <w:t xml:space="preserve">fL</w:t>
            </w:r>
          </w:p>
        </w:tc>
      </w:tr>
      <w:tr>
        <w:tc>
          <w:tcPr/>
          <w:p>
            <w:pPr>
              <w:pStyle w:val="Compact"/>
            </w:pPr>
            <w:r>
              <w:t xml:space="preserve">RDW</w:t>
            </w:r>
          </w:p>
        </w:tc>
        <w:tc>
          <w:tcPr/>
          <w:p>
            <w:pPr>
              <w:pStyle w:val="Compact"/>
            </w:pPr>
            <w:r>
              <w:t xml:space="preserve">13.2</w:t>
            </w:r>
          </w:p>
        </w:tc>
        <w:tc>
          <w:tcPr/>
          <w:p>
            <w:pPr>
              <w:pStyle w:val="Compact"/>
            </w:pPr>
            <w:r>
              <w:t xml:space="preserve">1.5</w:t>
            </w:r>
          </w:p>
        </w:tc>
        <w:tc>
          <w:tcPr/>
          <w:p>
            <w:pPr>
              <w:pStyle w:val="Compact"/>
            </w:pPr>
            <w:r>
              <w:t xml:space="preserve">10.8</w:t>
            </w:r>
          </w:p>
        </w:tc>
        <w:tc>
          <w:tcPr/>
          <w:p>
            <w:pPr>
              <w:pStyle w:val="Compact"/>
            </w:pPr>
            <w:r>
              <w:t xml:space="preserve">28.5</w:t>
            </w:r>
          </w:p>
        </w:tc>
        <w:tc>
          <w:tcPr/>
          <w:p>
            <w:pPr>
              <w:pStyle w:val="Compact"/>
            </w:pPr>
            <w:r>
              <w:t xml:space="preserve">%</w:t>
            </w:r>
          </w:p>
        </w:tc>
      </w:tr>
      <w:tr>
        <w:tc>
          <w:tcPr/>
          <w:p>
            <w:pPr>
              <w:pStyle w:val="Compact"/>
            </w:pPr>
            <w:r>
              <w:t xml:space="preserve">ALP</w:t>
            </w:r>
          </w:p>
        </w:tc>
        <w:tc>
          <w:tcPr/>
          <w:p>
            <w:pPr>
              <w:pStyle w:val="Compact"/>
            </w:pPr>
            <w:r>
              <w:t xml:space="preserve">72.1</w:t>
            </w:r>
          </w:p>
        </w:tc>
        <w:tc>
          <w:tcPr/>
          <w:p>
            <w:pPr>
              <w:pStyle w:val="Compact"/>
            </w:pPr>
            <w:r>
              <w:t xml:space="preserve">24.3</w:t>
            </w:r>
          </w:p>
        </w:tc>
        <w:tc>
          <w:tcPr/>
          <w:p>
            <w:pPr>
              <w:pStyle w:val="Compact"/>
            </w:pPr>
            <w:r>
              <w:t xml:space="preserve">18</w:t>
            </w:r>
          </w:p>
        </w:tc>
        <w:tc>
          <w:tcPr/>
          <w:p>
            <w:pPr>
              <w:pStyle w:val="Compact"/>
            </w:pPr>
            <w:r>
              <w:t xml:space="preserve">324</w:t>
            </w:r>
          </w:p>
        </w:tc>
        <w:tc>
          <w:tcPr/>
          <w:p>
            <w:pPr>
              <w:pStyle w:val="Compact"/>
            </w:pPr>
            <w:r>
              <w:t xml:space="preserve">U/L</w:t>
            </w:r>
          </w:p>
        </w:tc>
      </w:tr>
      <w:tr>
        <w:tc>
          <w:tcPr/>
          <w:p>
            <w:pPr>
              <w:pStyle w:val="Compact"/>
            </w:pPr>
            <w:r>
              <w:t xml:space="preserve">WBC</w:t>
            </w:r>
          </w:p>
        </w:tc>
        <w:tc>
          <w:tcPr/>
          <w:p>
            <w:pPr>
              <w:pStyle w:val="Compact"/>
            </w:pPr>
            <w:r>
              <w:t xml:space="preserve">7.1</w:t>
            </w:r>
          </w:p>
        </w:tc>
        <w:tc>
          <w:tcPr/>
          <w:p>
            <w:pPr>
              <w:pStyle w:val="Compact"/>
            </w:pPr>
            <w:r>
              <w:t xml:space="preserve">2.1</w:t>
            </w:r>
          </w:p>
        </w:tc>
        <w:tc>
          <w:tcPr/>
          <w:p>
            <w:pPr>
              <w:pStyle w:val="Compact"/>
            </w:pPr>
            <w:r>
              <w:t xml:space="preserve">2.1</w:t>
            </w:r>
          </w:p>
        </w:tc>
        <w:tc>
          <w:tcPr/>
          <w:p>
            <w:pPr>
              <w:pStyle w:val="Compact"/>
            </w:pPr>
            <w:r>
              <w:t xml:space="preserve">23.6</w:t>
            </w:r>
          </w:p>
        </w:tc>
        <w:tc>
          <w:tcPr/>
          <w:p>
            <w:pPr>
              <w:pStyle w:val="Compact"/>
            </w:pPr>
            <w:r>
              <w:t xml:space="preserve">×10³/µL</w:t>
            </w:r>
          </w:p>
        </w:tc>
      </w:tr>
      <w:tr>
        <w:tc>
          <w:tcPr/>
          <w:p>
            <w:pPr>
              <w:pStyle w:val="Compact"/>
            </w:pPr>
            <w:r>
              <w:t xml:space="preserve">Lymphocyte %</w:t>
            </w:r>
          </w:p>
        </w:tc>
        <w:tc>
          <w:tcPr/>
          <w:p>
            <w:pPr>
              <w:pStyle w:val="Compact"/>
            </w:pPr>
            <w:r>
              <w:t xml:space="preserve">29.8</w:t>
            </w:r>
          </w:p>
        </w:tc>
        <w:tc>
          <w:tcPr/>
          <w:p>
            <w:pPr>
              <w:pStyle w:val="Compact"/>
            </w:pPr>
            <w:r>
              <w:t xml:space="preserve">8.4</w:t>
            </w:r>
          </w:p>
        </w:tc>
        <w:tc>
          <w:tcPr/>
          <w:p>
            <w:pPr>
              <w:pStyle w:val="Compact"/>
            </w:pPr>
            <w:r>
              <w:t xml:space="preserve">5.2</w:t>
            </w:r>
          </w:p>
        </w:tc>
        <w:tc>
          <w:tcPr/>
          <w:p>
            <w:pPr>
              <w:pStyle w:val="Compact"/>
            </w:pPr>
            <w:r>
              <w:t xml:space="preserve">68.1</w:t>
            </w:r>
          </w:p>
        </w:tc>
        <w:tc>
          <w:tcPr/>
          <w:p>
            <w:pPr>
              <w:pStyle w:val="Compact"/>
            </w:pPr>
            <w:r>
              <w:t xml:space="preserve">%</w:t>
            </w:r>
          </w:p>
        </w:tc>
      </w:tr>
    </w:tbl>
    <w:p>
      <w:pPr>
        <w:pStyle w:val="BodyText"/>
      </w:pPr>
      <w:r>
        <w:rPr>
          <w:b/>
          <w:bCs/>
        </w:rPr>
        <w:t xml:space="preserve">Outlier Treatment</w:t>
      </w:r>
      <w:r>
        <w:t xml:space="preserve">: Extreme values (&gt;3 SD from mean) were winsorized rather than removed to preserve sample size.</w:t>
      </w:r>
    </w:p>
    <w:p>
      <w:pPr>
        <w:pStyle w:val="BodyText"/>
      </w:pPr>
      <w:r>
        <w:rPr>
          <w:b/>
          <w:bCs/>
        </w:rPr>
        <w:t xml:space="preserve">4.5. Correlation Analysis</w:t>
      </w:r>
      <w:r>
        <w:br/>
      </w:r>
    </w:p>
    <w:p>
      <w:pPr>
        <w:pStyle w:val="BodyText"/>
      </w:pPr>
      <w:r>
        <w:t xml:space="preserve">A correlation matrix was computed to identify multicollinearity among biomarkers:</w:t>
      </w:r>
    </w:p>
    <w:p>
      <w:pPr>
        <w:pStyle w:val="BodyText"/>
      </w:pPr>
      <w:r>
        <w:rPr>
          <w:b/>
          <w:bCs/>
        </w:rPr>
        <w:t xml:space="preserve">Key Correlations with Age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Biomarker</w:t>
            </w:r>
          </w:p>
        </w:tc>
        <w:tc>
          <w:tcPr/>
          <w:p>
            <w:pPr>
              <w:pStyle w:val="Compact"/>
            </w:pPr>
            <w:r>
              <w:t xml:space="preserve">Correlation with Age (r)</w:t>
            </w:r>
          </w:p>
        </w:tc>
        <w:tc>
          <w:tcPr/>
          <w:p>
            <w:pPr>
              <w:pStyle w:val="Compact"/>
            </w:pPr>
            <w:r>
              <w:t xml:space="preserve">p-value</w:t>
            </w:r>
          </w:p>
        </w:tc>
      </w:tr>
      <w:tr>
        <w:tc>
          <w:tcPr/>
          <w:p>
            <w:pPr>
              <w:pStyle w:val="Compact"/>
            </w:pPr>
            <w:r>
              <w:t xml:space="preserve">Creatinine</w:t>
            </w:r>
          </w:p>
        </w:tc>
        <w:tc>
          <w:tcPr/>
          <w:p>
            <w:pPr>
              <w:pStyle w:val="Compact"/>
            </w:pPr>
            <w:r>
              <w:t xml:space="preserve">+0.28</w:t>
            </w:r>
          </w:p>
        </w:tc>
        <w:tc>
          <w:tcPr/>
          <w:p>
            <w:pPr>
              <w:pStyle w:val="Compact"/>
            </w:pPr>
            <w:r>
              <w:t xml:space="preserve">&lt;0.001</w:t>
            </w:r>
          </w:p>
        </w:tc>
      </w:tr>
      <w:tr>
        <w:tc>
          <w:tcPr/>
          <w:p>
            <w:pPr>
              <w:pStyle w:val="Compact"/>
            </w:pPr>
            <w:r>
              <w:t xml:space="preserve">Glucose</w:t>
            </w:r>
          </w:p>
        </w:tc>
        <w:tc>
          <w:tcPr/>
          <w:p>
            <w:pPr>
              <w:pStyle w:val="Compact"/>
            </w:pPr>
            <w:r>
              <w:t xml:space="preserve">+0.21</w:t>
            </w:r>
          </w:p>
        </w:tc>
        <w:tc>
          <w:tcPr/>
          <w:p>
            <w:pPr>
              <w:pStyle w:val="Compact"/>
            </w:pPr>
            <w:r>
              <w:t xml:space="preserve">&lt;0.001</w:t>
            </w:r>
          </w:p>
        </w:tc>
      </w:tr>
      <w:tr>
        <w:tc>
          <w:tcPr/>
          <w:p>
            <w:pPr>
              <w:pStyle w:val="Compact"/>
            </w:pPr>
            <w:r>
              <w:t xml:space="preserve">MCV</w:t>
            </w:r>
          </w:p>
        </w:tc>
        <w:tc>
          <w:tcPr/>
          <w:p>
            <w:pPr>
              <w:pStyle w:val="Compact"/>
            </w:pPr>
            <w:r>
              <w:t xml:space="preserve">+0.15</w:t>
            </w:r>
          </w:p>
        </w:tc>
        <w:tc>
          <w:tcPr/>
          <w:p>
            <w:pPr>
              <w:pStyle w:val="Compact"/>
            </w:pPr>
            <w:r>
              <w:t xml:space="preserve">&lt;0.001</w:t>
            </w:r>
          </w:p>
        </w:tc>
      </w:tr>
      <w:tr>
        <w:tc>
          <w:tcPr/>
          <w:p>
            <w:pPr>
              <w:pStyle w:val="Compact"/>
            </w:pPr>
            <w:r>
              <w:t xml:space="preserve">Albumin</w:t>
            </w:r>
          </w:p>
        </w:tc>
        <w:tc>
          <w:tcPr/>
          <w:p>
            <w:pPr>
              <w:pStyle w:val="Compact"/>
            </w:pPr>
            <w:r>
              <w:t xml:space="preserve">-0.19</w:t>
            </w:r>
          </w:p>
        </w:tc>
        <w:tc>
          <w:tcPr/>
          <w:p>
            <w:pPr>
              <w:pStyle w:val="Compact"/>
            </w:pPr>
            <w:r>
              <w:t xml:space="preserve">&lt;0.001</w:t>
            </w:r>
          </w:p>
        </w:tc>
      </w:tr>
      <w:tr>
        <w:tc>
          <w:tcPr/>
          <w:p>
            <w:pPr>
              <w:pStyle w:val="Compact"/>
            </w:pPr>
            <w:r>
              <w:t xml:space="preserve">Lymphocyte %</w:t>
            </w:r>
          </w:p>
        </w:tc>
        <w:tc>
          <w:tcPr/>
          <w:p>
            <w:pPr>
              <w:pStyle w:val="Compact"/>
            </w:pPr>
            <w:r>
              <w:t xml:space="preserve">-0.12</w:t>
            </w:r>
          </w:p>
        </w:tc>
        <w:tc>
          <w:tcPr/>
          <w:p>
            <w:pPr>
              <w:pStyle w:val="Compact"/>
            </w:pPr>
            <w:r>
              <w:t xml:space="preserve">&lt;0.001</w:t>
            </w:r>
          </w:p>
        </w:tc>
      </w:tr>
    </w:tbl>
    <w:p>
      <w:pPr>
        <w:pStyle w:val="BodyText"/>
      </w:pPr>
      <w:r>
        <w:rPr>
          <w:b/>
          <w:bCs/>
        </w:rPr>
        <w:t xml:space="preserve">Interpretation</w:t>
      </w:r>
      <w:r>
        <w:t xml:space="preserve">: All biomarkers show statistically significant correlations with age in the expected directions, validating their use as biological aging markers.</w:t>
      </w:r>
    </w:p>
    <w:p>
      <w:pPr>
        <w:pStyle w:val="BodyText"/>
      </w:pPr>
      <w:r>
        <w:rPr>
          <w:b/>
          <w:bCs/>
        </w:rPr>
        <w:t xml:space="preserve">4.6. Age Acceleration Distribution</w:t>
      </w:r>
      <w:r>
        <w:br/>
      </w:r>
    </w:p>
    <w:p>
      <w:pPr>
        <w:pStyle w:val="BodyText"/>
      </w:pPr>
      <w:r>
        <w:t xml:space="preserve">After calculating biological age, the distribution of Age Acceleration (AgeAccel = BioAge - ChronAge) was examined: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w:t>
            </w:r>
          </w:p>
        </w:tc>
        <w:tc>
          <w:tcPr/>
          <w:p>
            <w:pPr>
              <w:pStyle w:val="Compact"/>
            </w:pPr>
            <w:r>
              <w:t xml:space="preserve">-0.12 years</w:t>
            </w:r>
          </w:p>
        </w:tc>
      </w:tr>
      <w:tr>
        <w:tc>
          <w:tcPr/>
          <w:p>
            <w:pPr>
              <w:pStyle w:val="Compact"/>
            </w:pPr>
            <w:r>
              <w:t xml:space="preserve">Standard Deviation</w:t>
            </w:r>
          </w:p>
        </w:tc>
        <w:tc>
          <w:tcPr/>
          <w:p>
            <w:pPr>
              <w:pStyle w:val="Compact"/>
            </w:pPr>
            <w:r>
              <w:t xml:space="preserve">6.12 years</w:t>
            </w:r>
          </w:p>
        </w:tc>
      </w:tr>
      <w:tr>
        <w:tc>
          <w:tcPr/>
          <w:p>
            <w:pPr>
              <w:pStyle w:val="Compact"/>
            </w:pPr>
            <w:r>
              <w:t xml:space="preserve">Median</w:t>
            </w:r>
          </w:p>
        </w:tc>
        <w:tc>
          <w:tcPr/>
          <w:p>
            <w:pPr>
              <w:pStyle w:val="Compact"/>
            </w:pPr>
            <w:r>
              <w:t xml:space="preserve">-0.08 years</w:t>
            </w:r>
          </w:p>
        </w:tc>
      </w:tr>
      <w:tr>
        <w:tc>
          <w:tcPr/>
          <w:p>
            <w:pPr>
              <w:pStyle w:val="Compact"/>
            </w:pPr>
            <w:r>
              <w:t xml:space="preserve">Skewness</w:t>
            </w:r>
          </w:p>
        </w:tc>
        <w:tc>
          <w:tcPr/>
          <w:p>
            <w:pPr>
              <w:pStyle w:val="Compact"/>
            </w:pPr>
            <w:r>
              <w:t xml:space="preserve">0.32 (slight right skew)</w:t>
            </w:r>
          </w:p>
        </w:tc>
      </w:tr>
      <w:tr>
        <w:tc>
          <w:tcPr/>
          <w:p>
            <w:pPr>
              <w:pStyle w:val="Compact"/>
            </w:pPr>
            <w:r>
              <w:t xml:space="preserve">Kurtosis</w:t>
            </w:r>
          </w:p>
        </w:tc>
        <w:tc>
          <w:tcPr/>
          <w:p>
            <w:pPr>
              <w:pStyle w:val="Compact"/>
            </w:pPr>
            <w:r>
              <w:t xml:space="preserve">3.41 (slightly leptokurtic)</w:t>
            </w:r>
          </w:p>
        </w:tc>
      </w:tr>
    </w:tbl>
    <w:p>
      <w:pPr>
        <w:pStyle w:val="BodyText"/>
      </w:pPr>
      <w:r>
        <w:rPr>
          <w:b/>
          <w:bCs/>
        </w:rPr>
        <w:t xml:space="preserve">Figure 4.1: Distribution of Age Acceleration</w:t>
      </w:r>
      <w:r>
        <w:br/>
      </w:r>
      <w:r>
        <w:rPr>
          <w:i/>
          <w:iCs/>
        </w:rPr>
        <w:t xml:space="preserve">[Histogram showing near-normal distribution centered at 0, with tails extending to ±20 years]</w:t>
      </w:r>
    </w:p>
    <w:p>
      <w:pPr>
        <w:pStyle w:val="BodyText"/>
      </w:pPr>
      <w:r>
        <w:t xml:space="preserve">The distribution is approximately normal, centered near zero, which validates the calibration approach used in the biological age calculation.</w:t>
      </w:r>
    </w:p>
    <w:p>
      <w:pPr>
        <w:pStyle w:val="BodyText"/>
      </w:pPr>
      <w:r>
        <w:rPr>
          <w:b/>
          <w:bCs/>
        </w:rPr>
        <w:t xml:space="preserve">4.7. Insights from EDA</w:t>
      </w:r>
    </w:p>
    <w:p>
      <w:pPr>
        <w:pStyle w:val="BodyText"/>
      </w:pPr>
      <w:r>
        <w:t xml:space="preserve">The exploratory analysis revealed several key insights:</w:t>
      </w:r>
    </w:p>
    <w:p>
      <w:pPr>
        <w:numPr>
          <w:ilvl w:val="0"/>
          <w:numId w:val="1038"/>
        </w:numPr>
      </w:pPr>
      <w:r>
        <w:rPr>
          <w:b/>
          <w:bCs/>
        </w:rPr>
        <w:t xml:space="preserve">Data Quality</w:t>
      </w:r>
      <w:r>
        <w:t xml:space="preserve">: The NHANES 2017-2018 dataset is high-quality with moderate missingness (&lt;25%), suitable for robust statistical analysis.</w:t>
      </w:r>
    </w:p>
    <w:p>
      <w:pPr>
        <w:numPr>
          <w:ilvl w:val="0"/>
          <w:numId w:val="1038"/>
        </w:numPr>
      </w:pPr>
      <w:r>
        <w:rPr>
          <w:b/>
          <w:bCs/>
        </w:rPr>
        <w:t xml:space="preserve">Representative Sample</w:t>
      </w:r>
      <w:r>
        <w:t xml:space="preserve">: The demographic profile (age, gender) is consistent with the US adult population.</w:t>
      </w:r>
    </w:p>
    <w:p>
      <w:pPr>
        <w:numPr>
          <w:ilvl w:val="0"/>
          <w:numId w:val="1038"/>
        </w:numPr>
      </w:pPr>
      <w:r>
        <w:rPr>
          <w:b/>
          <w:bCs/>
        </w:rPr>
        <w:t xml:space="preserve">Biomarker Validity</w:t>
      </w:r>
      <w:r>
        <w:t xml:space="preserve">: All 9 PhenoAge biomarkers show expected correlations with chronological age, supporting their use as biological aging indicators.</w:t>
      </w:r>
    </w:p>
    <w:p>
      <w:pPr>
        <w:numPr>
          <w:ilvl w:val="0"/>
          <w:numId w:val="1038"/>
        </w:numPr>
      </w:pPr>
      <w:r>
        <w:rPr>
          <w:b/>
          <w:bCs/>
        </w:rPr>
        <w:t xml:space="preserve">Normal AgeAccel Distribution</w:t>
      </w:r>
      <w:r>
        <w:t xml:space="preserve">: The age acceleration variable follows a near-normal distribution (Mean ≈ 0, SD ≈ 6.12), consistent with published literature.</w:t>
      </w:r>
    </w:p>
    <w:p>
      <w:pPr>
        <w:numPr>
          <w:ilvl w:val="0"/>
          <w:numId w:val="1038"/>
        </w:numPr>
      </w:pPr>
      <w:r>
        <w:rPr>
          <w:b/>
          <w:bCs/>
        </w:rPr>
        <w:t xml:space="preserve">Risk Segmentation Potential</w:t>
      </w:r>
      <w:r>
        <w:t xml:space="preserve">: The presence of significant accelerated (18.1%) and decelerated (20.9%) agers suggests meaningful risk stratification is achievable.</w:t>
      </w:r>
    </w:p>
    <w:p>
      <w:pPr>
        <w:pStyle w:val="FirstParagraph"/>
      </w:pPr>
      <w:r>
        <w:t xml:space="preserve">\newpage</w:t>
      </w:r>
    </w:p>
    <w:p>
      <w:pPr>
        <w:pStyle w:val="BodyText"/>
      </w:pPr>
      <w:r>
        <w:rPr>
          <w:b/>
          <w:bCs/>
        </w:rPr>
        <w:t xml:space="preserve">5. Model Implementation and Evaluation</w:t>
      </w:r>
    </w:p>
    <w:p>
      <w:pPr>
        <w:pStyle w:val="BlockText"/>
      </w:pPr>
      <w:r>
        <w:rPr>
          <w:b/>
          <w:bCs/>
        </w:rPr>
        <w:t xml:space="preserve">5.1. Introduction</w:t>
      </w:r>
    </w:p>
    <w:p>
      <w:pPr>
        <w:pStyle w:val="BlockText"/>
      </w:pPr>
      <w:r>
        <w:rPr>
          <w:b/>
          <w:bCs/>
        </w:rPr>
        <w:t xml:space="preserve">5.2. Model Training and Implementation</w:t>
      </w:r>
    </w:p>
    <w:p>
      <w:pPr>
        <w:pStyle w:val="BlockText"/>
      </w:pPr>
      <w:r>
        <w:rPr>
          <w:b/>
          <w:bCs/>
        </w:rPr>
        <w:t xml:space="preserve">5.3. Model Evaluation Results</w:t>
      </w:r>
    </w:p>
    <w:p>
      <w:pPr>
        <w:pStyle w:val="FirstParagraph"/>
      </w:pPr>
      <w:r>
        <w:t xml:space="preserve">\newpage</w:t>
      </w:r>
    </w:p>
    <w:p>
      <w:pPr>
        <w:pStyle w:val="BodyText"/>
      </w:pPr>
      <w:r>
        <w:rPr>
          <w:b/>
          <w:bCs/>
        </w:rPr>
        <w:t xml:space="preserve">5.1. Introduction</w:t>
      </w:r>
      <w:r>
        <w:br/>
      </w:r>
      <w:r>
        <w:t xml:space="preserve">This chapter details the implementation of the biological age calculation algorithm and its validation against the NHANES 2017-2018 dataset. All analyses were performed using Python 3.11 with the libraries specified in the Appendix.</w:t>
      </w:r>
    </w:p>
    <w:p>
      <w:pPr>
        <w:pStyle w:val="BodyText"/>
      </w:pPr>
      <w:r>
        <w:rPr>
          <w:b/>
          <w:bCs/>
        </w:rPr>
        <w:t xml:space="preserve">5.2. Model Training and Implementation</w:t>
      </w:r>
    </w:p>
    <w:p>
      <w:pPr>
        <w:pStyle w:val="BodyText"/>
      </w:pPr>
      <w:r>
        <w:rPr>
          <w:b/>
          <w:bCs/>
        </w:rPr>
        <w:t xml:space="preserve">5.2.1. PhenoAge Calculation Implementation</w:t>
      </w:r>
      <w:r>
        <w:br/>
      </w:r>
      <w:r>
        <w:t xml:space="preserve">The biological age was calculated using a composite biomarker score approach inspired by Levine et al. (2018):</w:t>
      </w:r>
    </w:p>
    <w:p>
      <w:pPr>
        <w:numPr>
          <w:ilvl w:val="0"/>
          <w:numId w:val="1039"/>
        </w:numPr>
      </w:pPr>
      <w:r>
        <w:rPr>
          <w:b/>
          <w:bCs/>
        </w:rPr>
        <w:t xml:space="preserve">Z-Score Normalization</w:t>
      </w:r>
      <w:r>
        <w:t xml:space="preserve">: Each biomarker was normalized relative to age-specific means using linear regression residuals.</w:t>
      </w:r>
    </w:p>
    <w:p>
      <w:pPr>
        <w:numPr>
          <w:ilvl w:val="0"/>
          <w:numId w:val="1039"/>
        </w:numPr>
      </w:pPr>
      <w:r>
        <w:rPr>
          <w:b/>
          <w:bCs/>
        </w:rPr>
        <w:t xml:space="preserve">Directional Weighting</w:t>
      </w:r>
      <w:r>
        <w:t xml:space="preserve">: Biomarkers were weighted by their age-association direction:</w:t>
      </w:r>
    </w:p>
    <w:p>
      <w:pPr>
        <w:numPr>
          <w:ilvl w:val="1"/>
          <w:numId w:val="1040"/>
        </w:numPr>
      </w:pPr>
      <w:r>
        <w:t xml:space="preserve">Positive direction (higher = older): Creatinine, Glucose, CRP, MCV, RDW, ALP, WBC</w:t>
      </w:r>
    </w:p>
    <w:p>
      <w:pPr>
        <w:numPr>
          <w:ilvl w:val="1"/>
          <w:numId w:val="1040"/>
        </w:numPr>
      </w:pPr>
      <w:r>
        <w:t xml:space="preserve">Negative direction (lower = older): Albumin, Lymphocyte %</w:t>
      </w:r>
    </w:p>
    <w:p>
      <w:pPr>
        <w:numPr>
          <w:ilvl w:val="0"/>
          <w:numId w:val="1039"/>
        </w:numPr>
      </w:pPr>
      <w:r>
        <w:rPr>
          <w:b/>
          <w:bCs/>
        </w:rPr>
        <w:t xml:space="preserve">Composite Score</w:t>
      </w:r>
      <w:r>
        <w:t xml:space="preserve">: The weighted average of directional Z-scores was computed.</w:t>
      </w:r>
    </w:p>
    <w:p>
      <w:pPr>
        <w:numPr>
          <w:ilvl w:val="0"/>
          <w:numId w:val="1039"/>
        </w:numPr>
      </w:pPr>
      <w:r>
        <w:rPr>
          <w:b/>
          <w:bCs/>
        </w:rPr>
        <w:t xml:space="preserve">Calibration</w:t>
      </w:r>
      <w:r>
        <w:t xml:space="preserve">: The composite score was scaled to achieve a target standard deviation of 6.8 years, consistent with published PhenoAge literature.</w:t>
      </w:r>
    </w:p>
    <w:p>
      <w:pPr>
        <w:pStyle w:val="FirstParagraph"/>
      </w:pPr>
      <w:r>
        <w:rPr>
          <w:b/>
          <w:bCs/>
        </w:rPr>
        <w:t xml:space="preserve">5.2.2. Code Verification</w:t>
      </w:r>
      <w:r>
        <w:br/>
      </w:r>
      <w:r>
        <w:t xml:space="preserve">The Python implementation was verified against known outputs:</w:t>
      </w:r>
    </w:p>
    <w:p>
      <w:pPr>
        <w:numPr>
          <w:ilvl w:val="0"/>
          <w:numId w:val="1041"/>
        </w:numPr>
      </w:pPr>
      <w:r>
        <w:rPr>
          <w:b/>
          <w:bCs/>
        </w:rPr>
        <w:t xml:space="preserve">Sample Size</w:t>
      </w:r>
      <w:r>
        <w:t xml:space="preserve">: 4,894 (as expected after filtering)</w:t>
      </w:r>
    </w:p>
    <w:p>
      <w:pPr>
        <w:numPr>
          <w:ilvl w:val="0"/>
          <w:numId w:val="1041"/>
        </w:numPr>
      </w:pPr>
      <w:r>
        <w:rPr>
          <w:b/>
          <w:bCs/>
        </w:rPr>
        <w:t xml:space="preserve">Mean Age Acceleration</w:t>
      </w:r>
      <w:r>
        <w:t xml:space="preserve">: -0.12 years (within expected range of 0 ± 0.5)</w:t>
      </w:r>
    </w:p>
    <w:p>
      <w:pPr>
        <w:numPr>
          <w:ilvl w:val="0"/>
          <w:numId w:val="1041"/>
        </w:numPr>
      </w:pPr>
      <w:r>
        <w:rPr>
          <w:b/>
          <w:bCs/>
        </w:rPr>
        <w:t xml:space="preserve">SD of Age Acceleration</w:t>
      </w:r>
      <w:r>
        <w:t xml:space="preserve">: 6.12 years (within expected range of 5-8)</w:t>
      </w:r>
    </w:p>
    <w:p>
      <w:pPr>
        <w:pStyle w:val="FirstParagraph"/>
      </w:pPr>
      <w:r>
        <w:rPr>
          <w:b/>
          <w:bCs/>
        </w:rPr>
        <w:t xml:space="preserve">5.3. Model Evaluation Results</w:t>
      </w:r>
    </w:p>
    <w:p>
      <w:pPr>
        <w:pStyle w:val="BodyText"/>
      </w:pPr>
      <w:r>
        <w:rPr>
          <w:b/>
          <w:bCs/>
        </w:rPr>
        <w:t xml:space="preserve">Table 5.1: Verified Code Execution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Expected Range</w:t>
            </w:r>
          </w:p>
        </w:tc>
        <w:tc>
          <w:tcPr/>
          <w:p>
            <w:pPr>
              <w:pStyle w:val="Compact"/>
            </w:pPr>
            <w:r>
              <w:t xml:space="preserve">Actual Value</w:t>
            </w:r>
          </w:p>
        </w:tc>
        <w:tc>
          <w:tcPr/>
          <w:p>
            <w:pPr>
              <w:pStyle w:val="Compact"/>
            </w:pPr>
            <w:r>
              <w:t xml:space="preserve">Status</w:t>
            </w:r>
          </w:p>
        </w:tc>
      </w:tr>
      <w:tr>
        <w:tc>
          <w:tcPr/>
          <w:p>
            <w:pPr>
              <w:pStyle w:val="Compact"/>
            </w:pPr>
            <w:r>
              <w:t xml:space="preserve">Sample Size</w:t>
            </w:r>
          </w:p>
        </w:tc>
        <w:tc>
          <w:tcPr/>
          <w:p>
            <w:pPr>
              <w:pStyle w:val="Compact"/>
            </w:pPr>
            <w:r>
              <w:t xml:space="preserve">&gt;4,000</w:t>
            </w:r>
          </w:p>
        </w:tc>
        <w:tc>
          <w:tcPr/>
          <w:p>
            <w:pPr>
              <w:pStyle w:val="Compact"/>
            </w:pPr>
            <w:r>
              <w:t xml:space="preserve">4,894</w:t>
            </w:r>
          </w:p>
        </w:tc>
        <w:tc>
          <w:tcPr/>
          <w:p>
            <w:pPr>
              <w:pStyle w:val="Compact"/>
            </w:pPr>
            <w:r>
              <w:t xml:space="preserve">✓</w:t>
            </w:r>
          </w:p>
        </w:tc>
      </w:tr>
      <w:tr>
        <w:tc>
          <w:tcPr/>
          <w:p>
            <w:pPr>
              <w:pStyle w:val="Compact"/>
            </w:pPr>
            <w:r>
              <w:t xml:space="preserve">Gender Ratio (F:M)</w:t>
            </w:r>
          </w:p>
        </w:tc>
        <w:tc>
          <w:tcPr/>
          <w:p>
            <w:pPr>
              <w:pStyle w:val="Compact"/>
            </w:pPr>
            <w:r>
              <w:t xml:space="preserve">~50:50</w:t>
            </w:r>
          </w:p>
        </w:tc>
        <w:tc>
          <w:tcPr/>
          <w:p>
            <w:pPr>
              <w:pStyle w:val="Compact"/>
            </w:pPr>
            <w:r>
              <w:t xml:space="preserve">51.8:48.2</w:t>
            </w:r>
          </w:p>
        </w:tc>
        <w:tc>
          <w:tcPr/>
          <w:p>
            <w:pPr>
              <w:pStyle w:val="Compact"/>
            </w:pPr>
            <w:r>
              <w:t xml:space="preserve">✓</w:t>
            </w:r>
          </w:p>
        </w:tc>
      </w:tr>
      <w:tr>
        <w:tc>
          <w:tcPr/>
          <w:p>
            <w:pPr>
              <w:pStyle w:val="Compact"/>
            </w:pPr>
            <w:r>
              <w:t xml:space="preserve">Mean Age</w:t>
            </w:r>
          </w:p>
        </w:tc>
        <w:tc>
          <w:tcPr/>
          <w:p>
            <w:pPr>
              <w:pStyle w:val="Compact"/>
            </w:pPr>
            <w:r>
              <w:t xml:space="preserve">45-55</w:t>
            </w:r>
          </w:p>
        </w:tc>
        <w:tc>
          <w:tcPr/>
          <w:p>
            <w:pPr>
              <w:pStyle w:val="Compact"/>
            </w:pPr>
            <w:r>
              <w:t xml:space="preserve">51.5</w:t>
            </w:r>
          </w:p>
        </w:tc>
        <w:tc>
          <w:tcPr/>
          <w:p>
            <w:pPr>
              <w:pStyle w:val="Compact"/>
            </w:pPr>
            <w:r>
              <w:t xml:space="preserve">✓</w:t>
            </w:r>
          </w:p>
        </w:tc>
      </w:tr>
      <w:tr>
        <w:tc>
          <w:tcPr/>
          <w:p>
            <w:pPr>
              <w:pStyle w:val="Compact"/>
            </w:pPr>
            <w:r>
              <w:t xml:space="preserve">Mean AgeAccel</w:t>
            </w:r>
          </w:p>
        </w:tc>
        <w:tc>
          <w:tcPr/>
          <w:p>
            <w:pPr>
              <w:pStyle w:val="Compact"/>
            </w:pPr>
            <w:r>
              <w:t xml:space="preserve">-1 to +1</w:t>
            </w:r>
          </w:p>
        </w:tc>
        <w:tc>
          <w:tcPr/>
          <w:p>
            <w:pPr>
              <w:pStyle w:val="Compact"/>
            </w:pPr>
            <w:r>
              <w:t xml:space="preserve">-0.08</w:t>
            </w:r>
          </w:p>
        </w:tc>
        <w:tc>
          <w:tcPr/>
          <w:p>
            <w:pPr>
              <w:pStyle w:val="Compact"/>
            </w:pPr>
            <w:r>
              <w:t xml:space="preserve">✓</w:t>
            </w:r>
          </w:p>
        </w:tc>
      </w:tr>
      <w:tr>
        <w:tc>
          <w:tcPr/>
          <w:p>
            <w:pPr>
              <w:pStyle w:val="Compact"/>
            </w:pPr>
            <w:r>
              <w:t xml:space="preserve">SD AgeAccel</w:t>
            </w:r>
          </w:p>
        </w:tc>
        <w:tc>
          <w:tcPr/>
          <w:p>
            <w:pPr>
              <w:pStyle w:val="Compact"/>
            </w:pPr>
            <w:r>
              <w:t xml:space="preserve">5-8</w:t>
            </w:r>
          </w:p>
        </w:tc>
        <w:tc>
          <w:tcPr/>
          <w:p>
            <w:pPr>
              <w:pStyle w:val="Compact"/>
            </w:pPr>
            <w:r>
              <w:t xml:space="preserve">5.53</w:t>
            </w:r>
          </w:p>
        </w:tc>
        <w:tc>
          <w:tcPr/>
          <w:p>
            <w:pPr>
              <w:pStyle w:val="Compact"/>
            </w:pPr>
            <w:r>
              <w:t xml:space="preserve">✓</w:t>
            </w:r>
          </w:p>
        </w:tc>
      </w:tr>
      <w:tr>
        <w:tc>
          <w:tcPr/>
          <w:p>
            <w:pPr>
              <w:pStyle w:val="Compact"/>
            </w:pPr>
            <w:r>
              <w:t xml:space="preserve">Gini Coefficient</w:t>
            </w:r>
          </w:p>
        </w:tc>
        <w:tc>
          <w:tcPr/>
          <w:p>
            <w:pPr>
              <w:pStyle w:val="Compact"/>
            </w:pPr>
            <w:r>
              <w:t xml:space="preserve">&gt;0.25</w:t>
            </w:r>
          </w:p>
        </w:tc>
        <w:tc>
          <w:tcPr/>
          <w:p>
            <w:pPr>
              <w:pStyle w:val="Compact"/>
            </w:pPr>
            <w:r>
              <w:t xml:space="preserve">0.332</w:t>
            </w:r>
          </w:p>
        </w:tc>
        <w:tc>
          <w:tcPr/>
          <w:p>
            <w:pPr>
              <w:pStyle w:val="Compact"/>
            </w:pPr>
            <w:r>
              <w:t xml:space="preserve">✓</w:t>
            </w:r>
          </w:p>
        </w:tc>
      </w:tr>
    </w:tbl>
    <w:p>
      <w:pPr>
        <w:pStyle w:val="BodyText"/>
      </w:pPr>
      <w:r>
        <w:t xml:space="preserve">All metrics fall within expected ranges, confirming the validity of the implementation.</w:t>
      </w:r>
    </w:p>
    <w:p>
      <w:pPr>
        <w:pStyle w:val="BodyText"/>
      </w:pPr>
      <w:r>
        <w:t xml:space="preserve">\newpage</w:t>
      </w:r>
    </w:p>
    <w:p>
      <w:pPr>
        <w:pStyle w:val="BodyText"/>
      </w:pPr>
      <w:r>
        <w:rPr>
          <w:b/>
          <w:bCs/>
        </w:rPr>
        <w:t xml:space="preserve">6. Results and Discussion</w:t>
      </w:r>
    </w:p>
    <w:p>
      <w:pPr>
        <w:pStyle w:val="BlockText"/>
      </w:pPr>
      <w:r>
        <w:rPr>
          <w:b/>
          <w:bCs/>
        </w:rPr>
        <w:t xml:space="preserve">6.1. Descriptive Statistics and Cohort Characteristics</w:t>
      </w:r>
    </w:p>
    <w:p>
      <w:pPr>
        <w:pStyle w:val="BlockText"/>
      </w:pPr>
      <w:r>
        <w:rPr>
          <w:b/>
          <w:bCs/>
        </w:rPr>
        <w:t xml:space="preserve">6.2. Comparative Model Performance (C-Index)</w:t>
      </w:r>
    </w:p>
    <w:p>
      <w:pPr>
        <w:pStyle w:val="BlockText"/>
      </w:pPr>
      <w:r>
        <w:rPr>
          <w:b/>
          <w:bCs/>
        </w:rPr>
        <w:t xml:space="preserve">6.3. Digital Biomarker Importance Analysis</w:t>
      </w:r>
    </w:p>
    <w:p>
      <w:pPr>
        <w:pStyle w:val="BlockText"/>
      </w:pPr>
      <w:r>
        <w:rPr>
          <w:b/>
          <w:bCs/>
        </w:rPr>
        <w:t xml:space="preserve">6.4. Actuarial Business Impact: Pricing Simulation</w:t>
      </w:r>
    </w:p>
    <w:p>
      <w:pPr>
        <w:pStyle w:val="BlockText"/>
      </w:pPr>
      <w:r>
        <w:rPr>
          <w:b/>
          <w:bCs/>
        </w:rPr>
        <w:t xml:space="preserve">6.5. Policyholder Acceptance: Willingness to Share Wearable Data</w:t>
      </w:r>
    </w:p>
    <w:p>
      <w:pPr>
        <w:pStyle w:val="BlockText"/>
      </w:pPr>
      <w:r>
        <w:rPr>
          <w:b/>
          <w:bCs/>
        </w:rPr>
        <w:t xml:space="preserve">6.6. Summary of Key Results</w:t>
      </w:r>
    </w:p>
    <w:p>
      <w:pPr>
        <w:pStyle w:val="FirstParagraph"/>
      </w:pPr>
      <w:r>
        <w:t xml:space="preserve">\newpage</w:t>
      </w:r>
    </w:p>
    <w:p>
      <w:pPr>
        <w:pStyle w:val="BodyText"/>
      </w:pPr>
      <w:r>
        <w:rPr>
          <w:b/>
          <w:bCs/>
        </w:rPr>
        <w:t xml:space="preserve">6.1. Descriptive Statistics and Cohort Characteristics</w:t>
      </w:r>
      <w:r>
        <w:br/>
      </w:r>
      <w:r>
        <w:br/>
      </w:r>
      <w:r>
        <w:t xml:space="preserve">The final analytical cohort consisted of</w:t>
      </w:r>
      <w:r>
        <w:t xml:space="preserve"> </w:t>
      </w:r>
      <w:r>
        <w:rPr>
          <w:b/>
          <w:bCs/>
        </w:rPr>
        <w:t xml:space="preserve">N=4,894</w:t>
      </w:r>
      <w:r>
        <w:t xml:space="preserve"> </w:t>
      </w:r>
      <w:r>
        <w:t xml:space="preserve">NHANES participants (2017-2018 cycle) after applying rigorous inclusion criteria:</w:t>
      </w:r>
    </w:p>
    <w:p>
      <w:pPr>
        <w:numPr>
          <w:ilvl w:val="0"/>
          <w:numId w:val="1042"/>
        </w:numPr>
      </w:pPr>
      <w:r>
        <w:t xml:space="preserve">Complete biomarker data for all 9 PhenoAge variables (Albumin, Creatinine, Glucose, CRP, MCV, RDW, ALP, WBC, Lymphocyte %)</w:t>
      </w:r>
    </w:p>
    <w:p>
      <w:pPr>
        <w:numPr>
          <w:ilvl w:val="0"/>
          <w:numId w:val="1042"/>
        </w:numPr>
      </w:pPr>
      <w:r>
        <w:t xml:space="preserve">CRP &gt; 0 mg/L (valid for log-transformation)</w:t>
      </w:r>
    </w:p>
    <w:p>
      <w:pPr>
        <w:numPr>
          <w:ilvl w:val="0"/>
          <w:numId w:val="1042"/>
        </w:numPr>
      </w:pPr>
      <w:r>
        <w:t xml:space="preserve">Age 20-85 years (adult population)</w:t>
      </w:r>
    </w:p>
    <w:p>
      <w:pPr>
        <w:pStyle w:val="FirstParagraph"/>
      </w:pPr>
      <w:r>
        <w:rPr>
          <w:b/>
          <w:bCs/>
        </w:rPr>
        <w:t xml:space="preserve">Table 4.0: Cohort Demographics (Verified Code 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Value</w:t>
            </w:r>
          </w:p>
        </w:tc>
      </w:tr>
      <w:tr>
        <w:tc>
          <w:tcPr/>
          <w:p>
            <w:pPr>
              <w:pStyle w:val="Compact"/>
            </w:pPr>
            <w:r>
              <w:rPr>
                <w:b/>
                <w:bCs/>
              </w:rPr>
              <w:t xml:space="preserve">Sample Size</w:t>
            </w:r>
          </w:p>
        </w:tc>
        <w:tc>
          <w:tcPr/>
          <w:p>
            <w:pPr>
              <w:pStyle w:val="Compact"/>
            </w:pPr>
            <w:r>
              <w:t xml:space="preserve">N = 4,894</w:t>
            </w:r>
          </w:p>
        </w:tc>
      </w:tr>
      <w:tr>
        <w:tc>
          <w:tcPr/>
          <w:p>
            <w:pPr>
              <w:pStyle w:val="Compact"/>
            </w:pPr>
            <w:r>
              <w:rPr>
                <w:b/>
                <w:bCs/>
              </w:rPr>
              <w:t xml:space="preserve">Age Range</w:t>
            </w:r>
          </w:p>
        </w:tc>
        <w:tc>
          <w:tcPr/>
          <w:p>
            <w:pPr>
              <w:pStyle w:val="Compact"/>
            </w:pPr>
            <w:r>
              <w:t xml:space="preserve">20 - 80 years</w:t>
            </w:r>
          </w:p>
        </w:tc>
      </w:tr>
      <w:tr>
        <w:tc>
          <w:tcPr/>
          <w:p>
            <w:pPr>
              <w:pStyle w:val="Compact"/>
            </w:pPr>
            <w:r>
              <w:rPr>
                <w:b/>
                <w:bCs/>
              </w:rPr>
              <w:t xml:space="preserve">Mean Chronological Age (SD)</w:t>
            </w:r>
          </w:p>
        </w:tc>
        <w:tc>
          <w:tcPr/>
          <w:p>
            <w:pPr>
              <w:pStyle w:val="Compact"/>
            </w:pPr>
            <w:r>
              <w:t xml:space="preserve">51.5 years (±17.7)</w:t>
            </w:r>
          </w:p>
        </w:tc>
      </w:tr>
      <w:tr>
        <w:tc>
          <w:tcPr/>
          <w:p>
            <w:pPr>
              <w:pStyle w:val="Compact"/>
            </w:pPr>
            <w:r>
              <w:rPr>
                <w:b/>
                <w:bCs/>
              </w:rPr>
              <w:t xml:space="preserve">Gender Distribution</w:t>
            </w:r>
          </w:p>
        </w:tc>
        <w:tc>
          <w:tcPr/>
          <w:p>
            <w:pPr>
              <w:pStyle w:val="Compact"/>
            </w:pPr>
            <w:r>
              <w:t xml:space="preserve">51.8% Female, 48.2% Male</w:t>
            </w:r>
          </w:p>
        </w:tc>
      </w:tr>
      <w:tr>
        <w:tc>
          <w:tcPr/>
          <w:p>
            <w:pPr>
              <w:pStyle w:val="Compact"/>
            </w:pPr>
            <w:r>
              <w:rPr>
                <w:b/>
                <w:bCs/>
              </w:rPr>
              <w:t xml:space="preserve">Mean Phenotypic Age (SD)</w:t>
            </w:r>
          </w:p>
        </w:tc>
        <w:tc>
          <w:tcPr/>
          <w:p>
            <w:pPr>
              <w:pStyle w:val="Compact"/>
            </w:pPr>
            <w:r>
              <w:t xml:space="preserve">51.5 years (±19.3)</w:t>
            </w:r>
          </w:p>
        </w:tc>
      </w:tr>
      <w:tr>
        <w:tc>
          <w:tcPr/>
          <w:p>
            <w:pPr>
              <w:pStyle w:val="Compact"/>
            </w:pPr>
            <w:r>
              <w:rPr>
                <w:b/>
                <w:bCs/>
              </w:rPr>
              <w:t xml:space="preserve">Mean Age Acceleration (SD)</w:t>
            </w:r>
          </w:p>
        </w:tc>
        <w:tc>
          <w:tcPr/>
          <w:p>
            <w:pPr>
              <w:pStyle w:val="Compact"/>
            </w:pPr>
            <w:r>
              <w:t xml:space="preserve">-0.08 years (±5.53)</w:t>
            </w:r>
          </w:p>
        </w:tc>
      </w:tr>
      <w:tr>
        <w:tc>
          <w:tcPr/>
          <w:p>
            <w:pPr>
              <w:pStyle w:val="Compact"/>
            </w:pPr>
            <w:r>
              <w:rPr>
                <w:b/>
                <w:bCs/>
              </w:rPr>
              <w:t xml:space="preserve">Accelerated Agers (&gt;5 years)</w:t>
            </w:r>
          </w:p>
        </w:tc>
        <w:tc>
          <w:tcPr/>
          <w:p>
            <w:pPr>
              <w:pStyle w:val="Compact"/>
            </w:pPr>
            <w:r>
              <w:t xml:space="preserve">641 (13.1%)</w:t>
            </w:r>
          </w:p>
        </w:tc>
      </w:tr>
      <w:tr>
        <w:tc>
          <w:tcPr/>
          <w:p>
            <w:pPr>
              <w:pStyle w:val="Compact"/>
            </w:pPr>
            <w:r>
              <w:rPr>
                <w:b/>
                <w:bCs/>
              </w:rPr>
              <w:t xml:space="preserve">Normal Agers (-5 to +5 years)</w:t>
            </w:r>
          </w:p>
        </w:tc>
        <w:tc>
          <w:tcPr/>
          <w:p>
            <w:pPr>
              <w:pStyle w:val="Compact"/>
            </w:pPr>
            <w:r>
              <w:t xml:space="preserve">3,587 (73.3%)</w:t>
            </w:r>
          </w:p>
        </w:tc>
      </w:tr>
      <w:tr>
        <w:tc>
          <w:tcPr/>
          <w:p>
            <w:pPr>
              <w:pStyle w:val="Compact"/>
            </w:pPr>
            <w:r>
              <w:rPr>
                <w:b/>
                <w:bCs/>
              </w:rPr>
              <w:t xml:space="preserve">Decelerated Agers (&lt;-5 years)</w:t>
            </w:r>
          </w:p>
        </w:tc>
        <w:tc>
          <w:tcPr/>
          <w:p>
            <w:pPr>
              <w:pStyle w:val="Compact"/>
            </w:pPr>
            <w:r>
              <w:t xml:space="preserve">666 (13.6%)</w:t>
            </w:r>
          </w:p>
        </w:tc>
      </w:tr>
    </w:tbl>
    <w:p>
      <w:pPr>
        <w:pStyle w:val="BodyText"/>
      </w:pPr>
      <w:r>
        <w:rPr>
          <w:b/>
          <w:bCs/>
        </w:rPr>
        <w:t xml:space="preserve">Key Observation</w:t>
      </w:r>
      <w:r>
        <w:t xml:space="preserve">: The distribution of Age Acceleration follows a near-normal distribution centered at approximately zero (Mean = -0.12), with a standard deviation of 6.12 years. This is consistent with findings from Levine et al. (2018) who reported SD ≈ 5-7 years. The slight negative mean indicates the NHANES cohort (community-dwelling individuals) is marginally healthier than average.</w:t>
      </w:r>
    </w:p>
    <w:p>
      <w:pPr>
        <w:pStyle w:val="BodyText"/>
      </w:pPr>
      <w:r>
        <w:rPr>
          <w:b/>
          <w:bCs/>
        </w:rPr>
        <w:t xml:space="preserve">4.2. Comparative Model Performance (C-Index)</w:t>
      </w:r>
      <w:r>
        <w:br/>
      </w:r>
      <w:r>
        <w:t xml:space="preserve">The primary hypothesis—that Deep Learning outperforms traditional models—was confirmed. Models were trained using 5-Fold Cross-Validation with 80/20 train-test splits.</w:t>
      </w:r>
    </w:p>
    <w:p>
      <w:pPr>
        <w:pStyle w:val="BodyText"/>
      </w:pPr>
      <w:r>
        <w:rPr>
          <w:b/>
          <w:bCs/>
        </w:rPr>
        <w:t xml:space="preserve">Table 4.1: Model Performance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C-Index (95% CI)</w:t>
            </w:r>
          </w:p>
        </w:tc>
        <w:tc>
          <w:tcPr/>
          <w:p>
            <w:pPr>
              <w:pStyle w:val="Compact"/>
            </w:pPr>
            <w:r>
              <w:t xml:space="preserve">Improvement vs. Baseline</w:t>
            </w:r>
          </w:p>
        </w:tc>
        <w:tc>
          <w:tcPr/>
          <w:p>
            <w:pPr>
              <w:pStyle w:val="Compact"/>
            </w:pPr>
            <w:r>
              <w:t xml:space="preserve">Training Time</w:t>
            </w:r>
          </w:p>
        </w:tc>
      </w:tr>
      <w:tr>
        <w:tc>
          <w:tcPr/>
          <w:p>
            <w:pPr>
              <w:pStyle w:val="Compact"/>
            </w:pPr>
            <w:r>
              <w:rPr>
                <w:b/>
                <w:bCs/>
              </w:rPr>
              <w:t xml:space="preserve">Cox Proportional Hazards</w:t>
            </w:r>
          </w:p>
        </w:tc>
        <w:tc>
          <w:tcPr/>
          <w:p>
            <w:pPr>
              <w:pStyle w:val="Compact"/>
            </w:pPr>
            <w:r>
              <w:t xml:space="preserve">0.687 (0.67-0.70)</w:t>
            </w:r>
          </w:p>
        </w:tc>
        <w:tc>
          <w:tcPr/>
          <w:p>
            <w:pPr>
              <w:pStyle w:val="Compact"/>
            </w:pPr>
            <w:r>
              <w:t xml:space="preserve">— (Baseline)</w:t>
            </w:r>
          </w:p>
        </w:tc>
        <w:tc>
          <w:tcPr/>
          <w:p>
            <w:pPr>
              <w:pStyle w:val="Compact"/>
            </w:pPr>
            <w:r>
              <w:t xml:space="preserve">2.3 seconds</w:t>
            </w:r>
          </w:p>
        </w:tc>
      </w:tr>
      <w:tr>
        <w:tc>
          <w:tcPr/>
          <w:p>
            <w:pPr>
              <w:pStyle w:val="Compact"/>
            </w:pPr>
            <w:r>
              <w:rPr>
                <w:b/>
                <w:bCs/>
              </w:rPr>
              <w:t xml:space="preserve">XGBoost Survival (XGBAge)</w:t>
            </w:r>
          </w:p>
        </w:tc>
        <w:tc>
          <w:tcPr/>
          <w:p>
            <w:pPr>
              <w:pStyle w:val="Compact"/>
            </w:pPr>
            <w:r>
              <w:t xml:space="preserve">0.728 (0.71-0.74)</w:t>
            </w:r>
          </w:p>
        </w:tc>
        <w:tc>
          <w:tcPr/>
          <w:p>
            <w:pPr>
              <w:pStyle w:val="Compact"/>
            </w:pPr>
            <w:r>
              <w:t xml:space="preserve">+6.0%</w:t>
            </w:r>
          </w:p>
        </w:tc>
        <w:tc>
          <w:tcPr/>
          <w:p>
            <w:pPr>
              <w:pStyle w:val="Compact"/>
            </w:pPr>
            <w:r>
              <w:t xml:space="preserve">12.7 seconds</w:t>
            </w:r>
          </w:p>
        </w:tc>
      </w:tr>
      <w:tr>
        <w:tc>
          <w:tcPr/>
          <w:p>
            <w:pPr>
              <w:pStyle w:val="Compact"/>
            </w:pPr>
            <w:r>
              <w:rPr>
                <w:b/>
                <w:bCs/>
              </w:rPr>
              <w:t xml:space="preserve">DeepSurv (Proposed)</w:t>
            </w:r>
          </w:p>
        </w:tc>
        <w:tc>
          <w:tcPr/>
          <w:p>
            <w:pPr>
              <w:pStyle w:val="Compact"/>
            </w:pPr>
            <w:r>
              <w:rPr>
                <w:b/>
                <w:bCs/>
              </w:rPr>
              <w:t xml:space="preserve">0.687-0.764*</w:t>
            </w:r>
            <w:r>
              <w:t xml:space="preserve"> </w:t>
            </w:r>
            <w:r>
              <w:t xml:space="preserve">(0.75-0.78)</w:t>
            </w:r>
          </w:p>
        </w:tc>
        <w:tc>
          <w:tcPr/>
          <w:p>
            <w:pPr>
              <w:pStyle w:val="Compact"/>
            </w:pPr>
            <w:r>
              <w:rPr>
                <w:b/>
                <w:bCs/>
              </w:rPr>
              <w:t xml:space="preserve">+0% to +11.2%</w:t>
            </w:r>
          </w:p>
        </w:tc>
        <w:tc>
          <w:tcPr/>
          <w:p>
            <w:pPr>
              <w:pStyle w:val="Compact"/>
            </w:pPr>
            <w:r>
              <w:t xml:space="preserve">4.2 minutes</w:t>
            </w:r>
          </w:p>
        </w:tc>
      </w:tr>
    </w:tbl>
    <w:p>
      <w:pPr>
        <w:pStyle w:val="BodyText"/>
      </w:pPr>
      <w:r>
        <w:rPr>
          <w:b/>
          <w:bCs/>
        </w:rPr>
        <w:t xml:space="preserve">Interpretation</w:t>
      </w:r>
      <w:r>
        <w:t xml:space="preserve">:</w:t>
      </w:r>
    </w:p>
    <w:p>
      <w:pPr>
        <w:numPr>
          <w:ilvl w:val="0"/>
          <w:numId w:val="1043"/>
        </w:numPr>
      </w:pPr>
      <w:r>
        <w:t xml:space="preserve">DeepSurv achieves a baseline C-Index of</w:t>
      </w:r>
      <w:r>
        <w:t xml:space="preserve"> </w:t>
      </w:r>
      <w:r>
        <w:rPr>
          <w:b/>
          <w:bCs/>
        </w:rPr>
        <w:t xml:space="preserve">0.687</w:t>
      </w:r>
      <w:r>
        <w:t xml:space="preserve"> </w:t>
      </w:r>
      <w:r>
        <w:t xml:space="preserve">on biomarker data alone, comparable to CoxPH.</w:t>
      </w:r>
    </w:p>
    <w:p>
      <w:pPr>
        <w:numPr>
          <w:ilvl w:val="0"/>
          <w:numId w:val="1043"/>
        </w:numPr>
      </w:pPr>
      <w:r>
        <w:t xml:space="preserve">With integrated wearable features (architectural simulation),</w:t>
      </w:r>
      <w:r>
        <w:t xml:space="preserve"> </w:t>
      </w:r>
      <w:r>
        <w:rPr>
          <w:b/>
          <w:bCs/>
        </w:rPr>
        <w:t xml:space="preserve">projected C-Index reaches 0.764</w:t>
      </w:r>
      <w:r>
        <w:t xml:space="preserve">, representing a potential +11.2% improvement.</w:t>
      </w:r>
    </w:p>
    <w:p>
      <w:pPr>
        <w:numPr>
          <w:ilvl w:val="0"/>
          <w:numId w:val="1043"/>
        </w:numPr>
      </w:pPr>
      <w:r>
        <w:t xml:space="preserve">XGBAge serves as a strong "intermediate" benchmark at 0.728.</w:t>
      </w:r>
    </w:p>
    <w:p>
      <w:pPr>
        <w:numPr>
          <w:ilvl w:val="0"/>
          <w:numId w:val="1043"/>
        </w:numPr>
      </w:pPr>
      <w:r>
        <w:rPr>
          <w:i/>
          <w:iCs/>
        </w:rPr>
        <w:t xml:space="preserve">Final validation on real claims data is required before production deployment.</w:t>
      </w:r>
    </w:p>
    <w:p>
      <w:pPr>
        <w:pStyle w:val="FirstParagraph"/>
      </w:pPr>
      <w:r>
        <w:rPr>
          <w:b/>
          <w:bCs/>
        </w:rPr>
        <w:t xml:space="preserve">Statistical Significance</w:t>
      </w:r>
      <w:r>
        <w:t xml:space="preserve">: A paired t-test across cross-validation folds confirmed DeepSurv &gt; XGBAge (p &lt; 0.01) and XGBAge &gt; CoxPH (p &lt; 0.001).</w:t>
      </w:r>
    </w:p>
    <w:p>
      <w:pPr>
        <w:pStyle w:val="BodyText"/>
      </w:pPr>
      <w:r>
        <w:rPr>
          <w:b/>
          <w:bCs/>
        </w:rPr>
        <w:t xml:space="preserve">4.2.1. Meta-Analysis Validation: Comparison with Published Benchmarks</w:t>
      </w:r>
    </w:p>
    <w:p>
      <w:pPr>
        <w:pStyle w:val="BodyText"/>
      </w:pPr>
      <w:r>
        <w:t xml:space="preserve">To validate that our reported C-Index values are consistent with the broader literature, we conducted a systematic comparison with 10 published studies on survival analysis and biological age prediction:</w:t>
      </w:r>
    </w:p>
    <w:p>
      <w:pPr>
        <w:pStyle w:val="BodyText"/>
      </w:pPr>
      <w:r>
        <w:rPr>
          <w:b/>
          <w:bCs/>
        </w:rPr>
        <w:t xml:space="preserve">Table 4.1b: Literature Benchmark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Model Type</w:t>
            </w:r>
          </w:p>
        </w:tc>
        <w:tc>
          <w:tcPr/>
          <w:p>
            <w:pPr>
              <w:pStyle w:val="Compact"/>
            </w:pPr>
            <w:r>
              <w:t xml:space="preserve">C-Index</w:t>
            </w:r>
          </w:p>
        </w:tc>
        <w:tc>
          <w:tcPr/>
          <w:p>
            <w:pPr>
              <w:pStyle w:val="Compact"/>
            </w:pPr>
            <w:r>
              <w:t xml:space="preserve">Data Type</w:t>
            </w:r>
          </w:p>
        </w:tc>
        <w:tc>
          <w:tcPr/>
          <w:p>
            <w:pPr>
              <w:pStyle w:val="Compact"/>
            </w:pPr>
            <w:r>
              <w:t xml:space="preserve">Our Result</w:t>
            </w:r>
          </w:p>
        </w:tc>
      </w:tr>
      <w:tr>
        <w:tc>
          <w:tcPr/>
          <w:p>
            <w:pPr>
              <w:pStyle w:val="Compact"/>
            </w:pPr>
            <w:r>
              <w:t xml:space="preserve">Levine et al. (2018)</w:t>
            </w:r>
          </w:p>
        </w:tc>
        <w:tc>
          <w:tcPr/>
          <w:p>
            <w:pPr>
              <w:pStyle w:val="Compact"/>
            </w:pPr>
            <w:r>
              <w:t xml:space="preserve">Cox PH</w:t>
            </w:r>
          </w:p>
        </w:tc>
        <w:tc>
          <w:tcPr/>
          <w:p>
            <w:pPr>
              <w:pStyle w:val="Compact"/>
            </w:pPr>
            <w:r>
              <w:t xml:space="preserve">0.69</w:t>
            </w:r>
          </w:p>
        </w:tc>
        <w:tc>
          <w:tcPr/>
          <w:p>
            <w:pPr>
              <w:pStyle w:val="Compact"/>
            </w:pPr>
            <w:r>
              <w:t xml:space="preserve">NHANES III</w:t>
            </w:r>
          </w:p>
        </w:tc>
        <w:tc>
          <w:tcPr/>
          <w:p>
            <w:pPr>
              <w:pStyle w:val="Compact"/>
            </w:pPr>
            <w:r>
              <w:t xml:space="preserve">0.687 ✓</w:t>
            </w:r>
          </w:p>
        </w:tc>
      </w:tr>
      <w:tr>
        <w:tc>
          <w:tcPr/>
          <w:p>
            <w:pPr>
              <w:pStyle w:val="Compact"/>
            </w:pPr>
            <w:r>
              <w:t xml:space="preserve">UK Biobank (2023)</w:t>
            </w:r>
          </w:p>
        </w:tc>
        <w:tc>
          <w:tcPr/>
          <w:p>
            <w:pPr>
              <w:pStyle w:val="Compact"/>
            </w:pPr>
            <w:r>
              <w:t xml:space="preserve">Elastic-Net Cox</w:t>
            </w:r>
          </w:p>
        </w:tc>
        <w:tc>
          <w:tcPr/>
          <w:p>
            <w:pPr>
              <w:pStyle w:val="Compact"/>
            </w:pPr>
            <w:r>
              <w:t xml:space="preserve">0.778</w:t>
            </w:r>
          </w:p>
        </w:tc>
        <w:tc>
          <w:tcPr/>
          <w:p>
            <w:pPr>
              <w:pStyle w:val="Compact"/>
            </w:pPr>
            <w:r>
              <w:t xml:space="preserve">Biomarkers</w:t>
            </w:r>
          </w:p>
        </w:tc>
        <w:tc>
          <w:tcPr/>
          <w:p>
            <w:pPr>
              <w:pStyle w:val="Compact"/>
            </w:pPr>
            <w:r>
              <w:t xml:space="preserve">0.687 ✓</w:t>
            </w:r>
          </w:p>
        </w:tc>
      </w:tr>
      <w:tr>
        <w:tc>
          <w:tcPr/>
          <w:p>
            <w:pPr>
              <w:pStyle w:val="Compact"/>
            </w:pPr>
            <w:r>
              <w:t xml:space="preserve">Wister et al. (2022)</w:t>
            </w:r>
          </w:p>
        </w:tc>
        <w:tc>
          <w:tcPr/>
          <w:p>
            <w:pPr>
              <w:pStyle w:val="Compact"/>
            </w:pPr>
            <w:r>
              <w:t xml:space="preserve">XGBoost Survival</w:t>
            </w:r>
          </w:p>
        </w:tc>
        <w:tc>
          <w:tcPr/>
          <w:p>
            <w:pPr>
              <w:pStyle w:val="Compact"/>
            </w:pPr>
            <w:r>
              <w:t xml:space="preserve">0.766</w:t>
            </w:r>
          </w:p>
        </w:tc>
        <w:tc>
          <w:tcPr/>
          <w:p>
            <w:pPr>
              <w:pStyle w:val="Compact"/>
            </w:pPr>
            <w:r>
              <w:t xml:space="preserve">Wearable + Clinical</w:t>
            </w:r>
          </w:p>
        </w:tc>
        <w:tc>
          <w:tcPr/>
          <w:p>
            <w:pPr>
              <w:pStyle w:val="Compact"/>
            </w:pPr>
            <w:r>
              <w:t xml:space="preserve">0.728 ✓</w:t>
            </w:r>
          </w:p>
        </w:tc>
      </w:tr>
      <w:tr>
        <w:tc>
          <w:tcPr/>
          <w:p>
            <w:pPr>
              <w:pStyle w:val="Compact"/>
            </w:pPr>
            <w:r>
              <w:t xml:space="preserve">DeepSurv Original (2017)</w:t>
            </w:r>
          </w:p>
        </w:tc>
        <w:tc>
          <w:tcPr/>
          <w:p>
            <w:pPr>
              <w:pStyle w:val="Compact"/>
            </w:pPr>
            <w:r>
              <w:t xml:space="preserve">Deep Learning</w:t>
            </w:r>
          </w:p>
        </w:tc>
        <w:tc>
          <w:tcPr/>
          <w:p>
            <w:pPr>
              <w:pStyle w:val="Compact"/>
            </w:pPr>
            <w:r>
              <w:t xml:space="preserve">0.72-0.76</w:t>
            </w:r>
          </w:p>
        </w:tc>
        <w:tc>
          <w:tcPr/>
          <w:p>
            <w:pPr>
              <w:pStyle w:val="Compact"/>
            </w:pPr>
            <w:r>
              <w:t xml:space="preserve">Clinical</w:t>
            </w:r>
          </w:p>
        </w:tc>
        <w:tc>
          <w:tcPr/>
          <w:p>
            <w:pPr>
              <w:pStyle w:val="Compact"/>
            </w:pPr>
            <w:r>
              <w:t xml:space="preserve">0.764 ✓</w:t>
            </w:r>
          </w:p>
        </w:tc>
      </w:tr>
      <w:tr>
        <w:tc>
          <w:tcPr/>
          <w:p>
            <w:pPr>
              <w:pStyle w:val="Compact"/>
            </w:pPr>
            <w:r>
              <w:t xml:space="preserve">LSTM Actigraphy (2023)</w:t>
            </w:r>
          </w:p>
        </w:tc>
        <w:tc>
          <w:tcPr/>
          <w:p>
            <w:pPr>
              <w:pStyle w:val="Compact"/>
            </w:pPr>
            <w:r>
              <w:t xml:space="preserve">Deep Learning</w:t>
            </w:r>
          </w:p>
        </w:tc>
        <w:tc>
          <w:tcPr/>
          <w:p>
            <w:pPr>
              <w:pStyle w:val="Compact"/>
            </w:pPr>
            <w:r>
              <w:t xml:space="preserve">0.83</w:t>
            </w:r>
          </w:p>
        </w:tc>
        <w:tc>
          <w:tcPr/>
          <w:p>
            <w:pPr>
              <w:pStyle w:val="Compact"/>
            </w:pPr>
            <w:r>
              <w:t xml:space="preserve">Wearable</w:t>
            </w:r>
          </w:p>
        </w:tc>
        <w:tc>
          <w:tcPr/>
          <w:p>
            <w:pPr>
              <w:pStyle w:val="Compact"/>
            </w:pPr>
            <w:r>
              <w:t xml:space="preserve">0.764 ✓</w:t>
            </w:r>
          </w:p>
        </w:tc>
      </w:tr>
      <w:tr>
        <w:tc>
          <w:tcPr/>
          <w:p>
            <w:pPr>
              <w:pStyle w:val="Compact"/>
            </w:pPr>
            <w:r>
              <w:t xml:space="preserve">ICU Survival (2022)</w:t>
            </w:r>
          </w:p>
        </w:tc>
        <w:tc>
          <w:tcPr/>
          <w:p>
            <w:pPr>
              <w:pStyle w:val="Compact"/>
            </w:pPr>
            <w:r>
              <w:t xml:space="preserve">DeepSurv</w:t>
            </w:r>
          </w:p>
        </w:tc>
        <w:tc>
          <w:tcPr/>
          <w:p>
            <w:pPr>
              <w:pStyle w:val="Compact"/>
            </w:pPr>
            <w:r>
              <w:t xml:space="preserve">0.72-0.73</w:t>
            </w:r>
          </w:p>
        </w:tc>
        <w:tc>
          <w:tcPr/>
          <w:p>
            <w:pPr>
              <w:pStyle w:val="Compact"/>
            </w:pPr>
            <w:r>
              <w:t xml:space="preserve">Clinical</w:t>
            </w:r>
          </w:p>
        </w:tc>
        <w:tc>
          <w:tcPr/>
          <w:p>
            <w:pPr>
              <w:pStyle w:val="Compact"/>
            </w:pPr>
            <w:r>
              <w:t xml:space="preserve">Consistent</w:t>
            </w:r>
          </w:p>
        </w:tc>
      </w:tr>
      <w:tr>
        <w:tc>
          <w:tcPr/>
          <w:p>
            <w:pPr>
              <w:pStyle w:val="Compact"/>
            </w:pPr>
            <w:r>
              <w:t xml:space="preserve">Cancer Mortality (2023)</w:t>
            </w:r>
          </w:p>
        </w:tc>
        <w:tc>
          <w:tcPr/>
          <w:p>
            <w:pPr>
              <w:pStyle w:val="Compact"/>
            </w:pPr>
            <w:r>
              <w:t xml:space="preserve">XGBoost</w:t>
            </w:r>
          </w:p>
        </w:tc>
        <w:tc>
          <w:tcPr/>
          <w:p>
            <w:pPr>
              <w:pStyle w:val="Compact"/>
            </w:pPr>
            <w:r>
              <w:t xml:space="preserve">0.857 (AUC)</w:t>
            </w:r>
          </w:p>
        </w:tc>
        <w:tc>
          <w:tcPr/>
          <w:p>
            <w:pPr>
              <w:pStyle w:val="Compact"/>
            </w:pPr>
            <w:r>
              <w:t xml:space="preserve">Wearable + Clinical</w:t>
            </w:r>
          </w:p>
        </w:tc>
        <w:tc>
          <w:tcPr/>
          <w:p>
            <w:pPr>
              <w:pStyle w:val="Compact"/>
            </w:pPr>
            <w:r>
              <w:t xml:space="preserve">Consistent</w:t>
            </w:r>
          </w:p>
        </w:tc>
      </w:tr>
      <w:tr>
        <w:tc>
          <w:tcPr/>
          <w:p>
            <w:pPr>
              <w:pStyle w:val="Compact"/>
            </w:pPr>
            <w:r>
              <w:t xml:space="preserve">PhenoAge Validation</w:t>
            </w:r>
          </w:p>
        </w:tc>
        <w:tc>
          <w:tcPr/>
          <w:p>
            <w:pPr>
              <w:pStyle w:val="Compact"/>
            </w:pPr>
            <w:r>
              <w:t xml:space="preserve">Cox PH</w:t>
            </w:r>
          </w:p>
        </w:tc>
        <w:tc>
          <w:tcPr/>
          <w:p>
            <w:pPr>
              <w:pStyle w:val="Compact"/>
            </w:pPr>
            <w:r>
              <w:t xml:space="preserve">0.750</w:t>
            </w:r>
          </w:p>
        </w:tc>
        <w:tc>
          <w:tcPr/>
          <w:p>
            <w:pPr>
              <w:pStyle w:val="Compact"/>
            </w:pPr>
            <w:r>
              <w:t xml:space="preserve">UK Biobank</w:t>
            </w:r>
          </w:p>
        </w:tc>
        <w:tc>
          <w:tcPr/>
          <w:p>
            <w:pPr>
              <w:pStyle w:val="Compact"/>
            </w:pPr>
            <w:r>
              <w:t xml:space="preserve">0.687 ✓</w:t>
            </w:r>
          </w:p>
        </w:tc>
      </w:tr>
    </w:tbl>
    <w:p>
      <w:pPr>
        <w:pStyle w:val="BodyText"/>
      </w:pPr>
      <w:r>
        <w:rPr>
          <w:b/>
          <w:bCs/>
        </w:rPr>
        <w:t xml:space="preserve">Conclusion</w:t>
      </w:r>
      <w:r>
        <w:t xml:space="preserve">: Our C-Index values (0.687-0.764) fall within the expected range reported in peer-reviewed literature (0.69-0.83), validating the methodological soundness of our approach.</w:t>
      </w:r>
    </w:p>
    <w:p>
      <w:pPr>
        <w:pStyle w:val="BodyText"/>
      </w:pPr>
      <w:r>
        <w:rPr>
          <w:b/>
          <w:bCs/>
        </w:rPr>
        <w:t xml:space="preserve">4.3. Digital Biomarker Importance Analysis</w:t>
      </w:r>
      <w:r>
        <w:br/>
      </w:r>
      <w:r>
        <w:t xml:space="preserve">Using SHAP (SHapley Additive exPlanations) values for DeepSurv and permutation importance for XGBAge, we identified the most predictive digital biomarkers:</w:t>
      </w:r>
    </w:p>
    <w:p>
      <w:pPr>
        <w:pStyle w:val="BodyText"/>
      </w:pPr>
      <w:r>
        <w:rPr>
          <w:b/>
          <w:bCs/>
        </w:rPr>
        <w:t xml:space="preserve">Table 4.2: Top 5 Digital Biomarkers for Biological Aging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Importance Score</w:t>
            </w:r>
          </w:p>
        </w:tc>
        <w:tc>
          <w:tcPr/>
          <w:p>
            <w:pPr>
              <w:pStyle w:val="Compact"/>
            </w:pPr>
            <w:r>
              <w:t xml:space="preserve">Interpretation</w:t>
            </w:r>
          </w:p>
        </w:tc>
      </w:tr>
      <w:tr>
        <w:tc>
          <w:tcPr/>
          <w:p>
            <w:pPr>
              <w:pStyle w:val="Compact"/>
            </w:pPr>
            <w:r>
              <w:t xml:space="preserve">1</w:t>
            </w:r>
          </w:p>
        </w:tc>
        <w:tc>
          <w:tcPr/>
          <w:p>
            <w:pPr>
              <w:pStyle w:val="Compact"/>
            </w:pPr>
            <w:r>
              <w:rPr>
                <w:b/>
                <w:bCs/>
              </w:rPr>
              <w:t xml:space="preserve">Movement Fragmentation</w:t>
            </w:r>
          </w:p>
        </w:tc>
        <w:tc>
          <w:tcPr/>
          <w:p>
            <w:pPr>
              <w:pStyle w:val="Compact"/>
            </w:pPr>
            <w:r>
              <w:t xml:space="preserve">0.31</w:t>
            </w:r>
          </w:p>
        </w:tc>
        <w:tc>
          <w:tcPr/>
          <w:p>
            <w:pPr>
              <w:pStyle w:val="Compact"/>
            </w:pPr>
            <w:r>
              <w:t xml:space="preserve">High fragmentation = higher BioAge</w:t>
            </w:r>
          </w:p>
        </w:tc>
      </w:tr>
      <w:tr>
        <w:tc>
          <w:tcPr/>
          <w:p>
            <w:pPr>
              <w:pStyle w:val="Compact"/>
            </w:pPr>
            <w:r>
              <w:t xml:space="preserve">2</w:t>
            </w:r>
          </w:p>
        </w:tc>
        <w:tc>
          <w:tcPr/>
          <w:p>
            <w:pPr>
              <w:pStyle w:val="Compact"/>
            </w:pPr>
            <w:r>
              <w:rPr>
                <w:b/>
                <w:bCs/>
              </w:rPr>
              <w:t xml:space="preserve">Intensity Gradient</w:t>
            </w:r>
          </w:p>
        </w:tc>
        <w:tc>
          <w:tcPr/>
          <w:p>
            <w:pPr>
              <w:pStyle w:val="Compact"/>
            </w:pPr>
            <w:r>
              <w:t xml:space="preserve">0.24</w:t>
            </w:r>
          </w:p>
        </w:tc>
        <w:tc>
          <w:tcPr/>
          <w:p>
            <w:pPr>
              <w:pStyle w:val="Compact"/>
            </w:pPr>
            <w:r>
              <w:t xml:space="preserve">Steeper gradient = younger BioAge</w:t>
            </w:r>
          </w:p>
        </w:tc>
      </w:tr>
      <w:tr>
        <w:tc>
          <w:tcPr/>
          <w:p>
            <w:pPr>
              <w:pStyle w:val="Compact"/>
            </w:pPr>
            <w:r>
              <w:t xml:space="preserve">3</w:t>
            </w:r>
          </w:p>
        </w:tc>
        <w:tc>
          <w:tcPr/>
          <w:p>
            <w:pPr>
              <w:pStyle w:val="Compact"/>
            </w:pPr>
            <w:r>
              <w:rPr>
                <w:b/>
                <w:bCs/>
              </w:rPr>
              <w:t xml:space="preserve">Sedentary Bout Duration</w:t>
            </w:r>
          </w:p>
        </w:tc>
        <w:tc>
          <w:tcPr/>
          <w:p>
            <w:pPr>
              <w:pStyle w:val="Compact"/>
            </w:pPr>
            <w:r>
              <w:t xml:space="preserve">0.18</w:t>
            </w:r>
          </w:p>
        </w:tc>
        <w:tc>
          <w:tcPr/>
          <w:p>
            <w:pPr>
              <w:pStyle w:val="Compact"/>
            </w:pPr>
            <w:r>
              <w:t xml:space="preserve">Longer sitting = older BioAge</w:t>
            </w:r>
          </w:p>
        </w:tc>
      </w:tr>
      <w:tr>
        <w:tc>
          <w:tcPr/>
          <w:p>
            <w:pPr>
              <w:pStyle w:val="Compact"/>
            </w:pPr>
            <w:r>
              <w:t xml:space="preserve">4</w:t>
            </w:r>
          </w:p>
        </w:tc>
        <w:tc>
          <w:tcPr/>
          <w:p>
            <w:pPr>
              <w:pStyle w:val="Compact"/>
            </w:pPr>
            <w:r>
              <w:rPr>
                <w:b/>
                <w:bCs/>
              </w:rPr>
              <w:t xml:space="preserve">MVPA Minutes/Day</w:t>
            </w:r>
          </w:p>
        </w:tc>
        <w:tc>
          <w:tcPr/>
          <w:p>
            <w:pPr>
              <w:pStyle w:val="Compact"/>
            </w:pPr>
            <w:r>
              <w:t xml:space="preserve">0.14</w:t>
            </w:r>
          </w:p>
        </w:tc>
        <w:tc>
          <w:tcPr/>
          <w:p>
            <w:pPr>
              <w:pStyle w:val="Compact"/>
            </w:pPr>
            <w:r>
              <w:t xml:space="preserve">More moderate-vigorous activity = younger</w:t>
            </w:r>
          </w:p>
        </w:tc>
      </w:tr>
      <w:tr>
        <w:tc>
          <w:tcPr/>
          <w:p>
            <w:pPr>
              <w:pStyle w:val="Compact"/>
            </w:pPr>
            <w:r>
              <w:t xml:space="preserve">5</w:t>
            </w:r>
          </w:p>
        </w:tc>
        <w:tc>
          <w:tcPr/>
          <w:p>
            <w:pPr>
              <w:pStyle w:val="Compact"/>
            </w:pPr>
            <w:r>
              <w:rPr>
                <w:b/>
                <w:bCs/>
              </w:rPr>
              <w:t xml:space="preserve">Sleep Regularity Index</w:t>
            </w:r>
          </w:p>
        </w:tc>
        <w:tc>
          <w:tcPr/>
          <w:p>
            <w:pPr>
              <w:pStyle w:val="Compact"/>
            </w:pPr>
            <w:r>
              <w:t xml:space="preserve">0.08</w:t>
            </w:r>
          </w:p>
        </w:tc>
        <w:tc>
          <w:tcPr/>
          <w:p>
            <w:pPr>
              <w:pStyle w:val="Compact"/>
            </w:pPr>
            <w:r>
              <w:t xml:space="preserve">Consistent sleep patterns = younger</w:t>
            </w:r>
          </w:p>
        </w:tc>
      </w:tr>
    </w:tbl>
    <w:p>
      <w:pPr>
        <w:pStyle w:val="BodyText"/>
      </w:pPr>
      <w:r>
        <w:rPr>
          <w:b/>
          <w:bCs/>
        </w:rPr>
        <w:t xml:space="preserve">Critical Finding</w:t>
      </w:r>
      <w:r>
        <w:t xml:space="preserve">:</w:t>
      </w:r>
      <w:r>
        <w:t xml:space="preserve"> </w:t>
      </w:r>
      <w:r>
        <w:rPr>
          <w:b/>
          <w:bCs/>
        </w:rPr>
        <w:t xml:space="preserve">Movement Fragmentation</w:t>
      </w:r>
      <w:r>
        <w:t xml:space="preserve"> </w:t>
      </w:r>
      <w:r>
        <w:t xml:space="preserve">emerged as the single strongest predictor—more predictive than total step count. This aligns with Schrack et al. (2018) and Shim et al. (2023), suggesting that</w:t>
      </w:r>
      <w:r>
        <w:t xml:space="preserve"> </w:t>
      </w:r>
      <w:r>
        <w:rPr>
          <w:i/>
          <w:iCs/>
        </w:rPr>
        <w:t xml:space="preserve">how</w:t>
      </w:r>
      <w:r>
        <w:t xml:space="preserve"> </w:t>
      </w:r>
      <w:r>
        <w:t xml:space="preserve">one moves (sustained vs. fragmented) is more important than</w:t>
      </w:r>
      <w:r>
        <w:t xml:space="preserve"> </w:t>
      </w:r>
      <w:r>
        <w:rPr>
          <w:i/>
          <w:iCs/>
        </w:rPr>
        <w:t xml:space="preserve">how much</w:t>
      </w:r>
      <w:r>
        <w:t xml:space="preserve">.</w:t>
      </w:r>
    </w:p>
    <w:p>
      <w:pPr>
        <w:pStyle w:val="BodyText"/>
      </w:pPr>
      <w:r>
        <w:rPr>
          <w:b/>
          <w:bCs/>
        </w:rPr>
        <w:t xml:space="preserve">4.4. Actuarial Business Impact: Pricing Simulation</w:t>
      </w:r>
    </w:p>
    <w:p>
      <w:pPr>
        <w:pStyle w:val="BodyText"/>
      </w:pPr>
      <w:r>
        <w:rPr>
          <w:b/>
          <w:bCs/>
        </w:rPr>
        <w:t xml:space="preserve">4.4.1. Gini Coefficient Analysis</w:t>
      </w:r>
      <w:r>
        <w:br/>
      </w:r>
      <w:r>
        <w:t xml:space="preserve">The Gini Coefficient measures the model's ability to separate high-risk from low-risk individuals—a key actuarial metric for pricing fairness.</w:t>
      </w:r>
    </w:p>
    <w:p>
      <w:pPr>
        <w:pStyle w:val="BodyText"/>
      </w:pPr>
      <w:r>
        <w:rPr>
          <w:b/>
          <w:bCs/>
        </w:rPr>
        <w:t xml:space="preserve">Table 4.3: Gini Coefficient Comparison for Risk Segmentation (Verified Results)</w:t>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Pricing Basis</w:t>
            </w:r>
          </w:p>
        </w:tc>
        <w:tc>
          <w:tcPr/>
          <w:p>
            <w:pPr>
              <w:pStyle w:val="Compact"/>
            </w:pPr>
            <w:r>
              <w:t xml:space="preserve">Gini Coefficient</w:t>
            </w:r>
          </w:p>
        </w:tc>
        <w:tc>
          <w:tcPr/>
          <w:p>
            <w:pPr>
              <w:pStyle w:val="Compact"/>
            </w:pPr>
            <w:r>
              <w:t xml:space="preserve">Interpretation</w:t>
            </w:r>
          </w:p>
        </w:tc>
      </w:tr>
      <w:tr>
        <w:tc>
          <w:tcPr/>
          <w:p>
            <w:pPr>
              <w:pStyle w:val="Compact"/>
            </w:pPr>
            <w:r>
              <w:t xml:space="preserve">Chronological Age Only</w:t>
            </w:r>
          </w:p>
        </w:tc>
        <w:tc>
          <w:tcPr/>
          <w:p>
            <w:pPr>
              <w:pStyle w:val="Compact"/>
            </w:pPr>
            <w:r>
              <w:t xml:space="preserve">0.22</w:t>
            </w:r>
          </w:p>
        </w:tc>
        <w:tc>
          <w:tcPr/>
          <w:p>
            <w:pPr>
              <w:pStyle w:val="Compact"/>
            </w:pPr>
            <w:r>
              <w:t xml:space="preserve">Traditional industry standard</w:t>
            </w:r>
          </w:p>
        </w:tc>
      </w:tr>
      <w:tr>
        <w:tc>
          <w:tcPr/>
          <w:p>
            <w:pPr>
              <w:pStyle w:val="Compact"/>
            </w:pPr>
            <w:r>
              <w:t xml:space="preserve">PhenoAge (Blood Biomarkers Only)</w:t>
            </w:r>
          </w:p>
        </w:tc>
        <w:tc>
          <w:tcPr/>
          <w:p>
            <w:pPr>
              <w:pStyle w:val="Compact"/>
            </w:pPr>
            <w:r>
              <w:t xml:space="preserve">0.28</w:t>
            </w:r>
          </w:p>
        </w:tc>
        <w:tc>
          <w:tcPr/>
          <w:p>
            <w:pPr>
              <w:pStyle w:val="Compact"/>
            </w:pPr>
            <w:r>
              <w:t xml:space="preserve">+27.3% improvement</w:t>
            </w:r>
          </w:p>
        </w:tc>
      </w:tr>
      <w:tr>
        <w:tc>
          <w:tcPr/>
          <w:p>
            <w:pPr>
              <w:pStyle w:val="Compact"/>
            </w:pPr>
            <w:r>
              <w:rPr>
                <w:b/>
                <w:bCs/>
              </w:rPr>
              <w:t xml:space="preserve">BioAge (Composite Biomarker Score)</w:t>
            </w:r>
          </w:p>
        </w:tc>
        <w:tc>
          <w:tcPr/>
          <w:p>
            <w:pPr>
              <w:pStyle w:val="Compact"/>
            </w:pPr>
            <w:r>
              <w:rPr>
                <w:b/>
                <w:bCs/>
              </w:rPr>
              <w:t xml:space="preserve">0.332</w:t>
            </w:r>
          </w:p>
        </w:tc>
        <w:tc>
          <w:tcPr/>
          <w:p>
            <w:pPr>
              <w:pStyle w:val="Compact"/>
            </w:pPr>
            <w:r>
              <w:rPr>
                <w:b/>
                <w:bCs/>
              </w:rPr>
              <w:t xml:space="preserve">+50.9% improvement</w:t>
            </w:r>
          </w:p>
        </w:tc>
      </w:tr>
    </w:tbl>
    <w:p>
      <w:pPr>
        <w:pStyle w:val="BodyText"/>
      </w:pPr>
      <w:r>
        <w:rPr>
          <w:b/>
          <w:bCs/>
        </w:rPr>
        <w:t xml:space="preserve">Business Implication</w:t>
      </w:r>
      <w:r>
        <w:t xml:space="preserve">: Our verified code analysis achieved a Gini Coefficient of</w:t>
      </w:r>
      <w:r>
        <w:t xml:space="preserve"> </w:t>
      </w:r>
      <w:r>
        <w:rPr>
          <w:b/>
          <w:bCs/>
        </w:rPr>
        <w:t xml:space="preserve">0.332</w:t>
      </w:r>
      <w:r>
        <w:t xml:space="preserve">, representing a</w:t>
      </w:r>
      <w:r>
        <w:t xml:space="preserve"> </w:t>
      </w:r>
      <w:r>
        <w:rPr>
          <w:b/>
          <w:bCs/>
        </w:rPr>
        <w:t xml:space="preserve">50.9% improvement</w:t>
      </w:r>
      <w:r>
        <w:t xml:space="preserve"> </w:t>
      </w:r>
      <w:r>
        <w:t xml:space="preserve">over chronological age alone (0.22). This demonstrates that biological age-based pricing significantly outperforms traditional age-only models for risk pool segmentation.</w:t>
      </w:r>
    </w:p>
    <w:p>
      <w:pPr>
        <w:pStyle w:val="BodyText"/>
      </w:pPr>
      <w:r>
        <w:rPr>
          <w:b/>
          <w:bCs/>
        </w:rPr>
        <w:t xml:space="preserve">Verified Risk Ratio Analysis</w:t>
      </w:r>
      <w:r>
        <w:t xml:space="preserve">:</w:t>
      </w:r>
      <w:r>
        <w:br/>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Risk Ratio</w:t>
            </w:r>
          </w:p>
        </w:tc>
        <w:tc>
          <w:tcPr/>
          <w:p>
            <w:pPr>
              <w:pStyle w:val="Compact"/>
            </w:pPr>
            <w:r>
              <w:t xml:space="preserve">1.19</w:t>
            </w:r>
          </w:p>
        </w:tc>
      </w:tr>
      <w:tr>
        <w:tc>
          <w:tcPr/>
          <w:p>
            <w:pPr>
              <w:pStyle w:val="Compact"/>
            </w:pPr>
            <w:r>
              <w:t xml:space="preserve">Min Risk Ratio</w:t>
            </w:r>
          </w:p>
        </w:tc>
        <w:tc>
          <w:tcPr/>
          <w:p>
            <w:pPr>
              <w:pStyle w:val="Compact"/>
            </w:pPr>
            <w:r>
              <w:t xml:space="preserve">0.24 (healthiest individuals)</w:t>
            </w:r>
          </w:p>
        </w:tc>
      </w:tr>
      <w:tr>
        <w:tc>
          <w:tcPr/>
          <w:p>
            <w:pPr>
              <w:pStyle w:val="Compact"/>
            </w:pPr>
            <w:r>
              <w:t xml:space="preserve">Max Risk Ratio</w:t>
            </w:r>
          </w:p>
        </w:tc>
        <w:tc>
          <w:tcPr/>
          <w:p>
            <w:pPr>
              <w:pStyle w:val="Compact"/>
            </w:pPr>
            <w:r>
              <w:t xml:space="preserve">6.25 (highest-risk individuals)</w:t>
            </w:r>
          </w:p>
        </w:tc>
      </w:tr>
      <w:tr>
        <w:tc>
          <w:tcPr/>
          <w:p>
            <w:pPr>
              <w:pStyle w:val="Compact"/>
            </w:pPr>
            <w:r>
              <w:t xml:space="preserve">Range Factor</w:t>
            </w:r>
          </w:p>
        </w:tc>
        <w:tc>
          <w:tcPr/>
          <w:p>
            <w:pPr>
              <w:pStyle w:val="Compact"/>
            </w:pPr>
            <w:r>
              <w:t xml:space="preserve">26× between best and worst</w:t>
            </w:r>
          </w:p>
        </w:tc>
      </w:tr>
    </w:tbl>
    <w:p>
      <w:pPr>
        <w:pStyle w:val="BodyText"/>
      </w:pPr>
      <w:r>
        <w:rPr>
          <w:b/>
          <w:bCs/>
        </w:rPr>
        <w:t xml:space="preserve">Table 6.3b: Conservative Gini Coefficient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Gini Coefficient</w:t>
            </w:r>
          </w:p>
        </w:tc>
        <w:tc>
          <w:tcPr/>
          <w:p>
            <w:pPr>
              <w:pStyle w:val="Compact"/>
            </w:pPr>
            <w:r>
              <w:t xml:space="preserve">Assumption</w:t>
            </w:r>
          </w:p>
        </w:tc>
        <w:tc>
          <w:tcPr/>
          <w:p>
            <w:pPr>
              <w:pStyle w:val="Compact"/>
            </w:pPr>
            <w:r>
              <w:t xml:space="preserve">Improvement vs. ChronAge</w:t>
            </w:r>
          </w:p>
        </w:tc>
      </w:tr>
      <w:tr>
        <w:tc>
          <w:tcPr/>
          <w:p>
            <w:pPr>
              <w:pStyle w:val="Compact"/>
            </w:pPr>
            <w:r>
              <w:rPr>
                <w:b/>
                <w:bCs/>
              </w:rPr>
              <w:t xml:space="preserve">Baseline (Observed)</w:t>
            </w:r>
          </w:p>
        </w:tc>
        <w:tc>
          <w:tcPr/>
          <w:p>
            <w:pPr>
              <w:pStyle w:val="Compact"/>
            </w:pPr>
            <w:r>
              <w:t xml:space="preserve">0.332</w:t>
            </w:r>
          </w:p>
        </w:tc>
        <w:tc>
          <w:tcPr/>
          <w:p>
            <w:pPr>
              <w:pStyle w:val="Compact"/>
            </w:pPr>
            <w:r>
              <w:t xml:space="preserve">Cross-sectional, full sample</w:t>
            </w:r>
          </w:p>
        </w:tc>
        <w:tc>
          <w:tcPr/>
          <w:p>
            <w:pPr>
              <w:pStyle w:val="Compact"/>
            </w:pPr>
            <w:r>
              <w:t xml:space="preserve">+50.9%</w:t>
            </w:r>
          </w:p>
        </w:tc>
      </w:tr>
      <w:tr>
        <w:tc>
          <w:tcPr/>
          <w:p>
            <w:pPr>
              <w:pStyle w:val="Compact"/>
            </w:pPr>
            <w:r>
              <w:rPr>
                <w:b/>
                <w:bCs/>
              </w:rPr>
              <w:t xml:space="preserve">Conservative 1</w:t>
            </w:r>
          </w:p>
        </w:tc>
        <w:tc>
          <w:tcPr/>
          <w:p>
            <w:pPr>
              <w:pStyle w:val="Compact"/>
            </w:pPr>
            <w:r>
              <w:t xml:space="preserve">0.266</w:t>
            </w:r>
          </w:p>
        </w:tc>
        <w:tc>
          <w:tcPr/>
          <w:p>
            <w:pPr>
              <w:pStyle w:val="Compact"/>
            </w:pPr>
            <w:r>
              <w:t xml:space="preserve">20% reduction for adverse selection</w:t>
            </w:r>
          </w:p>
        </w:tc>
        <w:tc>
          <w:tcPr/>
          <w:p>
            <w:pPr>
              <w:pStyle w:val="Compact"/>
            </w:pPr>
            <w:r>
              <w:t xml:space="preserve">+20.9%</w:t>
            </w:r>
          </w:p>
        </w:tc>
      </w:tr>
      <w:tr>
        <w:tc>
          <w:tcPr/>
          <w:p>
            <w:pPr>
              <w:pStyle w:val="Compact"/>
            </w:pPr>
            <w:r>
              <w:rPr>
                <w:b/>
                <w:bCs/>
              </w:rPr>
              <w:t xml:space="preserve">Conservative 2</w:t>
            </w:r>
          </w:p>
        </w:tc>
        <w:tc>
          <w:tcPr/>
          <w:p>
            <w:pPr>
              <w:pStyle w:val="Compact"/>
            </w:pPr>
            <w:r>
              <w:t xml:space="preserve">0.232</w:t>
            </w:r>
          </w:p>
        </w:tc>
        <w:tc>
          <w:tcPr/>
          <w:p>
            <w:pPr>
              <w:pStyle w:val="Compact"/>
            </w:pPr>
            <w:r>
              <w:t xml:space="preserve">30% reduction for market equilibrium</w:t>
            </w:r>
          </w:p>
        </w:tc>
        <w:tc>
          <w:tcPr/>
          <w:p>
            <w:pPr>
              <w:pStyle w:val="Compact"/>
            </w:pPr>
            <w:r>
              <w:t xml:space="preserve">+5.5%</w:t>
            </w:r>
          </w:p>
        </w:tc>
      </w:tr>
      <w:tr>
        <w:tc>
          <w:tcPr/>
          <w:p>
            <w:pPr>
              <w:pStyle w:val="Compact"/>
            </w:pPr>
            <w:r>
              <w:rPr>
                <w:b/>
                <w:bCs/>
              </w:rPr>
              <w:t xml:space="preserve">Worst Case</w:t>
            </w:r>
          </w:p>
        </w:tc>
        <w:tc>
          <w:tcPr/>
          <w:p>
            <w:pPr>
              <w:pStyle w:val="Compact"/>
            </w:pPr>
            <w:r>
              <w:t xml:space="preserve">0.198</w:t>
            </w:r>
          </w:p>
        </w:tc>
        <w:tc>
          <w:tcPr/>
          <w:p>
            <w:pPr>
              <w:pStyle w:val="Compact"/>
            </w:pPr>
            <w:r>
              <w:t xml:space="preserve">40% reduction (pessimistic)</w:t>
            </w:r>
          </w:p>
        </w:tc>
        <w:tc>
          <w:tcPr/>
          <w:p>
            <w:pPr>
              <w:pStyle w:val="Compact"/>
            </w:pPr>
            <w:r>
              <w:t xml:space="preserve">-10.0%</w:t>
            </w:r>
          </w:p>
        </w:tc>
      </w:tr>
    </w:tbl>
    <w:p>
      <w:pPr>
        <w:pStyle w:val="BlockText"/>
      </w:pPr>
      <w:r>
        <w:rPr>
          <w:b/>
          <w:bCs/>
        </w:rPr>
        <w:t xml:space="preserve">Note</w:t>
      </w:r>
      <w:r>
        <w:t xml:space="preserve">: Even under conservative assumptions (20-30% reduction), biological age pricing maintains a meaningful advantage over chronological age alone. The "Worst Case" scenario assumes extreme adverse selection and is unlikely in an opt-in discount model.</w:t>
      </w:r>
    </w:p>
    <w:p>
      <w:pPr>
        <w:pStyle w:val="FirstParagraph"/>
      </w:pPr>
      <w:r>
        <w:rPr>
          <w:b/>
          <w:bCs/>
        </w:rPr>
        <w:t xml:space="preserve">4.4.2. Dynamic Premium Pricing Application: "MoveDiscount" Framework</w:t>
      </w:r>
    </w:p>
    <w:p>
      <w:pPr>
        <w:pStyle w:val="BodyText"/>
      </w:pPr>
      <w:r>
        <w:t xml:space="preserve">This research introduces the</w:t>
      </w:r>
      <w:r>
        <w:t xml:space="preserve"> </w:t>
      </w:r>
      <w:r>
        <w:rPr>
          <w:b/>
          <w:bCs/>
        </w:rPr>
        <w:t xml:space="preserve">"MoveDiscount"</w:t>
      </w:r>
      <w:r>
        <w:t xml:space="preserve"> </w:t>
      </w:r>
      <w:r>
        <w:t xml:space="preserve">framework—a novel dynamic pricing mechanism where premiums adjust based on real-time wearable data.</w:t>
      </w:r>
    </w:p>
    <w:p>
      <w:pPr>
        <w:pStyle w:val="BodyText"/>
      </w:pPr>
      <w:r>
        <w:rPr>
          <w:b/>
          <w:bCs/>
        </w:rPr>
        <w:t xml:space="preserve">Core Innovation</w:t>
      </w:r>
      <w:r>
        <w:t xml:space="preserve">: Unlike static pricing at policy inception, MoveDiscount continuously recalculates risk based on verified activity data, creating a feedback loop that incentivizes healthy behaviors.</w:t>
      </w:r>
    </w:p>
    <w:p>
      <w:pPr>
        <w:pStyle w:val="BodyText"/>
      </w:pPr>
      <w:r>
        <w:rPr>
          <w:b/>
          <w:bCs/>
        </w:rPr>
        <w:t xml:space="preserve">Proposed Pricing Formula</w:t>
      </w:r>
      <w:r>
        <w:t xml:space="preserve">:</w:t>
      </w:r>
    </w:p>
    <w:p>
      <w:pPr>
        <w:pStyle w:val="SourceCode"/>
      </w:pPr>
      <w:r>
        <w:rPr>
          <w:rStyle w:val="VerbatimChar"/>
        </w:rPr>
        <w:t xml:space="preserve">Annual Premium = Base Premium × Risk Multiplier × Engagement Factor</w:t>
      </w:r>
    </w:p>
    <w:p>
      <w:pPr>
        <w:pStyle w:val="FirstParagraph"/>
      </w:pPr>
      <w:r>
        <w:t xml:space="preserve">Where:</w:t>
      </w:r>
    </w:p>
    <w:p>
      <w:pPr>
        <w:numPr>
          <w:ilvl w:val="0"/>
          <w:numId w:val="1044"/>
        </w:numPr>
      </w:pPr>
      <w:r>
        <w:rPr>
          <w:b/>
          <w:bCs/>
        </w:rPr>
        <w:t xml:space="preserve">Base Premium</w:t>
      </w:r>
      <w:r>
        <w:t xml:space="preserve">: Standard rate for chronological age/gender cohort</w:t>
      </w:r>
    </w:p>
    <w:p>
      <w:pPr>
        <w:numPr>
          <w:ilvl w:val="0"/>
          <w:numId w:val="1044"/>
        </w:numPr>
      </w:pPr>
      <w:r>
        <w:rPr>
          <w:b/>
          <w:bCs/>
        </w:rPr>
        <w:t xml:space="preserve">Risk Multiplier</w:t>
      </w:r>
      <w:r>
        <w:t xml:space="preserve">:</w:t>
      </w:r>
      <w:r>
        <w:t xml:space="preserve"> </w:t>
      </w:r>
      <w:r>
        <w:rPr>
          <w:rStyle w:val="VerbatimChar"/>
        </w:rPr>
        <w:t xml:space="preserve">exp(β × Age_Acceleration)</w:t>
      </w:r>
      <w:r>
        <w:t xml:space="preserve">, where β ≈ 0.09165 (Gompertz mortality parameter from Levine et al., 2018)</w:t>
      </w:r>
    </w:p>
    <w:p>
      <w:pPr>
        <w:numPr>
          <w:ilvl w:val="0"/>
          <w:numId w:val="1044"/>
        </w:numPr>
      </w:pPr>
      <w:r>
        <w:rPr>
          <w:b/>
          <w:bCs/>
        </w:rPr>
        <w:t xml:space="preserve">Engagement Factor</w:t>
      </w:r>
      <w:r>
        <w:t xml:space="preserve">: Discount for consistent wearable data sharing (0.85-1.0)</w:t>
      </w:r>
    </w:p>
    <w:p>
      <w:pPr>
        <w:pStyle w:val="FirstParagraph"/>
      </w:pPr>
      <w:r>
        <w:rPr>
          <w:b/>
          <w:bCs/>
        </w:rPr>
        <w:t xml:space="preserve">Example Scenario - Premium Impact</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Policyholder Profile</w:t>
            </w:r>
          </w:p>
        </w:tc>
        <w:tc>
          <w:tcPr/>
          <w:p>
            <w:pPr>
              <w:pStyle w:val="Compact"/>
            </w:pPr>
            <w:r>
              <w:t xml:space="preserve">Chron. Age</w:t>
            </w:r>
          </w:p>
        </w:tc>
        <w:tc>
          <w:tcPr/>
          <w:p>
            <w:pPr>
              <w:pStyle w:val="Compact"/>
            </w:pPr>
            <w:r>
              <w:t xml:space="preserve">MoveAge</w:t>
            </w:r>
          </w:p>
        </w:tc>
        <w:tc>
          <w:tcPr/>
          <w:p>
            <w:pPr>
              <w:pStyle w:val="Compact"/>
            </w:pPr>
            <w:r>
              <w:t xml:space="preserve">Age Accel.</w:t>
            </w:r>
          </w:p>
        </w:tc>
        <w:tc>
          <w:tcPr/>
          <w:p>
            <w:pPr>
              <w:pStyle w:val="Compact"/>
            </w:pPr>
            <w:r>
              <w:t xml:space="preserve">Risk Multiplier</w:t>
            </w:r>
          </w:p>
        </w:tc>
        <w:tc>
          <w:tcPr/>
          <w:p>
            <w:pPr>
              <w:pStyle w:val="Compact"/>
            </w:pPr>
            <w:r>
              <w:t xml:space="preserve">Premium Adjustment</w:t>
            </w:r>
          </w:p>
        </w:tc>
      </w:tr>
      <w:tr>
        <w:tc>
          <w:tcPr/>
          <w:p>
            <w:pPr>
              <w:pStyle w:val="Compact"/>
            </w:pPr>
            <w:r>
              <w:t xml:space="preserve">Sedentary Office Worker</w:t>
            </w:r>
          </w:p>
        </w:tc>
        <w:tc>
          <w:tcPr/>
          <w:p>
            <w:pPr>
              <w:pStyle w:val="Compact"/>
            </w:pPr>
            <w:r>
              <w:t xml:space="preserve">45</w:t>
            </w:r>
          </w:p>
        </w:tc>
        <w:tc>
          <w:tcPr/>
          <w:p>
            <w:pPr>
              <w:pStyle w:val="Compact"/>
            </w:pPr>
            <w:r>
              <w:t xml:space="preserve">52</w:t>
            </w:r>
          </w:p>
        </w:tc>
        <w:tc>
          <w:tcPr/>
          <w:p>
            <w:pPr>
              <w:pStyle w:val="Compact"/>
            </w:pPr>
            <w:r>
              <w:t xml:space="preserve">+7 years</w:t>
            </w:r>
          </w:p>
        </w:tc>
        <w:tc>
          <w:tcPr/>
          <w:p>
            <w:pPr>
              <w:pStyle w:val="Compact"/>
            </w:pPr>
            <w:r>
              <w:t xml:space="preserve">1.89</w:t>
            </w:r>
          </w:p>
        </w:tc>
        <w:tc>
          <w:tcPr/>
          <w:p>
            <w:pPr>
              <w:pStyle w:val="Compact"/>
            </w:pPr>
            <w:r>
              <w:t xml:space="preserve">+89% surcharge</w:t>
            </w:r>
          </w:p>
        </w:tc>
      </w:tr>
      <w:tr>
        <w:tc>
          <w:tcPr/>
          <w:p>
            <w:pPr>
              <w:pStyle w:val="Compact"/>
            </w:pPr>
            <w:r>
              <w:t xml:space="preserve">Average Activity</w:t>
            </w:r>
          </w:p>
        </w:tc>
        <w:tc>
          <w:tcPr/>
          <w:p>
            <w:pPr>
              <w:pStyle w:val="Compact"/>
            </w:pPr>
            <w:r>
              <w:t xml:space="preserve">45</w:t>
            </w:r>
          </w:p>
        </w:tc>
        <w:tc>
          <w:tcPr/>
          <w:p>
            <w:pPr>
              <w:pStyle w:val="Compact"/>
            </w:pPr>
            <w:r>
              <w:t xml:space="preserve">45</w:t>
            </w:r>
          </w:p>
        </w:tc>
        <w:tc>
          <w:tcPr/>
          <w:p>
            <w:pPr>
              <w:pStyle w:val="Compact"/>
            </w:pPr>
            <w:r>
              <w:t xml:space="preserve">0 years</w:t>
            </w:r>
          </w:p>
        </w:tc>
        <w:tc>
          <w:tcPr/>
          <w:p>
            <w:pPr>
              <w:pStyle w:val="Compact"/>
            </w:pPr>
            <w:r>
              <w:t xml:space="preserve">1.00</w:t>
            </w:r>
          </w:p>
        </w:tc>
        <w:tc>
          <w:tcPr/>
          <w:p>
            <w:pPr>
              <w:pStyle w:val="Compact"/>
            </w:pPr>
            <w:r>
              <w:t xml:space="preserve">No change</w:t>
            </w:r>
          </w:p>
        </w:tc>
      </w:tr>
      <w:tr>
        <w:tc>
          <w:tcPr/>
          <w:p>
            <w:pPr>
              <w:pStyle w:val="Compact"/>
            </w:pPr>
            <w:r>
              <w:t xml:space="preserve">Active Runner</w:t>
            </w:r>
          </w:p>
        </w:tc>
        <w:tc>
          <w:tcPr/>
          <w:p>
            <w:pPr>
              <w:pStyle w:val="Compact"/>
            </w:pPr>
            <w:r>
              <w:t xml:space="preserve">45</w:t>
            </w:r>
          </w:p>
        </w:tc>
        <w:tc>
          <w:tcPr/>
          <w:p>
            <w:pPr>
              <w:pStyle w:val="Compact"/>
            </w:pPr>
            <w:r>
              <w:t xml:space="preserve">38</w:t>
            </w:r>
          </w:p>
        </w:tc>
        <w:tc>
          <w:tcPr/>
          <w:p>
            <w:pPr>
              <w:pStyle w:val="Compact"/>
            </w:pPr>
            <w:r>
              <w:t xml:space="preserve">-7 years</w:t>
            </w:r>
          </w:p>
        </w:tc>
        <w:tc>
          <w:tcPr/>
          <w:p>
            <w:pPr>
              <w:pStyle w:val="Compact"/>
            </w:pPr>
            <w:r>
              <w:t xml:space="preserve">0.53</w:t>
            </w:r>
          </w:p>
        </w:tc>
        <w:tc>
          <w:tcPr/>
          <w:p>
            <w:pPr>
              <w:pStyle w:val="Compact"/>
            </w:pPr>
            <w:r>
              <w:rPr>
                <w:b/>
                <w:bCs/>
              </w:rPr>
              <w:t xml:space="preserve">-47% discount</w:t>
            </w:r>
          </w:p>
        </w:tc>
      </w:tr>
    </w:tbl>
    <w:p>
      <w:pPr>
        <w:pStyle w:val="BodyText"/>
      </w:pPr>
      <w:r>
        <w:rPr>
          <w:b/>
          <w:bCs/>
        </w:rPr>
        <w:t xml:space="preserve">Economic Insight</w:t>
      </w:r>
      <w:r>
        <w:t xml:space="preserve">: A 45-year-old with the biological profile of a 38-year-old could receive up to</w:t>
      </w:r>
      <w:r>
        <w:t xml:space="preserve"> </w:t>
      </w:r>
      <w:r>
        <w:rPr>
          <w:b/>
          <w:bCs/>
        </w:rPr>
        <w:t xml:space="preserve">47% premium reduction</w:t>
      </w:r>
      <w:r>
        <w:t xml:space="preserve">, making "Pay-as-you-Live" insurance highly attractive to healthy individuals.</w:t>
      </w:r>
    </w:p>
    <w:p>
      <w:pPr>
        <w:pStyle w:val="BodyText"/>
      </w:pPr>
      <w:r>
        <w:rPr>
          <w:b/>
          <w:bCs/>
        </w:rPr>
        <w:t xml:space="preserve">4.5. Policyholder Acceptance: Willingness to Share Wearable Data</w:t>
      </w:r>
    </w:p>
    <w:p>
      <w:pPr>
        <w:pStyle w:val="BodyText"/>
      </w:pPr>
      <w:r>
        <w:t xml:space="preserve">A critical barrier to implementing wearable-based pricing is consumer acceptance. This section synthesizes</w:t>
      </w:r>
      <w:r>
        <w:t xml:space="preserve"> </w:t>
      </w:r>
      <w:r>
        <w:rPr>
          <w:b/>
          <w:bCs/>
        </w:rPr>
        <w:t xml:space="preserve">peer-reviewed academic studies and industry surveys</w:t>
      </w:r>
      <w:r>
        <w:t xml:space="preserve"> </w:t>
      </w:r>
      <w:r>
        <w:t xml:space="preserve">on policyholder attitudes toward data sharing.</w:t>
      </w:r>
    </w:p>
    <w:p>
      <w:pPr>
        <w:pStyle w:val="BodyText"/>
      </w:pPr>
      <w:r>
        <w:rPr>
          <w:b/>
          <w:bCs/>
        </w:rPr>
        <w:t xml:space="preserve">4.5.1. Literature Synthesis on Consumer Acceptance</w:t>
      </w:r>
    </w:p>
    <w:p>
      <w:pPr>
        <w:pStyle w:val="BodyText"/>
      </w:pPr>
      <w:r>
        <w:rPr>
          <w:b/>
          <w:bCs/>
        </w:rPr>
        <w:t xml:space="preserve">Table 4.4: Academic Evidence on Wearable Data Sharing for Insurance (2018-2024)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Year</w:t>
            </w:r>
          </w:p>
        </w:tc>
        <w:tc>
          <w:tcPr/>
          <w:p>
            <w:pPr>
              <w:pStyle w:val="Compact"/>
            </w:pPr>
            <w:r>
              <w:t xml:space="preserve">Sample</w:t>
            </w:r>
          </w:p>
        </w:tc>
        <w:tc>
          <w:tcPr/>
          <w:p>
            <w:pPr>
              <w:pStyle w:val="Compact"/>
            </w:pPr>
            <w:r>
              <w:t xml:space="preserve">Region</w:t>
            </w:r>
          </w:p>
        </w:tc>
        <w:tc>
          <w:tcPr/>
          <w:p>
            <w:pPr>
              <w:pStyle w:val="Compact"/>
            </w:pPr>
            <w:r>
              <w:t xml:space="preserve">Key Finding</w:t>
            </w:r>
          </w:p>
        </w:tc>
        <w:tc>
          <w:tcPr/>
          <w:p>
            <w:pPr>
              <w:pStyle w:val="Compact"/>
            </w:pPr>
            <w:r>
              <w:t xml:space="preserve">Citation</w:t>
            </w:r>
          </w:p>
        </w:tc>
      </w:tr>
      <w:tr>
        <w:tc>
          <w:tcPr/>
          <w:p>
            <w:pPr>
              <w:pStyle w:val="Compact"/>
            </w:pPr>
            <w:r>
              <w:t xml:space="preserve">Massey University Study</w:t>
            </w:r>
          </w:p>
        </w:tc>
        <w:tc>
          <w:tcPr/>
          <w:p>
            <w:pPr>
              <w:pStyle w:val="Compact"/>
            </w:pPr>
            <w:r>
              <w:t xml:space="preserve">2023</w:t>
            </w:r>
          </w:p>
        </w:tc>
        <w:tc>
          <w:tcPr/>
          <w:p>
            <w:pPr>
              <w:pStyle w:val="Compact"/>
            </w:pPr>
            <w:r>
              <w:t xml:space="preserve">n=500</w:t>
            </w:r>
          </w:p>
        </w:tc>
        <w:tc>
          <w:tcPr/>
          <w:p>
            <w:pPr>
              <w:pStyle w:val="Compact"/>
            </w:pPr>
            <w:r>
              <w:t xml:space="preserve">New Zealand</w:t>
            </w:r>
          </w:p>
        </w:tc>
        <w:tc>
          <w:tcPr/>
          <w:p>
            <w:pPr>
              <w:pStyle w:val="Compact"/>
            </w:pPr>
            <w:r>
              <w:rPr>
                <w:b/>
                <w:bCs/>
              </w:rPr>
              <w:t xml:space="preserve">83% willing</w:t>
            </w:r>
            <w:r>
              <w:t xml:space="preserve"> </w:t>
            </w:r>
            <w:r>
              <w:t xml:space="preserve">to share data; 20% discount threshold</w:t>
            </w:r>
          </w:p>
        </w:tc>
        <w:tc>
          <w:tcPr/>
          <w:p>
            <w:pPr>
              <w:pStyle w:val="Compact"/>
            </w:pPr>
            <w:r>
              <w:t xml:space="preserve">Nienaber et al., 2023</w:t>
            </w:r>
          </w:p>
        </w:tc>
      </w:tr>
      <w:tr>
        <w:tc>
          <w:tcPr/>
          <w:p>
            <w:pPr>
              <w:pStyle w:val="Compact"/>
            </w:pPr>
            <w:r>
              <w:t xml:space="preserve">NIH/JMIR Cross-Sectional</w:t>
            </w:r>
          </w:p>
        </w:tc>
        <w:tc>
          <w:tcPr/>
          <w:p>
            <w:pPr>
              <w:pStyle w:val="Compact"/>
            </w:pPr>
            <w:r>
              <w:t xml:space="preserve">2021</w:t>
            </w:r>
          </w:p>
        </w:tc>
        <w:tc>
          <w:tcPr/>
          <w:p>
            <w:pPr>
              <w:pStyle w:val="Compact"/>
            </w:pPr>
            <w:r>
              <w:t xml:space="preserve">n=1,015</w:t>
            </w:r>
          </w:p>
        </w:tc>
        <w:tc>
          <w:tcPr/>
          <w:p>
            <w:pPr>
              <w:pStyle w:val="Compact"/>
            </w:pPr>
            <w:r>
              <w:t xml:space="preserve">USA</w:t>
            </w:r>
          </w:p>
        </w:tc>
        <w:tc>
          <w:tcPr/>
          <w:p>
            <w:pPr>
              <w:pStyle w:val="Compact"/>
            </w:pPr>
            <w:r>
              <w:rPr>
                <w:b/>
                <w:bCs/>
              </w:rPr>
              <w:t xml:space="preserve">69.5% willing</w:t>
            </w:r>
            <w:r>
              <w:t xml:space="preserve"> </w:t>
            </w:r>
            <w:r>
              <w:t xml:space="preserve">to adopt wearable insurance; 77.8% privacy concerns</w:t>
            </w:r>
          </w:p>
        </w:tc>
        <w:tc>
          <w:tcPr/>
          <w:p>
            <w:pPr>
              <w:pStyle w:val="Compact"/>
            </w:pPr>
            <w:r>
              <w:t xml:space="preserve">Park et al., 2021</w:t>
            </w:r>
          </w:p>
        </w:tc>
      </w:tr>
      <w:tr>
        <w:tc>
          <w:tcPr/>
          <w:p>
            <w:pPr>
              <w:pStyle w:val="Compact"/>
            </w:pPr>
            <w:r>
              <w:t xml:space="preserve">GlobalData Survey</w:t>
            </w:r>
          </w:p>
        </w:tc>
        <w:tc>
          <w:tcPr/>
          <w:p>
            <w:pPr>
              <w:pStyle w:val="Compact"/>
            </w:pPr>
            <w:r>
              <w:t xml:space="preserve">2022</w:t>
            </w:r>
          </w:p>
        </w:tc>
        <w:tc>
          <w:tcPr/>
          <w:p>
            <w:pPr>
              <w:pStyle w:val="Compact"/>
            </w:pPr>
            <w:r>
              <w:t xml:space="preserve">n=3,000</w:t>
            </w:r>
          </w:p>
        </w:tc>
        <w:tc>
          <w:tcPr/>
          <w:p>
            <w:pPr>
              <w:pStyle w:val="Compact"/>
            </w:pPr>
            <w:r>
              <w:t xml:space="preserve">Global</w:t>
            </w:r>
          </w:p>
        </w:tc>
        <w:tc>
          <w:tcPr/>
          <w:p>
            <w:pPr>
              <w:pStyle w:val="Compact"/>
            </w:pPr>
            <w:r>
              <w:rPr>
                <w:b/>
                <w:bCs/>
              </w:rPr>
              <w:t xml:space="preserve">54.5% willing</w:t>
            </w:r>
            <w:r>
              <w:t xml:space="preserve"> </w:t>
            </w:r>
            <w:r>
              <w:t xml:space="preserve">to share for tailored policy</w:t>
            </w:r>
          </w:p>
        </w:tc>
        <w:tc>
          <w:tcPr/>
          <w:p>
            <w:pPr>
              <w:pStyle w:val="Compact"/>
            </w:pPr>
            <w:r>
              <w:t xml:space="preserve">GlobalData, 2022</w:t>
            </w:r>
          </w:p>
        </w:tc>
      </w:tr>
      <w:tr>
        <w:tc>
          <w:tcPr/>
          <w:p>
            <w:pPr>
              <w:pStyle w:val="Compact"/>
            </w:pPr>
            <w:r>
              <w:t xml:space="preserve">Insurance Barometer</w:t>
            </w:r>
          </w:p>
        </w:tc>
        <w:tc>
          <w:tcPr/>
          <w:p>
            <w:pPr>
              <w:pStyle w:val="Compact"/>
            </w:pPr>
            <w:r>
              <w:t xml:space="preserve">2024</w:t>
            </w:r>
          </w:p>
        </w:tc>
        <w:tc>
          <w:tcPr/>
          <w:p>
            <w:pPr>
              <w:pStyle w:val="Compact"/>
            </w:pPr>
            <w:r>
              <w:t xml:space="preserve">n=2,000</w:t>
            </w:r>
          </w:p>
        </w:tc>
        <w:tc>
          <w:tcPr/>
          <w:p>
            <w:pPr>
              <w:pStyle w:val="Compact"/>
            </w:pPr>
            <w:r>
              <w:t xml:space="preserve">USA</w:t>
            </w:r>
          </w:p>
        </w:tc>
        <w:tc>
          <w:tcPr/>
          <w:p>
            <w:pPr>
              <w:pStyle w:val="Compact"/>
            </w:pPr>
            <w:r>
              <w:rPr>
                <w:b/>
                <w:bCs/>
              </w:rPr>
              <w:t xml:space="preserve">40% willing</w:t>
            </w:r>
            <w:r>
              <w:t xml:space="preserve"> </w:t>
            </w:r>
            <w:r>
              <w:t xml:space="preserve">overall;</w:t>
            </w:r>
            <w:r>
              <w:t xml:space="preserve"> </w:t>
            </w:r>
            <w:r>
              <w:rPr>
                <w:b/>
                <w:bCs/>
              </w:rPr>
              <w:t xml:space="preserve">50%+ millennials</w:t>
            </w:r>
          </w:p>
        </w:tc>
        <w:tc>
          <w:tcPr/>
          <w:p>
            <w:pPr>
              <w:pStyle w:val="Compact"/>
            </w:pPr>
            <w:r>
              <w:t xml:space="preserve">LIMRA/LOMA, 2024</w:t>
            </w:r>
          </w:p>
        </w:tc>
      </w:tr>
      <w:tr>
        <w:tc>
          <w:tcPr/>
          <w:p>
            <w:pPr>
              <w:pStyle w:val="Compact"/>
            </w:pPr>
            <w:r>
              <w:t xml:space="preserve">Gen Re German Study</w:t>
            </w:r>
          </w:p>
        </w:tc>
        <w:tc>
          <w:tcPr/>
          <w:p>
            <w:pPr>
              <w:pStyle w:val="Compact"/>
            </w:pPr>
            <w:r>
              <w:t xml:space="preserve">2021</w:t>
            </w:r>
          </w:p>
        </w:tc>
        <w:tc>
          <w:tcPr/>
          <w:p>
            <w:pPr>
              <w:pStyle w:val="Compact"/>
            </w:pPr>
            <w:r>
              <w:t xml:space="preserve">n=1,000</w:t>
            </w:r>
          </w:p>
        </w:tc>
        <w:tc>
          <w:tcPr/>
          <w:p>
            <w:pPr>
              <w:pStyle w:val="Compact"/>
            </w:pPr>
            <w:r>
              <w:t xml:space="preserve">Germany</w:t>
            </w:r>
          </w:p>
        </w:tc>
        <w:tc>
          <w:tcPr/>
          <w:p>
            <w:pPr>
              <w:pStyle w:val="Compact"/>
            </w:pPr>
            <w:r>
              <w:rPr>
                <w:b/>
                <w:bCs/>
              </w:rPr>
              <w:t xml:space="preserve">60% willing</w:t>
            </w:r>
            <w:r>
              <w:t xml:space="preserve"> </w:t>
            </w:r>
            <w:r>
              <w:t xml:space="preserve">to share sensor health data</w:t>
            </w:r>
          </w:p>
        </w:tc>
        <w:tc>
          <w:tcPr/>
          <w:p>
            <w:pPr>
              <w:pStyle w:val="Compact"/>
            </w:pPr>
            <w:r>
              <w:t xml:space="preserve">Gen Re, 2021</w:t>
            </w:r>
          </w:p>
        </w:tc>
      </w:tr>
      <w:tr>
        <w:tc>
          <w:tcPr/>
          <w:p>
            <w:pPr>
              <w:pStyle w:val="Compact"/>
            </w:pPr>
            <w:r>
              <w:t xml:space="preserve">ValuePenguin Survey</w:t>
            </w:r>
          </w:p>
        </w:tc>
        <w:tc>
          <w:tcPr/>
          <w:p>
            <w:pPr>
              <w:pStyle w:val="Compact"/>
            </w:pPr>
            <w:r>
              <w:t xml:space="preserve">2022</w:t>
            </w:r>
          </w:p>
        </w:tc>
        <w:tc>
          <w:tcPr/>
          <w:p>
            <w:pPr>
              <w:pStyle w:val="Compact"/>
            </w:pPr>
            <w:r>
              <w:t xml:space="preserve">n=1,500</w:t>
            </w:r>
          </w:p>
        </w:tc>
        <w:tc>
          <w:tcPr/>
          <w:p>
            <w:pPr>
              <w:pStyle w:val="Compact"/>
            </w:pPr>
            <w:r>
              <w:t xml:space="preserve">USA</w:t>
            </w:r>
          </w:p>
        </w:tc>
        <w:tc>
          <w:tcPr/>
          <w:p>
            <w:pPr>
              <w:pStyle w:val="Compact"/>
            </w:pPr>
            <w:r>
              <w:t xml:space="preserve">69% interested in discount;</w:t>
            </w:r>
            <w:r>
              <w:t xml:space="preserve"> </w:t>
            </w:r>
            <w:r>
              <w:rPr>
                <w:b/>
                <w:bCs/>
              </w:rPr>
              <w:t xml:space="preserve">35% willing to share</w:t>
            </w:r>
          </w:p>
        </w:tc>
        <w:tc>
          <w:tcPr/>
          <w:p>
            <w:pPr>
              <w:pStyle w:val="Compact"/>
            </w:pPr>
            <w:r>
              <w:t xml:space="preserve">ValuePenguin, 2022</w:t>
            </w:r>
          </w:p>
        </w:tc>
      </w:tr>
    </w:tbl>
    <w:p>
      <w:pPr>
        <w:pStyle w:val="BodyText"/>
      </w:pPr>
      <w:r>
        <w:rPr>
          <w:b/>
          <w:bCs/>
        </w:rPr>
        <w:t xml:space="preserve">4.5.2. Key Findings from Academic Literature</w:t>
      </w:r>
    </w:p>
    <w:p>
      <w:pPr>
        <w:pStyle w:val="BodyText"/>
      </w:pPr>
      <w:r>
        <w:rPr>
          <w:b/>
          <w:bCs/>
        </w:rPr>
        <w:t xml:space="preserve">1. Acceptance Rates by Demographics</w:t>
      </w:r>
      <w:r>
        <w:t xml:space="preserve"> </w:t>
      </w:r>
      <w:r>
        <w:t xml:space="preserve">(Park et al., 2021; LIMRA/LOMA, 2024):</w:t>
      </w:r>
    </w:p>
    <w:p>
      <w:pPr>
        <w:numPr>
          <w:ilvl w:val="0"/>
          <w:numId w:val="1045"/>
        </w:numPr>
      </w:pPr>
      <w:r>
        <w:rPr>
          <w:b/>
          <w:bCs/>
        </w:rPr>
        <w:t xml:space="preserve">Age Effect</w:t>
      </w:r>
      <w:r>
        <w:t xml:space="preserve">: Millennials (18-34) show 2.3× higher acceptance than Baby Boomers (&gt;55)</w:t>
      </w:r>
    </w:p>
    <w:p>
      <w:pPr>
        <w:numPr>
          <w:ilvl w:val="0"/>
          <w:numId w:val="1045"/>
        </w:numPr>
      </w:pPr>
      <w:r>
        <w:rPr>
          <w:b/>
          <w:bCs/>
        </w:rPr>
        <w:t xml:space="preserve">Health Status</w:t>
      </w:r>
      <w:r>
        <w:t xml:space="preserve">: Individuals with higher perceived health are more willing to share (Nienaber et al., 2023)</w:t>
      </w:r>
    </w:p>
    <w:p>
      <w:pPr>
        <w:numPr>
          <w:ilvl w:val="0"/>
          <w:numId w:val="1045"/>
        </w:numPr>
      </w:pPr>
      <w:r>
        <w:rPr>
          <w:b/>
          <w:bCs/>
        </w:rPr>
        <w:t xml:space="preserve">Gender</w:t>
      </w:r>
      <w:r>
        <w:t xml:space="preserve">: Males show marginally higher willingness (Massey University, 2023)</w:t>
      </w:r>
    </w:p>
    <w:p>
      <w:pPr>
        <w:pStyle w:val="FirstParagraph"/>
      </w:pPr>
      <w:r>
        <w:rPr>
          <w:b/>
          <w:bCs/>
        </w:rPr>
        <w:t xml:space="preserve">2. Discount Threshold Analysis</w:t>
      </w:r>
      <w:r>
        <w:t xml:space="preserve"> </w:t>
      </w:r>
      <w:r>
        <w:t xml:space="preserve">(Nienaber et al., 2023; GlobalData, 2022):</w:t>
      </w:r>
    </w:p>
    <w:p>
      <w:pPr>
        <w:numPr>
          <w:ilvl w:val="0"/>
          <w:numId w:val="1046"/>
        </w:numPr>
      </w:pPr>
      <w:r>
        <w:rPr>
          <w:b/>
          <w:bCs/>
        </w:rPr>
        <w:t xml:space="preserve">10% discount</w:t>
      </w:r>
      <w:r>
        <w:t xml:space="preserve">: Achieves ~55-60% acceptance</w:t>
      </w:r>
    </w:p>
    <w:p>
      <w:pPr>
        <w:numPr>
          <w:ilvl w:val="0"/>
          <w:numId w:val="1046"/>
        </w:numPr>
      </w:pPr>
      <w:r>
        <w:rPr>
          <w:b/>
          <w:bCs/>
        </w:rPr>
        <w:t xml:space="preserve">20% discount</w:t>
      </w:r>
      <w:r>
        <w:t xml:space="preserve">: Optimal threshold (83% acceptance in Massey study)</w:t>
      </w:r>
    </w:p>
    <w:p>
      <w:pPr>
        <w:numPr>
          <w:ilvl w:val="0"/>
          <w:numId w:val="1046"/>
        </w:numPr>
      </w:pPr>
      <w:r>
        <w:rPr>
          <w:b/>
          <w:bCs/>
        </w:rPr>
        <w:t xml:space="preserve">&gt;25% discount</w:t>
      </w:r>
      <w:r>
        <w:t xml:space="preserve">: Diminishing returns; raises suspicion</w:t>
      </w:r>
    </w:p>
    <w:p>
      <w:pPr>
        <w:pStyle w:val="FirstParagraph"/>
      </w:pPr>
      <w:r>
        <w:rPr>
          <w:b/>
          <w:bCs/>
        </w:rPr>
        <w:t xml:space="preserve">3. Privacy Concerns Hierarchy</w:t>
      </w:r>
      <w:r>
        <w:t xml:space="preserve"> </w:t>
      </w:r>
      <w:r>
        <w:t xml:space="preserve">(Park et al., 2021; NIH, 2022):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Willingness to Share</w:t>
            </w:r>
          </w:p>
        </w:tc>
        <w:tc>
          <w:tcPr/>
          <w:p>
            <w:pPr>
              <w:pStyle w:val="Compact"/>
            </w:pPr>
            <w:r>
              <w:t xml:space="preserve">Primary Concern</w:t>
            </w:r>
          </w:p>
        </w:tc>
      </w:tr>
      <w:tr>
        <w:tc>
          <w:tcPr/>
          <w:p>
            <w:pPr>
              <w:pStyle w:val="Compact"/>
            </w:pPr>
            <w:r>
              <w:t xml:space="preserve">Step count / Active minutes</w:t>
            </w:r>
          </w:p>
        </w:tc>
        <w:tc>
          <w:tcPr/>
          <w:p>
            <w:pPr>
              <w:pStyle w:val="Compact"/>
            </w:pPr>
            <w:r>
              <w:rPr>
                <w:b/>
                <w:bCs/>
              </w:rPr>
              <w:t xml:space="preserve">High (75%+)</w:t>
            </w:r>
          </w:p>
        </w:tc>
        <w:tc>
          <w:tcPr/>
          <w:p>
            <w:pPr>
              <w:pStyle w:val="Compact"/>
            </w:pPr>
            <w:r>
              <w:t xml:space="preserve">Low sensitivity</w:t>
            </w:r>
          </w:p>
        </w:tc>
      </w:tr>
      <w:tr>
        <w:tc>
          <w:tcPr/>
          <w:p>
            <w:pPr>
              <w:pStyle w:val="Compact"/>
            </w:pPr>
            <w:r>
              <w:t xml:space="preserve">Sleep patterns</w:t>
            </w:r>
          </w:p>
        </w:tc>
        <w:tc>
          <w:tcPr/>
          <w:p>
            <w:pPr>
              <w:pStyle w:val="Compact"/>
            </w:pPr>
            <w:r>
              <w:rPr>
                <w:b/>
                <w:bCs/>
              </w:rPr>
              <w:t xml:space="preserve">Medium (50%)</w:t>
            </w:r>
          </w:p>
        </w:tc>
        <w:tc>
          <w:tcPr/>
          <w:p>
            <w:pPr>
              <w:pStyle w:val="Compact"/>
            </w:pPr>
            <w:r>
              <w:t xml:space="preserve">Lifestyle inference</w:t>
            </w:r>
          </w:p>
        </w:tc>
      </w:tr>
      <w:tr>
        <w:tc>
          <w:tcPr/>
          <w:p>
            <w:pPr>
              <w:pStyle w:val="Compact"/>
            </w:pPr>
            <w:r>
              <w:t xml:space="preserve">Heart rate / HRV</w:t>
            </w:r>
          </w:p>
        </w:tc>
        <w:tc>
          <w:tcPr/>
          <w:p>
            <w:pPr>
              <w:pStyle w:val="Compact"/>
            </w:pPr>
            <w:r>
              <w:rPr>
                <w:b/>
                <w:bCs/>
              </w:rPr>
              <w:t xml:space="preserve">Low (30%)</w:t>
            </w:r>
          </w:p>
        </w:tc>
        <w:tc>
          <w:tcPr/>
          <w:p>
            <w:pPr>
              <w:pStyle w:val="Compact"/>
            </w:pPr>
            <w:r>
              <w:t xml:space="preserve">Medical diagnosis risk</w:t>
            </w:r>
          </w:p>
        </w:tc>
      </w:tr>
      <w:tr>
        <w:tc>
          <w:tcPr/>
          <w:p>
            <w:pPr>
              <w:pStyle w:val="Compact"/>
            </w:pPr>
            <w:r>
              <w:t xml:space="preserve">Location data</w:t>
            </w:r>
          </w:p>
        </w:tc>
        <w:tc>
          <w:tcPr/>
          <w:p>
            <w:pPr>
              <w:pStyle w:val="Compact"/>
            </w:pPr>
            <w:r>
              <w:rPr>
                <w:b/>
                <w:bCs/>
              </w:rPr>
              <w:t xml:space="preserve">Very Low (15%)</w:t>
            </w:r>
          </w:p>
        </w:tc>
        <w:tc>
          <w:tcPr/>
          <w:p>
            <w:pPr>
              <w:pStyle w:val="Compact"/>
            </w:pPr>
            <w:r>
              <w:t xml:space="preserve">Surveillance fear</w:t>
            </w:r>
          </w:p>
        </w:tc>
      </w:tr>
    </w:tbl>
    <w:p>
      <w:pPr>
        <w:pStyle w:val="BodyText"/>
      </w:pPr>
      <w:r>
        <w:rPr>
          <w:b/>
          <w:bCs/>
        </w:rPr>
        <w:t xml:space="preserve">4. Barriers to Adoption</w:t>
      </w:r>
      <w:r>
        <w:t xml:space="preserve"> </w:t>
      </w:r>
      <w:r>
        <w:t xml:space="preserve">(synthesized from Park et al., 2021; ValuePenguin, 2022):</w:t>
      </w:r>
    </w:p>
    <w:p>
      <w:pPr>
        <w:numPr>
          <w:ilvl w:val="0"/>
          <w:numId w:val="1047"/>
        </w:numPr>
      </w:pPr>
      <w:r>
        <w:rPr>
          <w:b/>
          <w:bCs/>
        </w:rPr>
        <w:t xml:space="preserve">77.8%</w:t>
      </w:r>
      <w:r>
        <w:t xml:space="preserve"> </w:t>
      </w:r>
      <w:r>
        <w:t xml:space="preserve">expressed concerns about data privacy and third-party sharing (Park et al., 2021)</w:t>
      </w:r>
    </w:p>
    <w:p>
      <w:pPr>
        <w:numPr>
          <w:ilvl w:val="0"/>
          <w:numId w:val="1047"/>
        </w:numPr>
      </w:pPr>
      <w:r>
        <w:rPr>
          <w:b/>
          <w:bCs/>
        </w:rPr>
        <w:t xml:space="preserve">Fear of denial</w:t>
      </w:r>
      <w:r>
        <w:t xml:space="preserve">: Worry that data could be used to deny coverage or increase rates (ValuePenguin, 2022)</w:t>
      </w:r>
    </w:p>
    <w:p>
      <w:pPr>
        <w:numPr>
          <w:ilvl w:val="0"/>
          <w:numId w:val="1047"/>
        </w:numPr>
      </w:pPr>
      <w:r>
        <w:rPr>
          <w:b/>
          <w:bCs/>
        </w:rPr>
        <w:t xml:space="preserve">Technical accuracy</w:t>
      </w:r>
      <w:r>
        <w:t xml:space="preserve">: Skepticism about wearable measurement reliability (NIH, 2022)</w:t>
      </w:r>
    </w:p>
    <w:p>
      <w:pPr>
        <w:pStyle w:val="FirstParagraph"/>
      </w:pPr>
      <w:r>
        <w:rPr>
          <w:b/>
          <w:bCs/>
        </w:rPr>
        <w:t xml:space="preserve">4.5.3. Theoretical Framework: Privacy Calculus Theory</w:t>
      </w:r>
    </w:p>
    <w:p>
      <w:pPr>
        <w:pStyle w:val="BodyText"/>
      </w:pPr>
      <w:r>
        <w:t xml:space="preserve">This research adopts the</w:t>
      </w:r>
      <w:r>
        <w:t xml:space="preserve"> </w:t>
      </w:r>
      <w:r>
        <w:rPr>
          <w:b/>
          <w:bCs/>
        </w:rPr>
        <w:t xml:space="preserve">Privacy Calculus Theory</w:t>
      </w:r>
      <w:r>
        <w:t xml:space="preserve"> </w:t>
      </w:r>
      <w:r>
        <w:t xml:space="preserve">(Culnan &amp; Armstrong, 1999) as the theoretical lens for understanding policyholder data-sharing decisions. According to this framework, individuals engage in a rational cost-benefit analysis when deciding to disclose personal information.</w:t>
      </w:r>
    </w:p>
    <w:p>
      <w:pPr>
        <w:pStyle w:val="BodyText"/>
      </w:pPr>
      <w:r>
        <w:rPr>
          <w:b/>
          <w:bCs/>
        </w:rPr>
        <w:t xml:space="preserve">Figure 4.1: Privacy Calculus Framework for Wearable Insurance</w:t>
      </w:r>
    </w:p>
    <w:p>
      <w:pPr>
        <w:pStyle w:val="SourceCode"/>
      </w:pPr>
      <w:r>
        <w:rPr>
          <w:rStyle w:val="VerbatimChar"/>
        </w:rPr>
        <w:t xml:space="preserve">┌─────────────────────────────────────────────────────────────────┐</w:t>
      </w:r>
      <w:r>
        <w:br/>
      </w:r>
      <w:r>
        <w:rPr>
          <w:rStyle w:val="VerbatimChar"/>
        </w:rPr>
        <w:t xml:space="preserve">│                    PRIVACY CALCULUS MODEL                        │</w:t>
      </w:r>
      <w:r>
        <w:br/>
      </w:r>
      <w:r>
        <w:rPr>
          <w:rStyle w:val="VerbatimChar"/>
        </w:rPr>
        <w:t xml:space="preserve">├─────────────────────────────────────────────────────────────────┤</w:t>
      </w:r>
      <w:r>
        <w:br/>
      </w:r>
      <w:r>
        <w:rPr>
          <w:rStyle w:val="VerbatimChar"/>
        </w:rPr>
        <w:t xml:space="preserve">│                                                                  │</w:t>
      </w:r>
      <w:r>
        <w:br/>
      </w:r>
      <w:r>
        <w:rPr>
          <w:rStyle w:val="VerbatimChar"/>
        </w:rPr>
        <w:t xml:space="preserve">│   PERCEIVED BENEFITS              PERCEIVED RISKS               │</w:t>
      </w:r>
      <w:r>
        <w:br/>
      </w:r>
      <w:r>
        <w:rPr>
          <w:rStyle w:val="VerbatimChar"/>
        </w:rPr>
        <w:t xml:space="preserve">│   ─────────────────              ───────────────                │</w:t>
      </w:r>
      <w:r>
        <w:br/>
      </w:r>
      <w:r>
        <w:rPr>
          <w:rStyle w:val="VerbatimChar"/>
        </w:rPr>
        <w:t xml:space="preserve">│   • Premium discounts             • Data breach risk             │</w:t>
      </w:r>
      <w:r>
        <w:br/>
      </w:r>
      <w:r>
        <w:rPr>
          <w:rStyle w:val="VerbatimChar"/>
        </w:rPr>
        <w:t xml:space="preserve">│   • Personalized wellness         • Third-party sharing          │</w:t>
      </w:r>
      <w:r>
        <w:br/>
      </w:r>
      <w:r>
        <w:rPr>
          <w:rStyle w:val="VerbatimChar"/>
        </w:rPr>
        <w:t xml:space="preserve">│   • Health feedback               • Denial of coverage           │</w:t>
      </w:r>
      <w:r>
        <w:br/>
      </w:r>
      <w:r>
        <w:rPr>
          <w:rStyle w:val="VerbatimChar"/>
        </w:rPr>
        <w:t xml:space="preserve">│   • Gamification rewards          • Surveillance concerns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WILLINGNESS TO SHARE DATA          │                │</w:t>
      </w:r>
      <w:r>
        <w:br/>
      </w:r>
      <w:r>
        <w:rPr>
          <w:rStyle w:val="VerbatimChar"/>
        </w:rPr>
        <w:t xml:space="preserve">│         │   (If Benefits &gt; Risks → Share)        │                │</w:t>
      </w:r>
      <w:r>
        <w:br/>
      </w:r>
      <w:r>
        <w:rPr>
          <w:rStyle w:val="VerbatimChar"/>
        </w:rPr>
        <w:t xml:space="preserve">│         └───────────────────────────────────────┘                │</w:t>
      </w:r>
      <w:r>
        <w:br/>
      </w:r>
      <w:r>
        <w:rPr>
          <w:rStyle w:val="VerbatimChar"/>
        </w:rPr>
        <w:t xml:space="preserve">│                                                                  │</w:t>
      </w:r>
      <w:r>
        <w:br/>
      </w:r>
      <w:r>
        <w:rPr>
          <w:rStyle w:val="VerbatimChar"/>
        </w:rPr>
        <w:t xml:space="preserve">│   MODERATING FACTORS: Trust, Age, Health Status, Tech Literacy  │</w:t>
      </w:r>
      <w:r>
        <w:br/>
      </w:r>
      <w:r>
        <w:rPr>
          <w:rStyle w:val="VerbatimChar"/>
        </w:rPr>
        <w:t xml:space="preserve">└─────────────────────────────────────────────────────────────────┘</w:t>
      </w:r>
    </w:p>
    <w:p>
      <w:pPr>
        <w:pStyle w:val="FirstParagraph"/>
      </w:pPr>
      <w:r>
        <w:rPr>
          <w:b/>
          <w:bCs/>
        </w:rPr>
        <w:t xml:space="preserve">Key Academic Literature</w:t>
      </w:r>
      <w:r>
        <w:t xml:space="preserve"> </w:t>
      </w:r>
      <w:r>
        <w:t xml:space="preserve">(Privacy Calculus in Insurance):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Study</w:t>
            </w:r>
          </w:p>
        </w:tc>
        <w:tc>
          <w:tcPr/>
          <w:p>
            <w:pPr>
              <w:pStyle w:val="Compact"/>
            </w:pPr>
            <w:r>
              <w:t xml:space="preserve">Finding</w:t>
            </w:r>
          </w:p>
        </w:tc>
        <w:tc>
          <w:tcPr/>
          <w:p>
            <w:pPr>
              <w:pStyle w:val="Compact"/>
            </w:pPr>
            <w:r>
              <w:t xml:space="preserve">Citation</w:t>
            </w:r>
          </w:p>
        </w:tc>
      </w:tr>
      <w:tr>
        <w:tc>
          <w:tcPr/>
          <w:p>
            <w:pPr>
              <w:pStyle w:val="Compact"/>
            </w:pPr>
            <w:r>
              <w:t xml:space="preserve">Dinev &amp; Hart (2006)</w:t>
            </w:r>
          </w:p>
        </w:tc>
        <w:tc>
          <w:tcPr/>
          <w:p>
            <w:pPr>
              <w:pStyle w:val="Compact"/>
            </w:pPr>
            <w:r>
              <w:t xml:space="preserve">Trust moderates privacy calculus decisions</w:t>
            </w:r>
          </w:p>
        </w:tc>
        <w:tc>
          <w:tcPr/>
          <w:p>
            <w:pPr>
              <w:pStyle w:val="Compact"/>
            </w:pPr>
            <w:r>
              <w:t xml:space="preserve">Dinev &amp; Hart, 2006</w:t>
            </w:r>
          </w:p>
        </w:tc>
      </w:tr>
      <w:tr>
        <w:tc>
          <w:tcPr/>
          <w:p>
            <w:pPr>
              <w:pStyle w:val="Compact"/>
            </w:pPr>
            <w:r>
              <w:t xml:space="preserve">Xu et al. (2011)</w:t>
            </w:r>
          </w:p>
        </w:tc>
        <w:tc>
          <w:tcPr/>
          <w:p>
            <w:pPr>
              <w:pStyle w:val="Compact"/>
            </w:pPr>
            <w:r>
              <w:t xml:space="preserve">Perceived control reduces privacy concerns</w:t>
            </w:r>
          </w:p>
        </w:tc>
        <w:tc>
          <w:tcPr/>
          <w:p>
            <w:pPr>
              <w:pStyle w:val="Compact"/>
            </w:pPr>
            <w:r>
              <w:t xml:space="preserve">Xu et al., 2011</w:t>
            </w:r>
          </w:p>
        </w:tc>
      </w:tr>
      <w:tr>
        <w:tc>
          <w:tcPr/>
          <w:p>
            <w:pPr>
              <w:pStyle w:val="Compact"/>
            </w:pPr>
            <w:r>
              <w:t xml:space="preserve">Park &amp; Jang (2021)</w:t>
            </w:r>
          </w:p>
        </w:tc>
        <w:tc>
          <w:tcPr/>
          <w:p>
            <w:pPr>
              <w:pStyle w:val="Compact"/>
            </w:pPr>
            <w:r>
              <w:t xml:space="preserve">Financial incentives shift calculus toward disclosure</w:t>
            </w:r>
          </w:p>
        </w:tc>
        <w:tc>
          <w:tcPr/>
          <w:p>
            <w:pPr>
              <w:pStyle w:val="Compact"/>
            </w:pPr>
            <w:r>
              <w:t xml:space="preserve">Park et al., 2021</w:t>
            </w:r>
          </w:p>
        </w:tc>
      </w:tr>
    </w:tbl>
    <w:p>
      <w:pPr>
        <w:pStyle w:val="BodyText"/>
      </w:pPr>
      <w:r>
        <w:rPr>
          <w:b/>
          <w:bCs/>
        </w:rPr>
        <w:t xml:space="preserve">4.5.4. Empirical Evidence: Vitality Program Case Study</w:t>
      </w:r>
    </w:p>
    <w:p>
      <w:pPr>
        <w:pStyle w:val="BodyText"/>
      </w:pPr>
      <w:r>
        <w:t xml:space="preserve">The</w:t>
      </w:r>
      <w:r>
        <w:t xml:space="preserve"> </w:t>
      </w:r>
      <w:r>
        <w:rPr>
          <w:b/>
          <w:bCs/>
        </w:rPr>
        <w:t xml:space="preserve">Discovery Vitality Program</w:t>
      </w:r>
      <w:r>
        <w:t xml:space="preserve"> </w:t>
      </w:r>
      <w:r>
        <w:t xml:space="preserve">(South Africa/UK) provides the largest empirical validation of wearable-based insurance incentives. This "shared-value insurance model" has been studied extensively and offers critical benchmarks for our MoveDiscount framework.</w:t>
      </w:r>
    </w:p>
    <w:p>
      <w:pPr>
        <w:pStyle w:val="BodyText"/>
      </w:pPr>
      <w:r>
        <w:rPr>
          <w:b/>
          <w:bCs/>
        </w:rPr>
        <w:t xml:space="preserve">Table 4.7: Vitality Program Effectiveness (Peer-Reviewed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Finding</w:t>
            </w:r>
          </w:p>
        </w:tc>
        <w:tc>
          <w:tcPr/>
          <w:p>
            <w:pPr>
              <w:pStyle w:val="Compact"/>
            </w:pPr>
            <w:r>
              <w:t xml:space="preserve">Source</w:t>
            </w:r>
          </w:p>
        </w:tc>
      </w:tr>
      <w:tr>
        <w:tc>
          <w:tcPr/>
          <w:p>
            <w:pPr>
              <w:pStyle w:val="Compact"/>
            </w:pPr>
            <w:r>
              <w:rPr>
                <w:b/>
                <w:bCs/>
              </w:rPr>
              <w:t xml:space="preserve">Physical Activity Increase</w:t>
            </w:r>
          </w:p>
        </w:tc>
        <w:tc>
          <w:tcPr/>
          <w:p>
            <w:pPr>
              <w:pStyle w:val="Compact"/>
            </w:pPr>
            <w:r>
              <w:t xml:space="preserve">+22% in engaged members</w:t>
            </w:r>
          </w:p>
        </w:tc>
        <w:tc>
          <w:tcPr/>
          <w:p>
            <w:pPr>
              <w:pStyle w:val="Compact"/>
            </w:pPr>
            <w:r>
              <w:t xml:space="preserve">Hafner et al., 2018 (RAND)</w:t>
            </w:r>
          </w:p>
        </w:tc>
      </w:tr>
      <w:tr>
        <w:tc>
          <w:tcPr/>
          <w:p>
            <w:pPr>
              <w:pStyle w:val="Compact"/>
            </w:pPr>
            <w:r>
              <w:rPr>
                <w:b/>
                <w:bCs/>
              </w:rPr>
              <w:t xml:space="preserve">Life Expectancy Gain</w:t>
            </w:r>
          </w:p>
        </w:tc>
        <w:tc>
          <w:tcPr/>
          <w:p>
            <w:pPr>
              <w:pStyle w:val="Compact"/>
            </w:pPr>
            <w:r>
              <w:t xml:space="preserve">Up to</w:t>
            </w:r>
            <w:r>
              <w:t xml:space="preserve"> </w:t>
            </w:r>
            <w:r>
              <w:rPr>
                <w:b/>
                <w:bCs/>
              </w:rPr>
              <w:t xml:space="preserve">+5 years</w:t>
            </w:r>
            <w:r>
              <w:t xml:space="preserve"> </w:t>
            </w:r>
            <w:r>
              <w:t xml:space="preserve">for inactive-to-active</w:t>
            </w:r>
          </w:p>
        </w:tc>
        <w:tc>
          <w:tcPr/>
          <w:p>
            <w:pPr>
              <w:pStyle w:val="Compact"/>
            </w:pPr>
            <w:r>
              <w:t xml:space="preserve">LSE Study, 2023</w:t>
            </w:r>
          </w:p>
        </w:tc>
      </w:tr>
      <w:tr>
        <w:tc>
          <w:tcPr/>
          <w:p>
            <w:pPr>
              <w:pStyle w:val="Compact"/>
            </w:pPr>
            <w:r>
              <w:rPr>
                <w:b/>
                <w:bCs/>
              </w:rPr>
              <w:t xml:space="preserve">Mortality Reduction</w:t>
            </w:r>
          </w:p>
        </w:tc>
        <w:tc>
          <w:tcPr/>
          <w:p>
            <w:pPr>
              <w:pStyle w:val="Compact"/>
            </w:pPr>
            <w:r>
              <w:rPr>
                <w:b/>
                <w:bCs/>
              </w:rPr>
              <w:t xml:space="preserve">-57%</w:t>
            </w:r>
            <w:r>
              <w:t xml:space="preserve"> </w:t>
            </w:r>
            <w:r>
              <w:t xml:space="preserve">for highly active members</w:t>
            </w:r>
          </w:p>
        </w:tc>
        <w:tc>
          <w:tcPr/>
          <w:p>
            <w:pPr>
              <w:pStyle w:val="Compact"/>
            </w:pPr>
            <w:r>
              <w:t xml:space="preserve">Vitality-LSE, 2023</w:t>
            </w:r>
          </w:p>
        </w:tc>
      </w:tr>
      <w:tr>
        <w:tc>
          <w:tcPr/>
          <w:p>
            <w:pPr>
              <w:pStyle w:val="Compact"/>
            </w:pPr>
            <w:r>
              <w:rPr>
                <w:b/>
                <w:bCs/>
              </w:rPr>
              <w:t xml:space="preserve">Insurance Claims Reduction</w:t>
            </w:r>
          </w:p>
        </w:tc>
        <w:tc>
          <w:tcPr/>
          <w:p>
            <w:pPr>
              <w:pStyle w:val="Compact"/>
            </w:pPr>
            <w:r>
              <w:rPr>
                <w:b/>
                <w:bCs/>
              </w:rPr>
              <w:t xml:space="preserve">-45%</w:t>
            </w:r>
            <w:r>
              <w:t xml:space="preserve"> </w:t>
            </w:r>
            <w:r>
              <w:t xml:space="preserve">life insurance claims for engaged members</w:t>
            </w:r>
          </w:p>
        </w:tc>
        <w:tc>
          <w:tcPr/>
          <w:p>
            <w:pPr>
              <w:pStyle w:val="Compact"/>
            </w:pPr>
            <w:r>
              <w:t xml:space="preserve">Vitality Group, 2022</w:t>
            </w:r>
          </w:p>
        </w:tc>
      </w:tr>
      <w:tr>
        <w:tc>
          <w:tcPr/>
          <w:p>
            <w:pPr>
              <w:pStyle w:val="Compact"/>
            </w:pPr>
            <w:r>
              <w:rPr>
                <w:b/>
                <w:bCs/>
              </w:rPr>
              <w:t xml:space="preserve">Hospital Days Reduction</w:t>
            </w:r>
          </w:p>
        </w:tc>
        <w:tc>
          <w:tcPr/>
          <w:p>
            <w:pPr>
              <w:pStyle w:val="Compact"/>
            </w:pPr>
            <w:r>
              <w:rPr>
                <w:b/>
                <w:bCs/>
              </w:rPr>
              <w:t xml:space="preserve">-25%</w:t>
            </w:r>
            <w:r>
              <w:t xml:space="preserve"> </w:t>
            </w:r>
            <w:r>
              <w:t xml:space="preserve">fewer hospital days</w:t>
            </w:r>
          </w:p>
        </w:tc>
        <w:tc>
          <w:tcPr/>
          <w:p>
            <w:pPr>
              <w:pStyle w:val="Compact"/>
            </w:pPr>
            <w:r>
              <w:t xml:space="preserve">Vitality Group, 2022</w:t>
            </w:r>
          </w:p>
        </w:tc>
      </w:tr>
      <w:tr>
        <w:tc>
          <w:tcPr/>
          <w:p>
            <w:pPr>
              <w:pStyle w:val="Compact"/>
            </w:pPr>
            <w:r>
              <w:rPr>
                <w:b/>
                <w:bCs/>
              </w:rPr>
              <w:t xml:space="preserve">Policy Retention</w:t>
            </w:r>
          </w:p>
        </w:tc>
        <w:tc>
          <w:tcPr/>
          <w:p>
            <w:pPr>
              <w:pStyle w:val="Compact"/>
            </w:pPr>
            <w:r>
              <w:rPr>
                <w:b/>
                <w:bCs/>
              </w:rPr>
              <w:t xml:space="preserve">+40%</w:t>
            </w:r>
            <w:r>
              <w:t xml:space="preserve"> </w:t>
            </w:r>
            <w:r>
              <w:t xml:space="preserve">less likely to lapse</w:t>
            </w:r>
          </w:p>
        </w:tc>
        <w:tc>
          <w:tcPr/>
          <w:p>
            <w:pPr>
              <w:pStyle w:val="Compact"/>
            </w:pPr>
            <w:r>
              <w:t xml:space="preserve">AIA Vitality Australia, 2021</w:t>
            </w:r>
          </w:p>
        </w:tc>
      </w:tr>
      <w:tr>
        <w:tc>
          <w:tcPr/>
          <w:p>
            <w:pPr>
              <w:pStyle w:val="Compact"/>
            </w:pPr>
            <w:r>
              <w:rPr>
                <w:b/>
                <w:bCs/>
              </w:rPr>
              <w:t xml:space="preserve">ROI for Employers</w:t>
            </w:r>
          </w:p>
        </w:tc>
        <w:tc>
          <w:tcPr/>
          <w:p>
            <w:pPr>
              <w:pStyle w:val="Compact"/>
            </w:pPr>
            <w:r>
              <w:rPr>
                <w:b/>
                <w:bCs/>
              </w:rPr>
              <w:t xml:space="preserve">180% return</w:t>
            </w:r>
            <w:r>
              <w:t xml:space="preserve"> </w:t>
            </w:r>
            <w:r>
              <w:t xml:space="preserve">on wellness investment</w:t>
            </w:r>
          </w:p>
        </w:tc>
        <w:tc>
          <w:tcPr/>
          <w:p>
            <w:pPr>
              <w:pStyle w:val="Compact"/>
            </w:pPr>
            <w:r>
              <w:t xml:space="preserve">Vitality Impact Study, 2022</w:t>
            </w:r>
          </w:p>
        </w:tc>
      </w:tr>
    </w:tbl>
    <w:p>
      <w:pPr>
        <w:pStyle w:val="BodyText"/>
      </w:pPr>
      <w:r>
        <w:rPr>
          <w:b/>
          <w:bCs/>
        </w:rPr>
        <w:t xml:space="preserve">Behavioral Economics Mechanisms</w:t>
      </w:r>
      <w:r>
        <w:t xml:space="preserve"> </w:t>
      </w:r>
      <w:r>
        <w:t xml:space="preserve">(Volpp et al., 2011; Thaler &amp; Sunstein, 2008):</w:t>
      </w:r>
    </w:p>
    <w:p>
      <w:pPr>
        <w:numPr>
          <w:ilvl w:val="0"/>
          <w:numId w:val="1048"/>
        </w:numPr>
      </w:pPr>
      <w:r>
        <w:rPr>
          <w:b/>
          <w:bCs/>
        </w:rPr>
        <w:t xml:space="preserve">Loss Aversion</w:t>
      </w:r>
      <w:r>
        <w:t xml:space="preserve">: Framing discounts as "earnings" rather than "avoiding penalties" increases engagement</w:t>
      </w:r>
    </w:p>
    <w:p>
      <w:pPr>
        <w:numPr>
          <w:ilvl w:val="0"/>
          <w:numId w:val="1048"/>
        </w:numPr>
      </w:pPr>
      <w:r>
        <w:rPr>
          <w:b/>
          <w:bCs/>
        </w:rPr>
        <w:t xml:space="preserve">Gamification</w:t>
      </w:r>
      <w:r>
        <w:t xml:space="preserve">: Health "levels" and achievement badges create intrinsic motivation</w:t>
      </w:r>
    </w:p>
    <w:p>
      <w:pPr>
        <w:numPr>
          <w:ilvl w:val="0"/>
          <w:numId w:val="1048"/>
        </w:numPr>
      </w:pPr>
      <w:r>
        <w:rPr>
          <w:b/>
          <w:bCs/>
        </w:rPr>
        <w:t xml:space="preserve">Social Proof</w:t>
      </w:r>
      <w:r>
        <w:t xml:space="preserve">: Leaderboards and community challenges leverage peer pressure</w:t>
      </w:r>
    </w:p>
    <w:p>
      <w:pPr>
        <w:numPr>
          <w:ilvl w:val="0"/>
          <w:numId w:val="1048"/>
        </w:numPr>
      </w:pPr>
      <w:r>
        <w:rPr>
          <w:b/>
          <w:bCs/>
        </w:rPr>
        <w:t xml:space="preserve">Present Bias</w:t>
      </w:r>
      <w:r>
        <w:t xml:space="preserve">: Immediate rewards (points) overcome delayed health benefits</w:t>
      </w:r>
    </w:p>
    <w:p>
      <w:pPr>
        <w:pStyle w:val="FirstParagraph"/>
      </w:pPr>
      <w:r>
        <w:rPr>
          <w:b/>
          <w:bCs/>
        </w:rPr>
        <w:t xml:space="preserve">4.5.5. Proposed "Opt-In Transparency Model"</w:t>
      </w:r>
    </w:p>
    <w:p>
      <w:pPr>
        <w:pStyle w:val="BodyText"/>
      </w:pPr>
      <w:r>
        <w:t xml:space="preserve">To maximize acceptance while addressing privacy concerns, we propose a</w:t>
      </w:r>
      <w:r>
        <w:t xml:space="preserve"> </w:t>
      </w:r>
      <w:r>
        <w:rPr>
          <w:b/>
          <w:bCs/>
        </w:rPr>
        <w:t xml:space="preserve">tiered data-sharing model</w:t>
      </w:r>
      <w:r>
        <w:t xml:space="preserve">:</w:t>
      </w:r>
    </w:p>
    <w:p>
      <w:pPr>
        <w:pStyle w:val="BodyText"/>
      </w:pPr>
      <w:r>
        <w:rPr>
          <w:b/>
          <w:bCs/>
        </w:rPr>
        <w:t xml:space="preserve">Table 4.8: Tiered Wearable Engagement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Data Shared</w:t>
            </w:r>
          </w:p>
        </w:tc>
        <w:tc>
          <w:tcPr/>
          <w:p>
            <w:pPr>
              <w:pStyle w:val="Compact"/>
            </w:pPr>
            <w:r>
              <w:t xml:space="preserve">Discount</w:t>
            </w:r>
          </w:p>
        </w:tc>
        <w:tc>
          <w:tcPr/>
          <w:p>
            <w:pPr>
              <w:pStyle w:val="Compact"/>
            </w:pPr>
            <w:r>
              <w:t xml:space="preserve">Target Segment</w:t>
            </w:r>
          </w:p>
        </w:tc>
        <w:tc>
          <w:tcPr/>
          <w:p>
            <w:pPr>
              <w:pStyle w:val="Compact"/>
            </w:pPr>
            <w:r>
              <w:t xml:space="preserve">Adoption Rate (Expected)</w:t>
            </w:r>
          </w:p>
        </w:tc>
      </w:tr>
      <w:tr>
        <w:tc>
          <w:tcPr/>
          <w:p>
            <w:pPr>
              <w:pStyle w:val="Compact"/>
            </w:pPr>
            <w:r>
              <w:rPr>
                <w:b/>
                <w:bCs/>
              </w:rPr>
              <w:t xml:space="preserve">Tier 0 (Baseline)</w:t>
            </w:r>
          </w:p>
        </w:tc>
        <w:tc>
          <w:tcPr/>
          <w:p>
            <w:pPr>
              <w:pStyle w:val="Compact"/>
            </w:pPr>
            <w:r>
              <w:t xml:space="preserve">None (Traditional Pricing)</w:t>
            </w:r>
          </w:p>
        </w:tc>
        <w:tc>
          <w:tcPr/>
          <w:p>
            <w:pPr>
              <w:pStyle w:val="Compact"/>
            </w:pPr>
            <w:r>
              <w:t xml:space="preserve">0%</w:t>
            </w:r>
          </w:p>
        </w:tc>
        <w:tc>
          <w:tcPr/>
          <w:p>
            <w:pPr>
              <w:pStyle w:val="Compact"/>
            </w:pPr>
            <w:r>
              <w:t xml:space="preserve">Privacy-conscious individuals</w:t>
            </w:r>
          </w:p>
        </w:tc>
        <w:tc>
          <w:tcPr/>
          <w:p>
            <w:pPr>
              <w:pStyle w:val="Compact"/>
            </w:pPr>
            <w:r>
              <w:t xml:space="preserve">20-25%</w:t>
            </w:r>
          </w:p>
        </w:tc>
      </w:tr>
      <w:tr>
        <w:tc>
          <w:tcPr/>
          <w:p>
            <w:pPr>
              <w:pStyle w:val="Compact"/>
            </w:pPr>
            <w:r>
              <w:rPr>
                <w:b/>
                <w:bCs/>
              </w:rPr>
              <w:t xml:space="preserve">Tier 1 (Basic)</w:t>
            </w:r>
          </w:p>
        </w:tc>
        <w:tc>
          <w:tcPr/>
          <w:p>
            <w:pPr>
              <w:pStyle w:val="Compact"/>
            </w:pPr>
            <w:r>
              <w:t xml:space="preserve">Step count + Active minutes only</w:t>
            </w:r>
          </w:p>
        </w:tc>
        <w:tc>
          <w:tcPr/>
          <w:p>
            <w:pPr>
              <w:pStyle w:val="Compact"/>
            </w:pPr>
            <w:r>
              <w:t xml:space="preserve">5-10%</w:t>
            </w:r>
          </w:p>
        </w:tc>
        <w:tc>
          <w:tcPr/>
          <w:p>
            <w:pPr>
              <w:pStyle w:val="Compact"/>
            </w:pPr>
            <w:r>
              <w:t xml:space="preserve">Moderate engagement</w:t>
            </w:r>
          </w:p>
        </w:tc>
        <w:tc>
          <w:tcPr/>
          <w:p>
            <w:pPr>
              <w:pStyle w:val="Compact"/>
            </w:pPr>
            <w:r>
              <w:t xml:space="preserve">35-40%</w:t>
            </w:r>
          </w:p>
        </w:tc>
      </w:tr>
      <w:tr>
        <w:tc>
          <w:tcPr/>
          <w:p>
            <w:pPr>
              <w:pStyle w:val="Compact"/>
            </w:pPr>
            <w:r>
              <w:rPr>
                <w:b/>
                <w:bCs/>
              </w:rPr>
              <w:t xml:space="preserve">Tier 2 (Standard)</w:t>
            </w:r>
          </w:p>
        </w:tc>
        <w:tc>
          <w:tcPr/>
          <w:p>
            <w:pPr>
              <w:pStyle w:val="Compact"/>
            </w:pPr>
            <w:r>
              <w:t xml:space="preserve">Activity profile + Movement patterns</w:t>
            </w:r>
          </w:p>
        </w:tc>
        <w:tc>
          <w:tcPr/>
          <w:p>
            <w:pPr>
              <w:pStyle w:val="Compact"/>
            </w:pPr>
            <w:r>
              <w:t xml:space="preserve">10-20%</w:t>
            </w:r>
          </w:p>
        </w:tc>
        <w:tc>
          <w:tcPr/>
          <w:p>
            <w:pPr>
              <w:pStyle w:val="Compact"/>
            </w:pPr>
            <w:r>
              <w:t xml:space="preserve">Health-motivated individuals</w:t>
            </w:r>
          </w:p>
        </w:tc>
        <w:tc>
          <w:tcPr/>
          <w:p>
            <w:pPr>
              <w:pStyle w:val="Compact"/>
            </w:pPr>
            <w:r>
              <w:t xml:space="preserve">25-30%</w:t>
            </w:r>
          </w:p>
        </w:tc>
      </w:tr>
      <w:tr>
        <w:tc>
          <w:tcPr/>
          <w:p>
            <w:pPr>
              <w:pStyle w:val="Compact"/>
            </w:pPr>
            <w:r>
              <w:rPr>
                <w:b/>
                <w:bCs/>
              </w:rPr>
              <w:t xml:space="preserve">Tier 3 (Premium)</w:t>
            </w:r>
          </w:p>
        </w:tc>
        <w:tc>
          <w:tcPr/>
          <w:p>
            <w:pPr>
              <w:pStyle w:val="Compact"/>
            </w:pPr>
            <w:r>
              <w:t xml:space="preserve">Full accelerometer + Sleep + HRV</w:t>
            </w:r>
          </w:p>
        </w:tc>
        <w:tc>
          <w:tcPr/>
          <w:p>
            <w:pPr>
              <w:pStyle w:val="Compact"/>
            </w:pPr>
            <w:r>
              <w:t xml:space="preserve">20-35%</w:t>
            </w:r>
          </w:p>
        </w:tc>
        <w:tc>
          <w:tcPr/>
          <w:p>
            <w:pPr>
              <w:pStyle w:val="Compact"/>
            </w:pPr>
            <w:r>
              <w:t xml:space="preserve">Quantified-self enthusiasts</w:t>
            </w:r>
          </w:p>
        </w:tc>
        <w:tc>
          <w:tcPr/>
          <w:p>
            <w:pPr>
              <w:pStyle w:val="Compact"/>
            </w:pPr>
            <w:r>
              <w:t xml:space="preserve">10-15%</w:t>
            </w:r>
          </w:p>
        </w:tc>
      </w:tr>
    </w:tbl>
    <w:p>
      <w:pPr>
        <w:pStyle w:val="BodyText"/>
      </w:pPr>
      <w:r>
        <w:rPr>
          <w:b/>
          <w:bCs/>
        </w:rPr>
        <w:t xml:space="preserve">Behavioral Economics Insight</w:t>
      </w:r>
      <w:r>
        <w:t xml:space="preserve">: Framing the program as "discount for sharing" rather than "surcharge for not sharing" significantly increases opt-in rates (Volpp et al., 2011). This is consistent with</w:t>
      </w:r>
      <w:r>
        <w:t xml:space="preserve"> </w:t>
      </w:r>
      <w:r>
        <w:rPr>
          <w:b/>
          <w:bCs/>
        </w:rPr>
        <w:t xml:space="preserve">Prospect Theory</w:t>
      </w:r>
      <w:r>
        <w:t xml:space="preserve"> </w:t>
      </w:r>
      <w:r>
        <w:t xml:space="preserve">(Kahneman &amp; Tversky, 1979), which demonstrates that losses are psychologically weighted more heavily than equivalent gains.</w:t>
      </w:r>
    </w:p>
    <w:p>
      <w:pPr>
        <w:pStyle w:val="BodyText"/>
      </w:pPr>
      <w:r>
        <w:rPr>
          <w:b/>
          <w:bCs/>
        </w:rPr>
        <w:t xml:space="preserve">4.5.6. Ethical Considerations and Regulatory Compliance</w:t>
      </w:r>
    </w:p>
    <w:p>
      <w:pPr>
        <w:pStyle w:val="BodyText"/>
      </w:pPr>
      <w:r>
        <w:rPr>
          <w:b/>
          <w:bCs/>
        </w:rPr>
        <w:t xml:space="preserve">Table 4.9: Ethical Framework for Wearable Insurance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Mitigation Strategy</w:t>
            </w:r>
          </w:p>
        </w:tc>
        <w:tc>
          <w:tcPr/>
          <w:p>
            <w:pPr>
              <w:pStyle w:val="Compact"/>
            </w:pPr>
            <w:r>
              <w:t xml:space="preserve">Regulatory Basis</w:t>
            </w:r>
          </w:p>
        </w:tc>
      </w:tr>
      <w:tr>
        <w:tc>
          <w:tcPr/>
          <w:p>
            <w:pPr>
              <w:pStyle w:val="Compact"/>
            </w:pPr>
            <w:r>
              <w:rPr>
                <w:b/>
                <w:bCs/>
              </w:rPr>
              <w:t xml:space="preserve">Discrimination Risk</w:t>
            </w:r>
          </w:p>
        </w:tc>
        <w:tc>
          <w:tcPr/>
          <w:p>
            <w:pPr>
              <w:pStyle w:val="Compact"/>
            </w:pPr>
            <w:r>
              <w:t xml:space="preserve">Discounts only (no surcharges beyond standard rates)</w:t>
            </w:r>
          </w:p>
        </w:tc>
        <w:tc>
          <w:tcPr/>
          <w:p>
            <w:pPr>
              <w:pStyle w:val="Compact"/>
            </w:pPr>
            <w:r>
              <w:t xml:space="preserve">Anti-discrimination law</w:t>
            </w:r>
          </w:p>
        </w:tc>
      </w:tr>
      <w:tr>
        <w:tc>
          <w:tcPr/>
          <w:p>
            <w:pPr>
              <w:pStyle w:val="Compact"/>
            </w:pPr>
            <w:r>
              <w:rPr>
                <w:b/>
                <w:bCs/>
              </w:rPr>
              <w:t xml:space="preserve">Disability Exclusion</w:t>
            </w:r>
          </w:p>
        </w:tc>
        <w:tc>
          <w:tcPr/>
          <w:p>
            <w:pPr>
              <w:pStyle w:val="Compact"/>
            </w:pPr>
            <w:r>
              <w:t xml:space="preserve">Age-adjusted and ability-normalized targets</w:t>
            </w:r>
          </w:p>
        </w:tc>
        <w:tc>
          <w:tcPr/>
          <w:p>
            <w:pPr>
              <w:pStyle w:val="Compact"/>
            </w:pPr>
            <w:r>
              <w:t xml:space="preserve">ADA/Egyptian disability law</w:t>
            </w:r>
          </w:p>
        </w:tc>
      </w:tr>
      <w:tr>
        <w:tc>
          <w:tcPr/>
          <w:p>
            <w:pPr>
              <w:pStyle w:val="Compact"/>
            </w:pPr>
            <w:r>
              <w:rPr>
                <w:b/>
                <w:bCs/>
              </w:rPr>
              <w:t xml:space="preserve">Data Privacy</w:t>
            </w:r>
          </w:p>
        </w:tc>
        <w:tc>
          <w:tcPr/>
          <w:p>
            <w:pPr>
              <w:pStyle w:val="Compact"/>
            </w:pPr>
            <w:r>
              <w:t xml:space="preserve">On-device processing; only aggregate scores transmitted</w:t>
            </w:r>
          </w:p>
        </w:tc>
        <w:tc>
          <w:tcPr/>
          <w:p>
            <w:pPr>
              <w:pStyle w:val="Compact"/>
            </w:pPr>
            <w:r>
              <w:t xml:space="preserve">GDPR Art. 5 / Egyptian PDPL</w:t>
            </w:r>
          </w:p>
        </w:tc>
      </w:tr>
      <w:tr>
        <w:tc>
          <w:tcPr/>
          <w:p>
            <w:pPr>
              <w:pStyle w:val="Compact"/>
            </w:pPr>
            <w:r>
              <w:rPr>
                <w:b/>
                <w:bCs/>
              </w:rPr>
              <w:t xml:space="preserve">Algorithmic Bias</w:t>
            </w:r>
          </w:p>
        </w:tc>
        <w:tc>
          <w:tcPr/>
          <w:p>
            <w:pPr>
              <w:pStyle w:val="Compact"/>
            </w:pPr>
            <w:r>
              <w:t xml:space="preserve">Regular fairness audits using demographic parity metrics</w:t>
            </w:r>
          </w:p>
        </w:tc>
        <w:tc>
          <w:tcPr/>
          <w:p>
            <w:pPr>
              <w:pStyle w:val="Compact"/>
            </w:pPr>
            <w:r>
              <w:t xml:space="preserve">EU AI Act Draft</w:t>
            </w:r>
          </w:p>
        </w:tc>
      </w:tr>
      <w:tr>
        <w:tc>
          <w:tcPr/>
          <w:p>
            <w:pPr>
              <w:pStyle w:val="Compact"/>
            </w:pPr>
            <w:r>
              <w:rPr>
                <w:b/>
                <w:bCs/>
              </w:rPr>
              <w:t xml:space="preserve">Right to Explanation</w:t>
            </w:r>
          </w:p>
        </w:tc>
        <w:tc>
          <w:tcPr/>
          <w:p>
            <w:pPr>
              <w:pStyle w:val="Compact"/>
            </w:pPr>
            <w:r>
              <w:t xml:space="preserve">XGBAge as interpretable benchmark for regulatory review</w:t>
            </w:r>
          </w:p>
        </w:tc>
        <w:tc>
          <w:tcPr/>
          <w:p>
            <w:pPr>
              <w:pStyle w:val="Compact"/>
            </w:pPr>
            <w:r>
              <w:t xml:space="preserve">GDPR Art. 22</w:t>
            </w:r>
          </w:p>
        </w:tc>
      </w:tr>
      <w:tr>
        <w:tc>
          <w:tcPr/>
          <w:p>
            <w:pPr>
              <w:pStyle w:val="Compact"/>
            </w:pPr>
            <w:r>
              <w:rPr>
                <w:b/>
                <w:bCs/>
              </w:rPr>
              <w:t xml:space="preserve">Free Choice</w:t>
            </w:r>
          </w:p>
        </w:tc>
        <w:tc>
          <w:tcPr/>
          <w:p>
            <w:pPr>
              <w:pStyle w:val="Compact"/>
            </w:pPr>
            <w:r>
              <w:t xml:space="preserve">No penalty for non-participation</w:t>
            </w:r>
          </w:p>
        </w:tc>
        <w:tc>
          <w:tcPr/>
          <w:p>
            <w:pPr>
              <w:pStyle w:val="Compact"/>
            </w:pPr>
            <w:r>
              <w:t xml:space="preserve">Insurance regulation</w:t>
            </w:r>
          </w:p>
        </w:tc>
      </w:tr>
    </w:tbl>
    <w:p>
      <w:pPr>
        <w:pStyle w:val="BodyText"/>
      </w:pPr>
      <w:r>
        <w:rPr>
          <w:b/>
          <w:bCs/>
        </w:rPr>
        <w:t xml:space="preserve">Egyptian Regulatory Context</w:t>
      </w:r>
      <w:r>
        <w:t xml:space="preserve">: The Egyptian Financial Regulatory Authority (FRA) is expected to develop guidelines emphasizing:</w:t>
      </w:r>
    </w:p>
    <w:p>
      <w:pPr>
        <w:numPr>
          <w:ilvl w:val="0"/>
          <w:numId w:val="1049"/>
        </w:numPr>
      </w:pPr>
      <w:r>
        <w:rPr>
          <w:b/>
          <w:bCs/>
        </w:rPr>
        <w:t xml:space="preserve">Transparent AI</w:t>
      </w:r>
      <w:r>
        <w:t xml:space="preserve">: Hence our CoxPH + XGBAge benchmarks satisfy explainability requirements</w:t>
      </w:r>
    </w:p>
    <w:p>
      <w:pPr>
        <w:numPr>
          <w:ilvl w:val="0"/>
          <w:numId w:val="1049"/>
        </w:numPr>
      </w:pPr>
      <w:r>
        <w:rPr>
          <w:b/>
          <w:bCs/>
        </w:rPr>
        <w:t xml:space="preserve">Consumer consent</w:t>
      </w:r>
      <w:r>
        <w:t xml:space="preserve">: Aligning with our opt-in model per O'Neil (2016) recommendations</w:t>
      </w:r>
    </w:p>
    <w:p>
      <w:pPr>
        <w:numPr>
          <w:ilvl w:val="0"/>
          <w:numId w:val="1049"/>
        </w:numPr>
      </w:pPr>
      <w:r>
        <w:rPr>
          <w:b/>
          <w:bCs/>
        </w:rPr>
        <w:t xml:space="preserve">Non-discriminatory pricing</w:t>
      </w:r>
      <w:r>
        <w:t xml:space="preserve">: Our "discount-only" approach complies with equity principles</w:t>
      </w:r>
    </w:p>
    <w:p>
      <w:pPr>
        <w:numPr>
          <w:ilvl w:val="0"/>
          <w:numId w:val="1049"/>
        </w:numPr>
      </w:pPr>
      <w:r>
        <w:rPr>
          <w:b/>
          <w:bCs/>
        </w:rPr>
        <w:t xml:space="preserve">Data protection</w:t>
      </w:r>
      <w:r>
        <w:t xml:space="preserve">: Consistent with Egypt's emerging Personal Data Protection Law (PDPL)</w:t>
      </w:r>
    </w:p>
    <w:p>
      <w:pPr>
        <w:pStyle w:val="FirstParagraph"/>
      </w:pPr>
      <w:r>
        <w:rPr>
          <w:b/>
          <w:bCs/>
        </w:rPr>
        <w:t xml:space="preserve">4.5.7. Digital Equity and Inclusion Considerations</w:t>
      </w:r>
    </w:p>
    <w:p>
      <w:pPr>
        <w:pStyle w:val="BodyText"/>
      </w:pPr>
      <w:r>
        <w:t xml:space="preserve">A critical concern with wearable-based insurance is the potential for</w:t>
      </w:r>
      <w:r>
        <w:t xml:space="preserve"> </w:t>
      </w:r>
      <w:r>
        <w:rPr>
          <w:b/>
          <w:bCs/>
        </w:rPr>
        <w:t xml:space="preserve">Digital Divide</w:t>
      </w:r>
      <w:r>
        <w:t xml:space="preserve"> </w:t>
      </w:r>
      <w:r>
        <w:t xml:space="preserve">discrimination—where lower-income or elderly populations may lack access to the required technology. This research addresses this through several innovative mechanisms:</w:t>
      </w:r>
    </w:p>
    <w:p>
      <w:pPr>
        <w:pStyle w:val="BodyText"/>
      </w:pPr>
      <w:r>
        <w:rPr>
          <w:b/>
          <w:bCs/>
        </w:rPr>
        <w:t xml:space="preserve">Table 4.10: Digital Equity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Proposed Solution</w:t>
            </w:r>
          </w:p>
        </w:tc>
        <w:tc>
          <w:tcPr/>
          <w:p>
            <w:pPr>
              <w:pStyle w:val="Compact"/>
            </w:pPr>
            <w:r>
              <w:t xml:space="preserve">Implementation</w:t>
            </w:r>
          </w:p>
        </w:tc>
      </w:tr>
      <w:tr>
        <w:tc>
          <w:tcPr/>
          <w:p>
            <w:pPr>
              <w:pStyle w:val="Compact"/>
            </w:pPr>
            <w:r>
              <w:rPr>
                <w:b/>
                <w:bCs/>
              </w:rPr>
              <w:t xml:space="preserve">Device Cost</w:t>
            </w:r>
          </w:p>
        </w:tc>
        <w:tc>
          <w:tcPr/>
          <w:p>
            <w:pPr>
              <w:pStyle w:val="Compact"/>
            </w:pPr>
            <w:r>
              <w:t xml:space="preserve">Subsidized wearable program</w:t>
            </w:r>
          </w:p>
        </w:tc>
        <w:tc>
          <w:tcPr/>
          <w:p>
            <w:pPr>
              <w:pStyle w:val="Compact"/>
            </w:pPr>
            <w:r>
              <w:t xml:space="preserve">Partner with telecom operators (Vodafone Egypt, Orange) to bundle devices with mobile plans</w:t>
            </w:r>
          </w:p>
        </w:tc>
      </w:tr>
      <w:tr>
        <w:tc>
          <w:tcPr/>
          <w:p>
            <w:pPr>
              <w:pStyle w:val="Compact"/>
            </w:pPr>
            <w:r>
              <w:rPr>
                <w:b/>
                <w:bCs/>
              </w:rPr>
              <w:t xml:space="preserve">Smartphone Access</w:t>
            </w:r>
          </w:p>
        </w:tc>
        <w:tc>
          <w:tcPr/>
          <w:p>
            <w:pPr>
              <w:pStyle w:val="Compact"/>
            </w:pPr>
            <w:r>
              <w:t xml:space="preserve">SMS-based step tracking alternative</w:t>
            </w:r>
          </w:p>
        </w:tc>
        <w:tc>
          <w:tcPr/>
          <w:p>
            <w:pPr>
              <w:pStyle w:val="Compact"/>
            </w:pPr>
            <w:r>
              <w:t xml:space="preserve">Use pedometer data sent via basic SMS for Tier 1 participation</w:t>
            </w:r>
          </w:p>
        </w:tc>
      </w:tr>
      <w:tr>
        <w:tc>
          <w:tcPr/>
          <w:p>
            <w:pPr>
              <w:pStyle w:val="Compact"/>
            </w:pPr>
            <w:r>
              <w:rPr>
                <w:b/>
                <w:bCs/>
              </w:rPr>
              <w:t xml:space="preserve">Digital Literacy</w:t>
            </w:r>
          </w:p>
        </w:tc>
        <w:tc>
          <w:tcPr/>
          <w:p>
            <w:pPr>
              <w:pStyle w:val="Compact"/>
            </w:pPr>
            <w:r>
              <w:t xml:space="preserve">Community health worker training</w:t>
            </w:r>
          </w:p>
        </w:tc>
        <w:tc>
          <w:tcPr/>
          <w:p>
            <w:pPr>
              <w:pStyle w:val="Compact"/>
            </w:pPr>
            <w:r>
              <w:t xml:space="preserve">Partner with Ministry of Health for rural outreach</w:t>
            </w:r>
          </w:p>
        </w:tc>
      </w:tr>
      <w:tr>
        <w:tc>
          <w:tcPr/>
          <w:p>
            <w:pPr>
              <w:pStyle w:val="Compact"/>
            </w:pPr>
            <w:r>
              <w:rPr>
                <w:b/>
                <w:bCs/>
              </w:rPr>
              <w:t xml:space="preserve">Physical Disability</w:t>
            </w:r>
          </w:p>
        </w:tc>
        <w:tc>
          <w:tcPr/>
          <w:p>
            <w:pPr>
              <w:pStyle w:val="Compact"/>
            </w:pPr>
            <w:r>
              <w:t xml:space="preserve">Alternative activity metrics</w:t>
            </w:r>
          </w:p>
        </w:tc>
        <w:tc>
          <w:tcPr/>
          <w:p>
            <w:pPr>
              <w:pStyle w:val="Compact"/>
            </w:pPr>
            <w:r>
              <w:t xml:space="preserve">Use heart rate variability (HRV) instead of step count for wheelchair users</w:t>
            </w:r>
          </w:p>
        </w:tc>
      </w:tr>
      <w:tr>
        <w:tc>
          <w:tcPr/>
          <w:p>
            <w:pPr>
              <w:pStyle w:val="Compact"/>
            </w:pPr>
            <w:r>
              <w:rPr>
                <w:b/>
                <w:bCs/>
              </w:rPr>
              <w:t xml:space="preserve">Age-Related Barriers</w:t>
            </w:r>
          </w:p>
        </w:tc>
        <w:tc>
          <w:tcPr/>
          <w:p>
            <w:pPr>
              <w:pStyle w:val="Compact"/>
            </w:pPr>
            <w:r>
              <w:t xml:space="preserve">Family-assisted enrollment</w:t>
            </w:r>
          </w:p>
        </w:tc>
        <w:tc>
          <w:tcPr/>
          <w:p>
            <w:pPr>
              <w:pStyle w:val="Compact"/>
            </w:pPr>
            <w:r>
              <w:t xml:space="preserve">Allow family members to manage wearable data submission</w:t>
            </w:r>
          </w:p>
        </w:tc>
      </w:tr>
    </w:tbl>
    <w:p>
      <w:pPr>
        <w:pStyle w:val="BodyText"/>
      </w:pPr>
      <w:r>
        <w:rPr>
          <w:b/>
          <w:bCs/>
        </w:rPr>
        <w:t xml:space="preserve">Equity Safeguards:</w:t>
      </w:r>
    </w:p>
    <w:p>
      <w:pPr>
        <w:numPr>
          <w:ilvl w:val="0"/>
          <w:numId w:val="1050"/>
        </w:numPr>
      </w:pPr>
      <w:r>
        <w:rPr>
          <w:b/>
          <w:bCs/>
        </w:rPr>
        <w:t xml:space="preserve">No Penalty for Non-Participation</w:t>
      </w:r>
      <w:r>
        <w:t xml:space="preserve">: Traditional pricing remains available (Tier 0)</w:t>
      </w:r>
    </w:p>
    <w:p>
      <w:pPr>
        <w:numPr>
          <w:ilvl w:val="0"/>
          <w:numId w:val="1050"/>
        </w:numPr>
      </w:pPr>
      <w:r>
        <w:rPr>
          <w:b/>
          <w:bCs/>
        </w:rPr>
        <w:t xml:space="preserve">Income-Adjusted Targets</w:t>
      </w:r>
      <w:r>
        <w:t xml:space="preserve">: Lower activity thresholds for economically disadvantaged populations</w:t>
      </w:r>
    </w:p>
    <w:p>
      <w:pPr>
        <w:numPr>
          <w:ilvl w:val="0"/>
          <w:numId w:val="1050"/>
        </w:numPr>
      </w:pPr>
      <w:r>
        <w:rPr>
          <w:b/>
          <w:bCs/>
        </w:rPr>
        <w:t xml:space="preserve">Universal Baseline</w:t>
      </w:r>
      <w:r>
        <w:t xml:space="preserve">: All participants receive minimum 5% discount for enrollment, regardless of activity level</w:t>
      </w:r>
    </w:p>
    <w:p>
      <w:pPr>
        <w:pStyle w:val="BlockText"/>
      </w:pPr>
      <w:r>
        <w:rPr>
          <w:b/>
          <w:bCs/>
        </w:rPr>
        <w:t xml:space="preserve">Principle</w:t>
      </w:r>
      <w:r>
        <w:t xml:space="preserve">: The goal is</w:t>
      </w:r>
      <w:r>
        <w:t xml:space="preserve"> </w:t>
      </w:r>
      <w:r>
        <w:rPr>
          <w:i/>
          <w:iCs/>
        </w:rPr>
        <w:t xml:space="preserve">inclusion through incentive</w:t>
      </w:r>
      <w:r>
        <w:t xml:space="preserve">, not</w:t>
      </w:r>
      <w:r>
        <w:t xml:space="preserve"> </w:t>
      </w:r>
      <w:r>
        <w:rPr>
          <w:i/>
          <w:iCs/>
        </w:rPr>
        <w:t xml:space="preserve">exclusion through technology</w:t>
      </w:r>
      <w:r>
        <w:t xml:space="preserve">.</w:t>
      </w:r>
    </w:p>
    <w:p>
      <w:pPr>
        <w:pStyle w:val="FirstParagraph"/>
      </w:pPr>
      <w:r>
        <w:rPr>
          <w:b/>
          <w:bCs/>
        </w:rPr>
        <w:t xml:space="preserve">4.6. Summary of Key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Research Question</w:t>
            </w:r>
          </w:p>
        </w:tc>
        <w:tc>
          <w:tcPr/>
          <w:p>
            <w:pPr>
              <w:pStyle w:val="Compact"/>
            </w:pPr>
            <w:r>
              <w:t xml:space="preserve">Finding</w:t>
            </w:r>
          </w:p>
        </w:tc>
        <w:tc>
          <w:tcPr/>
          <w:p>
            <w:pPr>
              <w:pStyle w:val="Compact"/>
            </w:pPr>
            <w:r>
              <w:t xml:space="preserve">Confidence Level</w:t>
            </w:r>
          </w:p>
        </w:tc>
      </w:tr>
      <w:tr>
        <w:tc>
          <w:tcPr/>
          <w:p>
            <w:pPr>
              <w:pStyle w:val="Compact"/>
            </w:pPr>
            <w:r>
              <w:t xml:space="preserve">Can biomarkers predict BioAge?</w:t>
            </w:r>
          </w:p>
        </w:tc>
        <w:tc>
          <w:tcPr/>
          <w:p>
            <w:pPr>
              <w:pStyle w:val="Compact"/>
            </w:pPr>
            <w:r>
              <w:rPr>
                <w:b/>
                <w:bCs/>
              </w:rPr>
              <w:t xml:space="preserve">Yes</w:t>
            </w:r>
            <w:r>
              <w:t xml:space="preserve"> </w:t>
            </w:r>
            <w:r>
              <w:t xml:space="preserve">– PhenoAge validated on N=4,894</w:t>
            </w:r>
          </w:p>
        </w:tc>
        <w:tc>
          <w:tcPr/>
          <w:p>
            <w:pPr>
              <w:pStyle w:val="Compact"/>
            </w:pPr>
            <w:r>
              <w:t xml:space="preserve">High (Real NHANES data)</w:t>
            </w:r>
          </w:p>
        </w:tc>
      </w:tr>
      <w:tr>
        <w:tc>
          <w:tcPr/>
          <w:p>
            <w:pPr>
              <w:pStyle w:val="Compact"/>
            </w:pPr>
            <w:r>
              <w:t xml:space="preserve">Which model is best?</w:t>
            </w:r>
          </w:p>
        </w:tc>
        <w:tc>
          <w:tcPr/>
          <w:p>
            <w:pPr>
              <w:pStyle w:val="Compact"/>
            </w:pPr>
            <w:r>
              <w:rPr>
                <w:b/>
                <w:bCs/>
              </w:rPr>
              <w:t xml:space="preserve">DeepSurv ≥ XGBAge &gt; CoxPH</w:t>
            </w:r>
          </w:p>
        </w:tc>
        <w:tc>
          <w:tcPr/>
          <w:p>
            <w:pPr>
              <w:pStyle w:val="Compact"/>
            </w:pPr>
            <w:r>
              <w:t xml:space="preserve">Medium-High (Architectural validation)</w:t>
            </w:r>
          </w:p>
        </w:tc>
      </w:tr>
      <w:tr>
        <w:tc>
          <w:tcPr/>
          <w:p>
            <w:pPr>
              <w:pStyle w:val="Compact"/>
            </w:pPr>
            <w:r>
              <w:t xml:space="preserve">Top digital biomarker?</w:t>
            </w:r>
          </w:p>
        </w:tc>
        <w:tc>
          <w:tcPr/>
          <w:p>
            <w:pPr>
              <w:pStyle w:val="Compact"/>
            </w:pPr>
            <w:r>
              <w:rPr>
                <w:b/>
                <w:bCs/>
              </w:rPr>
              <w:t xml:space="preserve">Movement Fragmentation</w:t>
            </w:r>
          </w:p>
        </w:tc>
        <w:tc>
          <w:tcPr/>
          <w:p>
            <w:pPr>
              <w:pStyle w:val="Compact"/>
            </w:pPr>
            <w:r>
              <w:t xml:space="preserve">High (Literature-supported)</w:t>
            </w:r>
          </w:p>
        </w:tc>
      </w:tr>
      <w:tr>
        <w:tc>
          <w:tcPr/>
          <w:p>
            <w:pPr>
              <w:pStyle w:val="Compact"/>
            </w:pPr>
            <w:r>
              <w:t xml:space="preserve">Pricing impact (Observed)?</w:t>
            </w:r>
          </w:p>
        </w:tc>
        <w:tc>
          <w:tcPr/>
          <w:p>
            <w:pPr>
              <w:pStyle w:val="Compact"/>
            </w:pPr>
            <w:r>
              <w:rPr>
                <w:b/>
                <w:bCs/>
              </w:rPr>
              <w:t xml:space="preserve">Gini 0.332 (+50.9%)</w:t>
            </w:r>
          </w:p>
        </w:tc>
        <w:tc>
          <w:tcPr/>
          <w:p>
            <w:pPr>
              <w:pStyle w:val="Compact"/>
            </w:pPr>
            <w:r>
              <w:t xml:space="preserve">High (Cross-sectional)</w:t>
            </w:r>
          </w:p>
        </w:tc>
      </w:tr>
      <w:tr>
        <w:tc>
          <w:tcPr/>
          <w:p>
            <w:pPr>
              <w:pStyle w:val="Compact"/>
            </w:pPr>
            <w:r>
              <w:t xml:space="preserve">Pricing impact (Conservative)?</w:t>
            </w:r>
          </w:p>
        </w:tc>
        <w:tc>
          <w:tcPr/>
          <w:p>
            <w:pPr>
              <w:pStyle w:val="Compact"/>
            </w:pPr>
            <w:r>
              <w:rPr>
                <w:b/>
                <w:bCs/>
              </w:rPr>
              <w:t xml:space="preserve">Gini 0.232-0.266 (+5-21%)</w:t>
            </w:r>
          </w:p>
        </w:tc>
        <w:tc>
          <w:tcPr/>
          <w:p>
            <w:pPr>
              <w:pStyle w:val="Compact"/>
            </w:pPr>
            <w:r>
              <w:t xml:space="preserve">Medium (Projected)</w:t>
            </w:r>
          </w:p>
        </w:tc>
      </w:tr>
      <w:tr>
        <w:tc>
          <w:tcPr/>
          <w:p>
            <w:pPr>
              <w:pStyle w:val="Compact"/>
            </w:pPr>
            <w:r>
              <w:t xml:space="preserve">Consumer acceptance?</w:t>
            </w:r>
          </w:p>
        </w:tc>
        <w:tc>
          <w:tcPr/>
          <w:p>
            <w:pPr>
              <w:pStyle w:val="Compact"/>
            </w:pPr>
            <w:r>
              <w:rPr>
                <w:b/>
                <w:bCs/>
              </w:rPr>
              <w:t xml:space="preserve">58-80% willing</w:t>
            </w:r>
            <w:r>
              <w:t xml:space="preserve"> </w:t>
            </w:r>
            <w:r>
              <w:t xml:space="preserve">with discounts</w:t>
            </w:r>
          </w:p>
        </w:tc>
        <w:tc>
          <w:tcPr/>
          <w:p>
            <w:pPr>
              <w:pStyle w:val="Compact"/>
            </w:pPr>
            <w:r>
              <w:t xml:space="preserve">High (Multi-study synthesis)</w:t>
            </w:r>
          </w:p>
        </w:tc>
      </w:tr>
    </w:tbl>
    <w:p>
      <w:pPr>
        <w:pStyle w:val="BodyText"/>
      </w:pPr>
      <w:r>
        <w:t xml:space="preserve">\newpage</w:t>
      </w:r>
    </w:p>
    <w:p>
      <w:pPr>
        <w:pStyle w:val="BodyText"/>
      </w:pPr>
      <w:r>
        <w:rPr>
          <w:b/>
          <w:bCs/>
        </w:rPr>
        <w:t xml:space="preserve">7. Industry Impact Analysis</w:t>
      </w:r>
    </w:p>
    <w:p>
      <w:pPr>
        <w:pStyle w:val="BlockText"/>
      </w:pPr>
      <w:r>
        <w:rPr>
          <w:b/>
          <w:bCs/>
        </w:rPr>
        <w:t xml:space="preserve">7.1. Global Implementation Case Studies</w:t>
      </w:r>
    </w:p>
    <w:p>
      <w:pPr>
        <w:pStyle w:val="BlockText"/>
      </w:pPr>
      <w:r>
        <w:rPr>
          <w:b/>
          <w:bCs/>
        </w:rPr>
        <w:t xml:space="preserve">7.2. Advantages and Benefits</w:t>
      </w:r>
    </w:p>
    <w:p>
      <w:pPr>
        <w:pStyle w:val="BlockText"/>
      </w:pPr>
      <w:r>
        <w:rPr>
          <w:b/>
          <w:bCs/>
        </w:rPr>
        <w:t xml:space="preserve">7.3. Challenges, Disadvantages, and Modifications</w:t>
      </w:r>
    </w:p>
    <w:p>
      <w:pPr>
        <w:pStyle w:val="BlockText"/>
      </w:pPr>
      <w:r>
        <w:rPr>
          <w:b/>
          <w:bCs/>
        </w:rPr>
        <w:t xml:space="preserve">7.4. Future Expectations and Industry Trends</w:t>
      </w:r>
    </w:p>
    <w:p>
      <w:pPr>
        <w:pStyle w:val="BlockText"/>
      </w:pPr>
      <w:r>
        <w:rPr>
          <w:b/>
          <w:bCs/>
        </w:rPr>
        <w:t xml:space="preserve">7.5. Impact on the Egyptian Insurance Market</w:t>
      </w:r>
    </w:p>
    <w:p>
      <w:pPr>
        <w:pStyle w:val="BlockText"/>
      </w:pPr>
      <w:r>
        <w:rPr>
          <w:b/>
          <w:bCs/>
        </w:rPr>
        <w:t xml:space="preserve">7.6. Economic Impact Quantification</w:t>
      </w:r>
    </w:p>
    <w:p>
      <w:pPr>
        <w:pStyle w:val="FirstParagraph"/>
      </w:pPr>
      <w:r>
        <w:t xml:space="preserve">\newpage</w:t>
      </w:r>
    </w:p>
    <w:p>
      <w:pPr>
        <w:pStyle w:val="BodyText"/>
      </w:pPr>
      <w:r>
        <w:rPr>
          <w:b/>
          <w:bCs/>
        </w:rPr>
        <w:t xml:space="preserve">7.1. Global Implementation Case Studies</w:t>
      </w:r>
    </w:p>
    <w:p>
      <w:pPr>
        <w:pStyle w:val="BodyText"/>
      </w:pPr>
      <w:r>
        <w:t xml:space="preserve">This section analyzes countries that have successfully implemented wearable-based and biological age insurance programs, documenting their outcomes, challenges, and lessons learned.</w:t>
      </w:r>
    </w:p>
    <w:p>
      <w:pPr>
        <w:pStyle w:val="BodyText"/>
      </w:pPr>
      <w:r>
        <w:rPr>
          <w:b/>
          <w:bCs/>
        </w:rPr>
        <w:t xml:space="preserve">Table 6.1: Global Wearable-Based Insurance Programs (Verified Case Studies)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Country</w:t>
            </w:r>
          </w:p>
        </w:tc>
        <w:tc>
          <w:tcPr/>
          <w:p>
            <w:pPr>
              <w:pStyle w:val="Compact"/>
            </w:pPr>
            <w:r>
              <w:t xml:space="preserve">Program</w:t>
            </w:r>
          </w:p>
        </w:tc>
        <w:tc>
          <w:tcPr/>
          <w:p>
            <w:pPr>
              <w:pStyle w:val="Compact"/>
            </w:pPr>
            <w:r>
              <w:t xml:space="preserve">Launch Year</w:t>
            </w:r>
          </w:p>
        </w:tc>
        <w:tc>
          <w:tcPr/>
          <w:p>
            <w:pPr>
              <w:pStyle w:val="Compact"/>
            </w:pPr>
            <w:r>
              <w:t xml:space="preserve">Participants</w:t>
            </w:r>
          </w:p>
        </w:tc>
        <w:tc>
          <w:tcPr/>
          <w:p>
            <w:pPr>
              <w:pStyle w:val="Compact"/>
            </w:pPr>
            <w:r>
              <w:t xml:space="preserve">Key Outcomes</w:t>
            </w:r>
          </w:p>
        </w:tc>
        <w:tc>
          <w:tcPr/>
          <w:p>
            <w:pPr>
              <w:pStyle w:val="Compact"/>
            </w:pPr>
            <w:r>
              <w:t xml:space="preserve">Source</w:t>
            </w:r>
          </w:p>
        </w:tc>
      </w:tr>
      <w:tr>
        <w:tc>
          <w:tcPr/>
          <w:p>
            <w:pPr>
              <w:pStyle w:val="Compact"/>
            </w:pPr>
            <w:r>
              <w:rPr>
                <w:b/>
                <w:bCs/>
              </w:rPr>
              <w:t xml:space="preserve">South Africa</w:t>
            </w:r>
          </w:p>
        </w:tc>
        <w:tc>
          <w:tcPr/>
          <w:p>
            <w:pPr>
              <w:pStyle w:val="Compact"/>
            </w:pPr>
            <w:r>
              <w:t xml:space="preserve">Discovery Vitality</w:t>
            </w:r>
          </w:p>
        </w:tc>
        <w:tc>
          <w:tcPr/>
          <w:p>
            <w:pPr>
              <w:pStyle w:val="Compact"/>
            </w:pPr>
            <w:r>
              <w:t xml:space="preserve">1997</w:t>
            </w:r>
          </w:p>
        </w:tc>
        <w:tc>
          <w:tcPr/>
          <w:p>
            <w:pPr>
              <w:pStyle w:val="Compact"/>
            </w:pPr>
            <w:r>
              <w:t xml:space="preserve">2.8 million+</w:t>
            </w:r>
          </w:p>
        </w:tc>
        <w:tc>
          <w:tcPr/>
          <w:p>
            <w:pPr>
              <w:pStyle w:val="Compact"/>
            </w:pPr>
            <w:r>
              <w:t xml:space="preserve">+22% activity, -57% mortality</w:t>
            </w:r>
          </w:p>
        </w:tc>
        <w:tc>
          <w:tcPr/>
          <w:p>
            <w:pPr>
              <w:pStyle w:val="Compact"/>
            </w:pPr>
            <w:r>
              <w:t xml:space="preserve">Hafner et al., 2018 (RAND)</w:t>
            </w:r>
          </w:p>
        </w:tc>
      </w:tr>
      <w:tr>
        <w:tc>
          <w:tcPr/>
          <w:p>
            <w:pPr>
              <w:pStyle w:val="Compact"/>
            </w:pPr>
            <w:r>
              <w:rPr>
                <w:b/>
                <w:bCs/>
              </w:rPr>
              <w:t xml:space="preserve">United Kingdom</w:t>
            </w:r>
          </w:p>
        </w:tc>
        <w:tc>
          <w:tcPr/>
          <w:p>
            <w:pPr>
              <w:pStyle w:val="Compact"/>
            </w:pPr>
            <w:r>
              <w:t xml:space="preserve">Vitality UK</w:t>
            </w:r>
          </w:p>
        </w:tc>
        <w:tc>
          <w:tcPr/>
          <w:p>
            <w:pPr>
              <w:pStyle w:val="Compact"/>
            </w:pPr>
            <w:r>
              <w:t xml:space="preserve">2004</w:t>
            </w:r>
          </w:p>
        </w:tc>
        <w:tc>
          <w:tcPr/>
          <w:p>
            <w:pPr>
              <w:pStyle w:val="Compact"/>
            </w:pPr>
            <w:r>
              <w:t xml:space="preserve">1.2 million+</w:t>
            </w:r>
          </w:p>
        </w:tc>
        <w:tc>
          <w:tcPr/>
          <w:p>
            <w:pPr>
              <w:pStyle w:val="Compact"/>
            </w:pPr>
            <w:r>
              <w:t xml:space="preserve">+5 years life expectancy</w:t>
            </w:r>
          </w:p>
        </w:tc>
        <w:tc>
          <w:tcPr/>
          <w:p>
            <w:pPr>
              <w:pStyle w:val="Compact"/>
            </w:pPr>
            <w:r>
              <w:t xml:space="preserve">LSE Study, 2023</w:t>
            </w:r>
          </w:p>
        </w:tc>
      </w:tr>
      <w:tr>
        <w:tc>
          <w:tcPr/>
          <w:p>
            <w:pPr>
              <w:pStyle w:val="Compact"/>
            </w:pPr>
            <w:r>
              <w:rPr>
                <w:b/>
                <w:bCs/>
              </w:rPr>
              <w:t xml:space="preserve">United States</w:t>
            </w:r>
          </w:p>
        </w:tc>
        <w:tc>
          <w:tcPr/>
          <w:p>
            <w:pPr>
              <w:pStyle w:val="Compact"/>
            </w:pPr>
            <w:r>
              <w:t xml:space="preserve">John Hancock Vitality</w:t>
            </w:r>
          </w:p>
        </w:tc>
        <w:tc>
          <w:tcPr/>
          <w:p>
            <w:pPr>
              <w:pStyle w:val="Compact"/>
            </w:pPr>
            <w:r>
              <w:t xml:space="preserve">2015</w:t>
            </w:r>
          </w:p>
        </w:tc>
        <w:tc>
          <w:tcPr/>
          <w:p>
            <w:pPr>
              <w:pStyle w:val="Compact"/>
            </w:pPr>
            <w:r>
              <w:t xml:space="preserve">500,000+</w:t>
            </w:r>
          </w:p>
        </w:tc>
        <w:tc>
          <w:tcPr/>
          <w:p>
            <w:pPr>
              <w:pStyle w:val="Compact"/>
            </w:pPr>
            <w:r>
              <w:t xml:space="preserve">-45% claims reduction</w:t>
            </w:r>
          </w:p>
        </w:tc>
        <w:tc>
          <w:tcPr/>
          <w:p>
            <w:pPr>
              <w:pStyle w:val="Compact"/>
            </w:pPr>
            <w:r>
              <w:t xml:space="preserve">John Hancock, 2022</w:t>
            </w:r>
          </w:p>
        </w:tc>
      </w:tr>
      <w:tr>
        <w:tc>
          <w:tcPr/>
          <w:p>
            <w:pPr>
              <w:pStyle w:val="Compact"/>
            </w:pPr>
            <w:r>
              <w:rPr>
                <w:b/>
                <w:bCs/>
              </w:rPr>
              <w:t xml:space="preserve">Australia</w:t>
            </w:r>
          </w:p>
        </w:tc>
        <w:tc>
          <w:tcPr/>
          <w:p>
            <w:pPr>
              <w:pStyle w:val="Compact"/>
            </w:pPr>
            <w:r>
              <w:t xml:space="preserve">AIA Vitality</w:t>
            </w:r>
          </w:p>
        </w:tc>
        <w:tc>
          <w:tcPr/>
          <w:p>
            <w:pPr>
              <w:pStyle w:val="Compact"/>
            </w:pPr>
            <w:r>
              <w:t xml:space="preserve">2013</w:t>
            </w:r>
          </w:p>
        </w:tc>
        <w:tc>
          <w:tcPr/>
          <w:p>
            <w:pPr>
              <w:pStyle w:val="Compact"/>
            </w:pPr>
            <w:r>
              <w:t xml:space="preserve">800,000+</w:t>
            </w:r>
          </w:p>
        </w:tc>
        <w:tc>
          <w:tcPr/>
          <w:p>
            <w:pPr>
              <w:pStyle w:val="Compact"/>
            </w:pPr>
            <w:r>
              <w:t xml:space="preserve">+40% policy retention</w:t>
            </w:r>
          </w:p>
        </w:tc>
        <w:tc>
          <w:tcPr/>
          <w:p>
            <w:pPr>
              <w:pStyle w:val="Compact"/>
            </w:pPr>
            <w:r>
              <w:t xml:space="preserve">AIA Vitality Report, 2021</w:t>
            </w:r>
          </w:p>
        </w:tc>
      </w:tr>
      <w:tr>
        <w:tc>
          <w:tcPr/>
          <w:p>
            <w:pPr>
              <w:pStyle w:val="Compact"/>
            </w:pPr>
            <w:r>
              <w:rPr>
                <w:b/>
                <w:bCs/>
              </w:rPr>
              <w:t xml:space="preserve">Singapore</w:t>
            </w:r>
          </w:p>
        </w:tc>
        <w:tc>
          <w:tcPr/>
          <w:p>
            <w:pPr>
              <w:pStyle w:val="Compact"/>
            </w:pPr>
            <w:r>
              <w:t xml:space="preserve">AIA Vitality Singapore</w:t>
            </w:r>
          </w:p>
        </w:tc>
        <w:tc>
          <w:tcPr/>
          <w:p>
            <w:pPr>
              <w:pStyle w:val="Compact"/>
            </w:pPr>
            <w:r>
              <w:t xml:space="preserve">2016</w:t>
            </w:r>
          </w:p>
        </w:tc>
        <w:tc>
          <w:tcPr/>
          <w:p>
            <w:pPr>
              <w:pStyle w:val="Compact"/>
            </w:pPr>
            <w:r>
              <w:t xml:space="preserve">200,000+</w:t>
            </w:r>
          </w:p>
        </w:tc>
        <w:tc>
          <w:tcPr/>
          <w:p>
            <w:pPr>
              <w:pStyle w:val="Compact"/>
            </w:pPr>
            <w:r>
              <w:t xml:space="preserve">25% premium discounts achieved</w:t>
            </w:r>
          </w:p>
        </w:tc>
        <w:tc>
          <w:tcPr/>
          <w:p>
            <w:pPr>
              <w:pStyle w:val="Compact"/>
            </w:pPr>
            <w:r>
              <w:t xml:space="preserve">AIA Singapore, 2022</w:t>
            </w:r>
          </w:p>
        </w:tc>
      </w:tr>
      <w:tr>
        <w:tc>
          <w:tcPr/>
          <w:p>
            <w:pPr>
              <w:pStyle w:val="Compact"/>
            </w:pPr>
            <w:r>
              <w:rPr>
                <w:b/>
                <w:bCs/>
              </w:rPr>
              <w:t xml:space="preserve">Germany</w:t>
            </w:r>
          </w:p>
        </w:tc>
        <w:tc>
          <w:tcPr/>
          <w:p>
            <w:pPr>
              <w:pStyle w:val="Compact"/>
            </w:pPr>
            <w:r>
              <w:t xml:space="preserve">Generali Vitality</w:t>
            </w:r>
          </w:p>
        </w:tc>
        <w:tc>
          <w:tcPr/>
          <w:p>
            <w:pPr>
              <w:pStyle w:val="Compact"/>
            </w:pPr>
            <w:r>
              <w:t xml:space="preserve">2016</w:t>
            </w:r>
          </w:p>
        </w:tc>
        <w:tc>
          <w:tcPr/>
          <w:p>
            <w:pPr>
              <w:pStyle w:val="Compact"/>
            </w:pPr>
            <w:r>
              <w:t xml:space="preserve">400,000+</w:t>
            </w:r>
          </w:p>
        </w:tc>
        <w:tc>
          <w:tcPr/>
          <w:p>
            <w:pPr>
              <w:pStyle w:val="Compact"/>
            </w:pPr>
            <w:r>
              <w:t xml:space="preserve">15% activity improvement</w:t>
            </w:r>
          </w:p>
        </w:tc>
        <w:tc>
          <w:tcPr/>
          <w:p>
            <w:pPr>
              <w:pStyle w:val="Compact"/>
            </w:pPr>
            <w:r>
              <w:t xml:space="preserve">Generali Annual Report, 2023</w:t>
            </w:r>
          </w:p>
        </w:tc>
      </w:tr>
    </w:tbl>
    <w:p>
      <w:pPr>
        <w:pStyle w:val="BodyText"/>
      </w:pPr>
      <w:r>
        <w:rPr>
          <w:b/>
          <w:bCs/>
        </w:rPr>
        <w:t xml:space="preserve">6.1.1. Discovery Vitality (South Africa) - The Pioneer Model</w:t>
      </w:r>
    </w:p>
    <w:p>
      <w:pPr>
        <w:pStyle w:val="BodyText"/>
      </w:pPr>
      <w:r>
        <w:t xml:space="preserve">Discovery Vitality represents the world's first and most successful "shared-value" insurance model, providing extensive empirical evidence for biological age-based pricing effectiveness (Hafner et al., 2018).</w:t>
      </w:r>
    </w:p>
    <w:p>
      <w:pPr>
        <w:pStyle w:val="BodyText"/>
      </w:pPr>
      <w:r>
        <w:rPr>
          <w:b/>
          <w:bCs/>
        </w:rPr>
        <w:t xml:space="preserve">Verified Program Outcomes</w:t>
      </w:r>
      <w:r>
        <w:t xml:space="preserve">:</w:t>
      </w:r>
    </w:p>
    <w:p>
      <w:pPr>
        <w:pStyle w:val="SourceCode"/>
      </w:pPr>
      <w:r>
        <w:rPr>
          <w:rStyle w:val="VerbatimChar"/>
        </w:rPr>
        <w:t xml:space="preserve">┌─────────────────────────────────────────────────────────────┐</w:t>
      </w:r>
      <w:r>
        <w:br/>
      </w:r>
      <w:r>
        <w:rPr>
          <w:rStyle w:val="VerbatimChar"/>
        </w:rPr>
        <w:t xml:space="preserve">│           DISCOVERY VITALITY PROGRAM RESULTS                │</w:t>
      </w:r>
      <w:r>
        <w:br/>
      </w:r>
      <w:r>
        <w:rPr>
          <w:rStyle w:val="VerbatimChar"/>
        </w:rPr>
        <w:t xml:space="preserve">│                                                             │</w:t>
      </w:r>
      <w:r>
        <w:br/>
      </w:r>
      <w:r>
        <w:rPr>
          <w:rStyle w:val="VerbatimChar"/>
        </w:rPr>
        <w:t xml:space="preserve">│  Physical Activity Improvement                              │</w:t>
      </w:r>
      <w:r>
        <w:br/>
      </w:r>
      <w:r>
        <w:rPr>
          <w:rStyle w:val="VerbatimChar"/>
        </w:rPr>
        <w:t xml:space="preserve">│  ████████████████████████ +22%                             │</w:t>
      </w:r>
      <w:r>
        <w:br/>
      </w:r>
      <w:r>
        <w:rPr>
          <w:rStyle w:val="VerbatimChar"/>
        </w:rPr>
        <w:t xml:space="preserve">│                                                             │</w:t>
      </w:r>
      <w:r>
        <w:br/>
      </w:r>
      <w:r>
        <w:rPr>
          <w:rStyle w:val="VerbatimChar"/>
        </w:rPr>
        <w:t xml:space="preserve">│  Mortality Reduction (Active vs Inactive)                   │</w:t>
      </w:r>
      <w:r>
        <w:br/>
      </w:r>
      <w:r>
        <w:rPr>
          <w:rStyle w:val="VerbatimChar"/>
        </w:rPr>
        <w:t xml:space="preserve">│  ████████████████████████████████████████████████████ -57% │</w:t>
      </w:r>
      <w:r>
        <w:br/>
      </w:r>
      <w:r>
        <w:rPr>
          <w:rStyle w:val="VerbatimChar"/>
        </w:rPr>
        <w:t xml:space="preserve">│                                                             │</w:t>
      </w:r>
      <w:r>
        <w:br/>
      </w:r>
      <w:r>
        <w:rPr>
          <w:rStyle w:val="VerbatimChar"/>
        </w:rPr>
        <w:t xml:space="preserve">│  Insurance Claims Reduction                                 │</w:t>
      </w:r>
      <w:r>
        <w:br/>
      </w:r>
      <w:r>
        <w:rPr>
          <w:rStyle w:val="VerbatimChar"/>
        </w:rPr>
        <w:t xml:space="preserve">│  █████████████████████████████████████████████ -45%        │</w:t>
      </w:r>
      <w:r>
        <w:br/>
      </w:r>
      <w:r>
        <w:rPr>
          <w:rStyle w:val="VerbatimChar"/>
        </w:rPr>
        <w:t xml:space="preserve">│                                                             │</w:t>
      </w:r>
      <w:r>
        <w:br/>
      </w:r>
      <w:r>
        <w:rPr>
          <w:rStyle w:val="VerbatimChar"/>
        </w:rPr>
        <w:t xml:space="preserve">│  Hospital Days Reduction                                    │</w:t>
      </w:r>
      <w:r>
        <w:br/>
      </w:r>
      <w:r>
        <w:rPr>
          <w:rStyle w:val="VerbatimChar"/>
        </w:rPr>
        <w:t xml:space="preserve">│  █████████████████████████ -25%                            │</w:t>
      </w:r>
      <w:r>
        <w:br/>
      </w:r>
      <w:r>
        <w:rPr>
          <w:rStyle w:val="VerbatimChar"/>
        </w:rPr>
        <w:t xml:space="preserve">│                                                             │</w:t>
      </w:r>
      <w:r>
        <w:br/>
      </w:r>
      <w:r>
        <w:rPr>
          <w:rStyle w:val="VerbatimChar"/>
        </w:rPr>
        <w:t xml:space="preserve">│  Policy Lapse Reduction                                     │</w:t>
      </w:r>
      <w:r>
        <w:br/>
      </w:r>
      <w:r>
        <w:rPr>
          <w:rStyle w:val="VerbatimChar"/>
        </w:rPr>
        <w:t xml:space="preserve">│  ████████████████████████████████████████ -40%             │</w:t>
      </w:r>
      <w:r>
        <w:br/>
      </w:r>
      <w:r>
        <w:rPr>
          <w:rStyle w:val="VerbatimChar"/>
        </w:rPr>
        <w:t xml:space="preserve">│                                                             │</w:t>
      </w:r>
      <w:r>
        <w:br/>
      </w:r>
      <w:r>
        <w:rPr>
          <w:rStyle w:val="VerbatimChar"/>
        </w:rPr>
        <w:t xml:space="preserve">│  Source: Hafner et al. (2018), RAND Corporation             │</w:t>
      </w:r>
      <w:r>
        <w:br/>
      </w:r>
      <w:r>
        <w:rPr>
          <w:rStyle w:val="VerbatimChar"/>
        </w:rPr>
        <w:t xml:space="preserve">│          Vitality-LSE Study (2023)                          │</w:t>
      </w:r>
      <w:r>
        <w:br/>
      </w:r>
      <w:r>
        <w:rPr>
          <w:rStyle w:val="VerbatimChar"/>
        </w:rPr>
        <w:t xml:space="preserve">└─────────────────────────────────────────────────────────────┘</w:t>
      </w:r>
    </w:p>
    <w:p>
      <w:pPr>
        <w:pStyle w:val="FirstParagraph"/>
      </w:pPr>
      <w:r>
        <w:rPr>
          <w:b/>
          <w:bCs/>
        </w:rPr>
        <w:t xml:space="preserve">Table 6.2: Discovery Vitality Mortality Analysis by Engagement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Engagement Level</w:t>
            </w:r>
          </w:p>
        </w:tc>
        <w:tc>
          <w:tcPr/>
          <w:p>
            <w:pPr>
              <w:pStyle w:val="Compact"/>
            </w:pPr>
            <w:r>
              <w:t xml:space="preserve">Members</w:t>
            </w:r>
          </w:p>
        </w:tc>
        <w:tc>
          <w:tcPr/>
          <w:p>
            <w:pPr>
              <w:pStyle w:val="Compact"/>
            </w:pPr>
            <w:r>
              <w:t xml:space="preserve">5-Year Mortality Rate</w:t>
            </w:r>
          </w:p>
        </w:tc>
        <w:tc>
          <w:tcPr/>
          <w:p>
            <w:pPr>
              <w:pStyle w:val="Compact"/>
            </w:pPr>
            <w:r>
              <w:t xml:space="preserve">Vs. National Average</w:t>
            </w:r>
          </w:p>
        </w:tc>
      </w:tr>
      <w:tr>
        <w:tc>
          <w:tcPr/>
          <w:p>
            <w:pPr>
              <w:pStyle w:val="Compact"/>
            </w:pPr>
            <w:r>
              <w:t xml:space="preserve">Highly Active (Diamond)</w:t>
            </w:r>
          </w:p>
        </w:tc>
        <w:tc>
          <w:tcPr/>
          <w:p>
            <w:pPr>
              <w:pStyle w:val="Compact"/>
            </w:pPr>
            <w:r>
              <w:t xml:space="preserve">12%</w:t>
            </w:r>
          </w:p>
        </w:tc>
        <w:tc>
          <w:tcPr/>
          <w:p>
            <w:pPr>
              <w:pStyle w:val="Compact"/>
            </w:pPr>
            <w:r>
              <w:t xml:space="preserve">0.8%</w:t>
            </w:r>
          </w:p>
        </w:tc>
        <w:tc>
          <w:tcPr/>
          <w:p>
            <w:pPr>
              <w:pStyle w:val="Compact"/>
            </w:pPr>
            <w:r>
              <w:t xml:space="preserve">-68% lower</w:t>
            </w:r>
          </w:p>
        </w:tc>
      </w:tr>
      <w:tr>
        <w:tc>
          <w:tcPr/>
          <w:p>
            <w:pPr>
              <w:pStyle w:val="Compact"/>
            </w:pPr>
            <w:r>
              <w:t xml:space="preserve">Active (Gold)</w:t>
            </w:r>
          </w:p>
        </w:tc>
        <w:tc>
          <w:tcPr/>
          <w:p>
            <w:pPr>
              <w:pStyle w:val="Compact"/>
            </w:pPr>
            <w:r>
              <w:t xml:space="preserve">28%</w:t>
            </w:r>
          </w:p>
        </w:tc>
        <w:tc>
          <w:tcPr/>
          <w:p>
            <w:pPr>
              <w:pStyle w:val="Compact"/>
            </w:pPr>
            <w:r>
              <w:t xml:space="preserve">1.4%</w:t>
            </w:r>
          </w:p>
        </w:tc>
        <w:tc>
          <w:tcPr/>
          <w:p>
            <w:pPr>
              <w:pStyle w:val="Compact"/>
            </w:pPr>
            <w:r>
              <w:t xml:space="preserve">-44% lower</w:t>
            </w:r>
          </w:p>
        </w:tc>
      </w:tr>
      <w:tr>
        <w:tc>
          <w:tcPr/>
          <w:p>
            <w:pPr>
              <w:pStyle w:val="Compact"/>
            </w:pPr>
            <w:r>
              <w:t xml:space="preserve">Moderately Active (Silver)</w:t>
            </w:r>
          </w:p>
        </w:tc>
        <w:tc>
          <w:tcPr/>
          <w:p>
            <w:pPr>
              <w:pStyle w:val="Compact"/>
            </w:pPr>
            <w:r>
              <w:t xml:space="preserve">35%</w:t>
            </w:r>
          </w:p>
        </w:tc>
        <w:tc>
          <w:tcPr/>
          <w:p>
            <w:pPr>
              <w:pStyle w:val="Compact"/>
            </w:pPr>
            <w:r>
              <w:t xml:space="preserve">2.0%</w:t>
            </w:r>
          </w:p>
        </w:tc>
        <w:tc>
          <w:tcPr/>
          <w:p>
            <w:pPr>
              <w:pStyle w:val="Compact"/>
            </w:pPr>
            <w:r>
              <w:t xml:space="preserve">-20% lower</w:t>
            </w:r>
          </w:p>
        </w:tc>
      </w:tr>
      <w:tr>
        <w:tc>
          <w:tcPr/>
          <w:p>
            <w:pPr>
              <w:pStyle w:val="Compact"/>
            </w:pPr>
            <w:r>
              <w:t xml:space="preserve">Low Activity (Bronze)</w:t>
            </w:r>
          </w:p>
        </w:tc>
        <w:tc>
          <w:tcPr/>
          <w:p>
            <w:pPr>
              <w:pStyle w:val="Compact"/>
            </w:pPr>
            <w:r>
              <w:t xml:space="preserve">25%</w:t>
            </w:r>
          </w:p>
        </w:tc>
        <w:tc>
          <w:tcPr/>
          <w:p>
            <w:pPr>
              <w:pStyle w:val="Compact"/>
            </w:pPr>
            <w:r>
              <w:t xml:space="preserve">2.4%</w:t>
            </w:r>
          </w:p>
        </w:tc>
        <w:tc>
          <w:tcPr/>
          <w:p>
            <w:pPr>
              <w:pStyle w:val="Compact"/>
            </w:pPr>
            <w:r>
              <w:t xml:space="preserve">-4% lower</w:t>
            </w:r>
          </w:p>
        </w:tc>
      </w:tr>
    </w:tbl>
    <w:p>
      <w:pPr>
        <w:pStyle w:val="BodyText"/>
      </w:pPr>
      <w:r>
        <w:rPr>
          <w:i/>
          <w:iCs/>
        </w:rPr>
        <w:t xml:space="preserve">Source: Discovery Vitality Actuarial Report, 2022; Validated by LSE Health Economics, 2023</w:t>
      </w:r>
    </w:p>
    <w:p>
      <w:pPr>
        <w:pStyle w:val="BodyText"/>
      </w:pPr>
      <w:r>
        <w:rPr>
          <w:b/>
          <w:bCs/>
        </w:rPr>
        <w:t xml:space="preserve">6.1.2. John Hancock Vitality (United States) - Regulatory Acceptance Model</w:t>
      </w:r>
    </w:p>
    <w:p>
      <w:pPr>
        <w:pStyle w:val="BodyText"/>
      </w:pPr>
      <w:r>
        <w:t xml:space="preserve">John Hancock became the first major US life insurer to make Vitality mandatory for all new policies in 2018, demonstrating regulatory acceptance of wearable-based pricing (John Hancock, 2018; Brooks et al., 2020).</w:t>
      </w:r>
    </w:p>
    <w:p>
      <w:pPr>
        <w:pStyle w:val="BodyText"/>
      </w:pPr>
      <w:r>
        <w:rPr>
          <w:b/>
          <w:bCs/>
        </w:rPr>
        <w:t xml:space="preserve">Key Implementation Achievements</w:t>
      </w:r>
      <w:r>
        <w:t xml:space="preserve">:</w:t>
      </w:r>
    </w:p>
    <w:p>
      <w:pPr>
        <w:numPr>
          <w:ilvl w:val="0"/>
          <w:numId w:val="1051"/>
        </w:numPr>
      </w:pPr>
      <w:r>
        <w:rPr>
          <w:b/>
          <w:bCs/>
        </w:rPr>
        <w:t xml:space="preserve">Premium Savings</w:t>
      </w:r>
      <w:r>
        <w:t xml:space="preserve">: Up to 25% annual discount for engaged members</w:t>
      </w:r>
    </w:p>
    <w:p>
      <w:pPr>
        <w:numPr>
          <w:ilvl w:val="0"/>
          <w:numId w:val="1051"/>
        </w:numPr>
      </w:pPr>
      <w:r>
        <w:rPr>
          <w:b/>
          <w:bCs/>
        </w:rPr>
        <w:t xml:space="preserve">Apple Watch Integration</w:t>
      </w:r>
      <w:r>
        <w:t xml:space="preserve">: 40% of members achieve full subsidy through activity goals</w:t>
      </w:r>
    </w:p>
    <w:p>
      <w:pPr>
        <w:numPr>
          <w:ilvl w:val="0"/>
          <w:numId w:val="1051"/>
        </w:numPr>
      </w:pPr>
      <w:r>
        <w:rPr>
          <w:b/>
          <w:bCs/>
        </w:rPr>
        <w:t xml:space="preserve">Claims Experience</w:t>
      </w:r>
      <w:r>
        <w:t xml:space="preserve">: 45% lower claims among engaged members</w:t>
      </w:r>
    </w:p>
    <w:p>
      <w:pPr>
        <w:numPr>
          <w:ilvl w:val="0"/>
          <w:numId w:val="1051"/>
        </w:numPr>
      </w:pPr>
      <w:r>
        <w:rPr>
          <w:b/>
          <w:bCs/>
        </w:rPr>
        <w:t xml:space="preserve">Regulatory Approval</w:t>
      </w:r>
      <w:r>
        <w:t xml:space="preserve">: Approved in all 50 US states</w:t>
      </w:r>
    </w:p>
    <w:p>
      <w:pPr>
        <w:pStyle w:val="FirstParagraph"/>
      </w:pPr>
      <w:r>
        <w:rPr>
          <w:b/>
          <w:bCs/>
        </w:rPr>
        <w:t xml:space="preserve">6.2. Advantages and Benefits of Wearable-Based Insurance</w:t>
      </w:r>
    </w:p>
    <w:p>
      <w:pPr>
        <w:pStyle w:val="BodyText"/>
      </w:pPr>
      <w:r>
        <w:rPr>
          <w:b/>
          <w:bCs/>
        </w:rPr>
        <w:t xml:space="preserve">Table 6.3: Comprehensive Benefits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w:t>
            </w:r>
          </w:p>
        </w:tc>
        <w:tc>
          <w:tcPr/>
          <w:p>
            <w:pPr>
              <w:pStyle w:val="Compact"/>
            </w:pPr>
            <w:r>
              <w:t xml:space="preserve">Benefit</w:t>
            </w:r>
          </w:p>
        </w:tc>
        <w:tc>
          <w:tcPr/>
          <w:p>
            <w:pPr>
              <w:pStyle w:val="Compact"/>
            </w:pPr>
            <w:r>
              <w:t xml:space="preserve">Quantified Impact</w:t>
            </w:r>
          </w:p>
        </w:tc>
        <w:tc>
          <w:tcPr/>
          <w:p>
            <w:pPr>
              <w:pStyle w:val="Compact"/>
            </w:pPr>
            <w:r>
              <w:t xml:space="preserve">Academic Evidence</w:t>
            </w:r>
          </w:p>
        </w:tc>
      </w:tr>
      <w:tr>
        <w:tc>
          <w:tcPr/>
          <w:p>
            <w:pPr>
              <w:pStyle w:val="Compact"/>
            </w:pPr>
            <w:r>
              <w:rPr>
                <w:b/>
                <w:bCs/>
              </w:rPr>
              <w:t xml:space="preserve">Insurers</w:t>
            </w:r>
          </w:p>
        </w:tc>
        <w:tc>
          <w:tcPr/>
          <w:p>
            <w:pPr>
              <w:pStyle w:val="Compact"/>
            </w:pPr>
            <w:r>
              <w:t xml:space="preserve">Improved risk selection</w:t>
            </w:r>
          </w:p>
        </w:tc>
        <w:tc>
          <w:tcPr/>
          <w:p>
            <w:pPr>
              <w:pStyle w:val="Compact"/>
            </w:pPr>
            <w:r>
              <w:t xml:space="preserve">23-52% Gini improvement</w:t>
            </w:r>
          </w:p>
        </w:tc>
        <w:tc>
          <w:tcPr/>
          <w:p>
            <w:pPr>
              <w:pStyle w:val="Compact"/>
            </w:pPr>
            <w:r>
              <w:t xml:space="preserve">This study; Henckaerts et al., 2018</w:t>
            </w:r>
          </w:p>
        </w:tc>
      </w:tr>
      <w:tr>
        <w:tc>
          <w:tcPr/>
          <w:p>
            <w:pPr>
              <w:pStyle w:val="Compact"/>
            </w:pPr>
          </w:p>
        </w:tc>
        <w:tc>
          <w:tcPr/>
          <w:p>
            <w:pPr>
              <w:pStyle w:val="Compact"/>
            </w:pPr>
            <w:r>
              <w:t xml:space="preserve">Reduced claims</w:t>
            </w:r>
          </w:p>
        </w:tc>
        <w:tc>
          <w:tcPr/>
          <w:p>
            <w:pPr>
              <w:pStyle w:val="Compact"/>
            </w:pPr>
            <w:r>
              <w:t xml:space="preserve">30-45% lower claims</w:t>
            </w:r>
          </w:p>
        </w:tc>
        <w:tc>
          <w:tcPr/>
          <w:p>
            <w:pPr>
              <w:pStyle w:val="Compact"/>
            </w:pPr>
            <w:r>
              <w:t xml:space="preserve">Hafner et al., 2018</w:t>
            </w:r>
          </w:p>
        </w:tc>
      </w:tr>
      <w:tr>
        <w:tc>
          <w:tcPr/>
          <w:p>
            <w:pPr>
              <w:pStyle w:val="Compact"/>
            </w:pPr>
          </w:p>
        </w:tc>
        <w:tc>
          <w:tcPr/>
          <w:p>
            <w:pPr>
              <w:pStyle w:val="Compact"/>
            </w:pPr>
            <w:r>
              <w:t xml:space="preserve">Higher retention</w:t>
            </w:r>
          </w:p>
        </w:tc>
        <w:tc>
          <w:tcPr/>
          <w:p>
            <w:pPr>
              <w:pStyle w:val="Compact"/>
            </w:pPr>
            <w:r>
              <w:t xml:space="preserve">35-40% lower lapse</w:t>
            </w:r>
          </w:p>
        </w:tc>
        <w:tc>
          <w:tcPr/>
          <w:p>
            <w:pPr>
              <w:pStyle w:val="Compact"/>
            </w:pPr>
            <w:r>
              <w:t xml:space="preserve">AIA Vitality, 2021</w:t>
            </w:r>
          </w:p>
        </w:tc>
      </w:tr>
      <w:tr>
        <w:tc>
          <w:tcPr/>
          <w:p>
            <w:pPr>
              <w:pStyle w:val="Compact"/>
            </w:pPr>
          </w:p>
        </w:tc>
        <w:tc>
          <w:tcPr/>
          <w:p>
            <w:pPr>
              <w:pStyle w:val="Compact"/>
            </w:pPr>
            <w:r>
              <w:t xml:space="preserve">Data-driven underwriting</w:t>
            </w:r>
          </w:p>
        </w:tc>
        <w:tc>
          <w:tcPr/>
          <w:p>
            <w:pPr>
              <w:pStyle w:val="Compact"/>
            </w:pPr>
            <w:r>
              <w:t xml:space="preserve">18% pricing accuracy improvement</w:t>
            </w:r>
          </w:p>
        </w:tc>
        <w:tc>
          <w:tcPr/>
          <w:p>
            <w:pPr>
              <w:pStyle w:val="Compact"/>
            </w:pPr>
            <w:r>
              <w:t xml:space="preserve">Richman, 2021</w:t>
            </w:r>
          </w:p>
        </w:tc>
      </w:tr>
      <w:tr>
        <w:tc>
          <w:tcPr/>
          <w:p>
            <w:pPr>
              <w:pStyle w:val="Compact"/>
            </w:pPr>
            <w:r>
              <w:rPr>
                <w:b/>
                <w:bCs/>
              </w:rPr>
              <w:t xml:space="preserve">Policyholders</w:t>
            </w:r>
          </w:p>
        </w:tc>
        <w:tc>
          <w:tcPr/>
          <w:p>
            <w:pPr>
              <w:pStyle w:val="Compact"/>
            </w:pPr>
            <w:r>
              <w:t xml:space="preserve">Premium savings</w:t>
            </w:r>
          </w:p>
        </w:tc>
        <w:tc>
          <w:tcPr/>
          <w:p>
            <w:pPr>
              <w:pStyle w:val="Compact"/>
            </w:pPr>
            <w:r>
              <w:t xml:space="preserve">Up to 47% discount</w:t>
            </w:r>
          </w:p>
        </w:tc>
        <w:tc>
          <w:tcPr/>
          <w:p>
            <w:pPr>
              <w:pStyle w:val="Compact"/>
            </w:pPr>
            <w:r>
              <w:t xml:space="preserve">This study</w:t>
            </w:r>
          </w:p>
        </w:tc>
      </w:tr>
      <w:tr>
        <w:tc>
          <w:tcPr/>
          <w:p>
            <w:pPr>
              <w:pStyle w:val="Compact"/>
            </w:pPr>
          </w:p>
        </w:tc>
        <w:tc>
          <w:tcPr/>
          <w:p>
            <w:pPr>
              <w:pStyle w:val="Compact"/>
            </w:pPr>
            <w:r>
              <w:t xml:space="preserve">Health feedback</w:t>
            </w:r>
          </w:p>
        </w:tc>
        <w:tc>
          <w:tcPr/>
          <w:p>
            <w:pPr>
              <w:pStyle w:val="Compact"/>
            </w:pPr>
            <w:r>
              <w:t xml:space="preserve">Real-time biological age tracking</w:t>
            </w:r>
          </w:p>
        </w:tc>
        <w:tc>
          <w:tcPr/>
          <w:p>
            <w:pPr>
              <w:pStyle w:val="Compact"/>
            </w:pPr>
            <w:r>
              <w:t xml:space="preserve">Shim et al., 2023</w:t>
            </w:r>
          </w:p>
        </w:tc>
      </w:tr>
      <w:tr>
        <w:tc>
          <w:tcPr/>
          <w:p>
            <w:pPr>
              <w:pStyle w:val="Compact"/>
            </w:pPr>
          </w:p>
        </w:tc>
        <w:tc>
          <w:tcPr/>
          <w:p>
            <w:pPr>
              <w:pStyle w:val="Compact"/>
            </w:pPr>
            <w:r>
              <w:t xml:space="preserve">Behavioral motivation</w:t>
            </w:r>
          </w:p>
        </w:tc>
        <w:tc>
          <w:tcPr/>
          <w:p>
            <w:pPr>
              <w:pStyle w:val="Compact"/>
            </w:pPr>
            <w:r>
              <w:t xml:space="preserve">+22% physical activity</w:t>
            </w:r>
          </w:p>
        </w:tc>
        <w:tc>
          <w:tcPr/>
          <w:p>
            <w:pPr>
              <w:pStyle w:val="Compact"/>
            </w:pPr>
            <w:r>
              <w:t xml:space="preserve">Hafner et al., 2018</w:t>
            </w:r>
          </w:p>
        </w:tc>
      </w:tr>
      <w:tr>
        <w:tc>
          <w:tcPr/>
          <w:p>
            <w:pPr>
              <w:pStyle w:val="Compact"/>
            </w:pPr>
          </w:p>
        </w:tc>
        <w:tc>
          <w:tcPr/>
          <w:p>
            <w:pPr>
              <w:pStyle w:val="Compact"/>
            </w:pPr>
            <w:r>
              <w:t xml:space="preserve">Life expectancy gains</w:t>
            </w:r>
          </w:p>
        </w:tc>
        <w:tc>
          <w:tcPr/>
          <w:p>
            <w:pPr>
              <w:pStyle w:val="Compact"/>
            </w:pPr>
            <w:r>
              <w:t xml:space="preserve">+5 years for inactive→active</w:t>
            </w:r>
          </w:p>
        </w:tc>
        <w:tc>
          <w:tcPr/>
          <w:p>
            <w:pPr>
              <w:pStyle w:val="Compact"/>
            </w:pPr>
            <w:r>
              <w:t xml:space="preserve">LSE Study, 2023</w:t>
            </w:r>
          </w:p>
        </w:tc>
      </w:tr>
      <w:tr>
        <w:tc>
          <w:tcPr/>
          <w:p>
            <w:pPr>
              <w:pStyle w:val="Compact"/>
            </w:pPr>
            <w:r>
              <w:rPr>
                <w:b/>
                <w:bCs/>
              </w:rPr>
              <w:t xml:space="preserve">Healthcare System</w:t>
            </w:r>
          </w:p>
        </w:tc>
        <w:tc>
          <w:tcPr/>
          <w:p>
            <w:pPr>
              <w:pStyle w:val="Compact"/>
            </w:pPr>
            <w:r>
              <w:t xml:space="preserve">Reduced chronic disease</w:t>
            </w:r>
          </w:p>
        </w:tc>
        <w:tc>
          <w:tcPr/>
          <w:p>
            <w:pPr>
              <w:pStyle w:val="Compact"/>
            </w:pPr>
            <w:r>
              <w:t xml:space="preserve">-25% hospital admissions</w:t>
            </w:r>
          </w:p>
        </w:tc>
        <w:tc>
          <w:tcPr/>
          <w:p>
            <w:pPr>
              <w:pStyle w:val="Compact"/>
            </w:pPr>
            <w:r>
              <w:t xml:space="preserve">Vitality Group, 2022</w:t>
            </w:r>
          </w:p>
        </w:tc>
      </w:tr>
      <w:tr>
        <w:tc>
          <w:tcPr/>
          <w:p>
            <w:pPr>
              <w:pStyle w:val="Compact"/>
            </w:pPr>
          </w:p>
        </w:tc>
        <w:tc>
          <w:tcPr/>
          <w:p>
            <w:pPr>
              <w:pStyle w:val="Compact"/>
            </w:pPr>
            <w:r>
              <w:t xml:space="preserve">Preventive focus</w:t>
            </w:r>
          </w:p>
        </w:tc>
        <w:tc>
          <w:tcPr/>
          <w:p>
            <w:pPr>
              <w:pStyle w:val="Compact"/>
            </w:pPr>
            <w:r>
              <w:t xml:space="preserve">Cost shift from treatment to prevention</w:t>
            </w:r>
          </w:p>
        </w:tc>
        <w:tc>
          <w:tcPr/>
          <w:p>
            <w:pPr>
              <w:pStyle w:val="Compact"/>
            </w:pPr>
            <w:r>
              <w:t xml:space="preserve">Volpp et al., 2011</w:t>
            </w:r>
          </w:p>
        </w:tc>
      </w:tr>
      <w:tr>
        <w:tc>
          <w:tcPr/>
          <w:p>
            <w:pPr>
              <w:pStyle w:val="Compact"/>
            </w:pPr>
            <w:r>
              <w:rPr>
                <w:b/>
                <w:bCs/>
              </w:rPr>
              <w:t xml:space="preserve">Society</w:t>
            </w:r>
          </w:p>
        </w:tc>
        <w:tc>
          <w:tcPr/>
          <w:p>
            <w:pPr>
              <w:pStyle w:val="Compact"/>
            </w:pPr>
            <w:r>
              <w:t xml:space="preserve">Improved public health</w:t>
            </w:r>
          </w:p>
        </w:tc>
        <w:tc>
          <w:tcPr/>
          <w:p>
            <w:pPr>
              <w:pStyle w:val="Compact"/>
            </w:pPr>
            <w:r>
              <w:t xml:space="preserve">Population-level activity increase</w:t>
            </w:r>
          </w:p>
        </w:tc>
        <w:tc>
          <w:tcPr/>
          <w:p>
            <w:pPr>
              <w:pStyle w:val="Compact"/>
            </w:pPr>
            <w:r>
              <w:t xml:space="preserve">Thaler &amp; Sunstein, 2008</w:t>
            </w:r>
          </w:p>
        </w:tc>
      </w:tr>
      <w:tr>
        <w:tc>
          <w:tcPr/>
          <w:p>
            <w:pPr>
              <w:pStyle w:val="Compact"/>
            </w:pPr>
          </w:p>
        </w:tc>
        <w:tc>
          <w:tcPr/>
          <w:p>
            <w:pPr>
              <w:pStyle w:val="Compact"/>
            </w:pPr>
            <w:r>
              <w:t xml:space="preserve">Reduced healthcare burden</w:t>
            </w:r>
          </w:p>
        </w:tc>
        <w:tc>
          <w:tcPr/>
          <w:p>
            <w:pPr>
              <w:pStyle w:val="Compact"/>
            </w:pPr>
            <w:r>
              <w:t xml:space="preserve">Long-term cost savings</w:t>
            </w:r>
          </w:p>
        </w:tc>
        <w:tc>
          <w:tcPr/>
          <w:p>
            <w:pPr>
              <w:pStyle w:val="Compact"/>
            </w:pPr>
            <w:r>
              <w:t xml:space="preserve">CIPFA, 2015</w:t>
            </w:r>
          </w:p>
        </w:tc>
      </w:tr>
    </w:tbl>
    <w:p>
      <w:pPr>
        <w:pStyle w:val="BodyText"/>
      </w:pPr>
      <w:r>
        <w:rPr>
          <w:b/>
          <w:bCs/>
        </w:rPr>
        <w:t xml:space="preserve">6.3. Challenges, Disadvantages, and Modifications</w:t>
      </w:r>
    </w:p>
    <w:p>
      <w:pPr>
        <w:pStyle w:val="BodyText"/>
      </w:pPr>
      <w:r>
        <w:rPr>
          <w:b/>
          <w:bCs/>
        </w:rPr>
        <w:t xml:space="preserve">Table 6.4: Implementation Challenges and Mitigations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Challenge</w:t>
            </w:r>
          </w:p>
        </w:tc>
        <w:tc>
          <w:tcPr/>
          <w:p>
            <w:pPr>
              <w:pStyle w:val="Compact"/>
            </w:pPr>
            <w:r>
              <w:t xml:space="preserve">Description</w:t>
            </w:r>
          </w:p>
        </w:tc>
        <w:tc>
          <w:tcPr/>
          <w:p>
            <w:pPr>
              <w:pStyle w:val="Compact"/>
            </w:pPr>
            <w:r>
              <w:t xml:space="preserve">Industry Modifications</w:t>
            </w:r>
          </w:p>
        </w:tc>
        <w:tc>
          <w:tcPr/>
          <w:p>
            <w:pPr>
              <w:pStyle w:val="Compact"/>
            </w:pPr>
            <w:r>
              <w:t xml:space="preserve">Source</w:t>
            </w:r>
          </w:p>
        </w:tc>
      </w:tr>
      <w:tr>
        <w:tc>
          <w:tcPr/>
          <w:p>
            <w:pPr>
              <w:pStyle w:val="Compact"/>
            </w:pPr>
            <w:r>
              <w:rPr>
                <w:b/>
                <w:bCs/>
              </w:rPr>
              <w:t xml:space="preserve">Privacy Concerns</w:t>
            </w:r>
          </w:p>
        </w:tc>
        <w:tc>
          <w:tcPr/>
          <w:p>
            <w:pPr>
              <w:pStyle w:val="Compact"/>
            </w:pPr>
            <w:r>
              <w:t xml:space="preserve">Consumer reluctance to share health data</w:t>
            </w:r>
          </w:p>
        </w:tc>
        <w:tc>
          <w:tcPr/>
          <w:p>
            <w:pPr>
              <w:pStyle w:val="Compact"/>
            </w:pPr>
            <w:r>
              <w:t xml:space="preserve">Opt-in models, data minimization, local processing</w:t>
            </w:r>
          </w:p>
        </w:tc>
        <w:tc>
          <w:tcPr/>
          <w:p>
            <w:pPr>
              <w:pStyle w:val="Compact"/>
            </w:pPr>
            <w:r>
              <w:t xml:space="preserve">O'Neil, 2016; GDPR, 2018</w:t>
            </w:r>
          </w:p>
        </w:tc>
      </w:tr>
      <w:tr>
        <w:tc>
          <w:tcPr/>
          <w:p>
            <w:pPr>
              <w:pStyle w:val="Compact"/>
            </w:pPr>
            <w:r>
              <w:rPr>
                <w:b/>
                <w:bCs/>
              </w:rPr>
              <w:t xml:space="preserve">Digital Divide</w:t>
            </w:r>
          </w:p>
        </w:tc>
        <w:tc>
          <w:tcPr/>
          <w:p>
            <w:pPr>
              <w:pStyle w:val="Compact"/>
            </w:pPr>
            <w:r>
              <w:t xml:space="preserve">Older/lower-income populations lack devices</w:t>
            </w:r>
          </w:p>
        </w:tc>
        <w:tc>
          <w:tcPr/>
          <w:p>
            <w:pPr>
              <w:pStyle w:val="Compact"/>
            </w:pPr>
            <w:r>
              <w:t xml:space="preserve">Subsidized devices, smartphone-only options</w:t>
            </w:r>
          </w:p>
        </w:tc>
        <w:tc>
          <w:tcPr/>
          <w:p>
            <w:pPr>
              <w:pStyle w:val="Compact"/>
            </w:pPr>
            <w:r>
              <w:t xml:space="preserve">Discovery, 2020</w:t>
            </w:r>
          </w:p>
        </w:tc>
      </w:tr>
      <w:tr>
        <w:tc>
          <w:tcPr/>
          <w:p>
            <w:pPr>
              <w:pStyle w:val="Compact"/>
            </w:pPr>
            <w:r>
              <w:rPr>
                <w:b/>
                <w:bCs/>
              </w:rPr>
              <w:t xml:space="preserve">Gaming/Fraud</w:t>
            </w:r>
          </w:p>
        </w:tc>
        <w:tc>
          <w:tcPr/>
          <w:p>
            <w:pPr>
              <w:pStyle w:val="Compact"/>
            </w:pPr>
            <w:r>
              <w:t xml:space="preserve">Artificial activity generation</w:t>
            </w:r>
          </w:p>
        </w:tc>
        <w:tc>
          <w:tcPr/>
          <w:p>
            <w:pPr>
              <w:pStyle w:val="Compact"/>
            </w:pPr>
            <w:r>
              <w:t xml:space="preserve">Multi-sensor validation, AI fraud detection</w:t>
            </w:r>
          </w:p>
        </w:tc>
        <w:tc>
          <w:tcPr/>
          <w:p>
            <w:pPr>
              <w:pStyle w:val="Compact"/>
            </w:pPr>
            <w:r>
              <w:t xml:space="preserve">John Hancock, 2021</w:t>
            </w:r>
          </w:p>
        </w:tc>
      </w:tr>
      <w:tr>
        <w:tc>
          <w:tcPr/>
          <w:p>
            <w:pPr>
              <w:pStyle w:val="Compact"/>
            </w:pPr>
            <w:r>
              <w:rPr>
                <w:b/>
                <w:bCs/>
              </w:rPr>
              <w:t xml:space="preserve">Adverse Selection</w:t>
            </w:r>
          </w:p>
        </w:tc>
        <w:tc>
          <w:tcPr/>
          <w:p>
            <w:pPr>
              <w:pStyle w:val="Compact"/>
            </w:pPr>
            <w:r>
              <w:t xml:space="preserve">Only healthy individuals opt-in</w:t>
            </w:r>
          </w:p>
        </w:tc>
        <w:tc>
          <w:tcPr/>
          <w:p>
            <w:pPr>
              <w:pStyle w:val="Compact"/>
            </w:pPr>
            <w:r>
              <w:t xml:space="preserve">Discount-only (no penalty) pricing</w:t>
            </w:r>
          </w:p>
        </w:tc>
        <w:tc>
          <w:tcPr/>
          <w:p>
            <w:pPr>
              <w:pStyle w:val="Compact"/>
            </w:pPr>
            <w:r>
              <w:t xml:space="preserve">Spender et al., 2018</w:t>
            </w:r>
          </w:p>
        </w:tc>
      </w:tr>
      <w:tr>
        <w:tc>
          <w:tcPr/>
          <w:p>
            <w:pPr>
              <w:pStyle w:val="Compact"/>
            </w:pPr>
            <w:r>
              <w:rPr>
                <w:b/>
                <w:bCs/>
              </w:rPr>
              <w:t xml:space="preserve">Regulatory Uncertainty</w:t>
            </w:r>
          </w:p>
        </w:tc>
        <w:tc>
          <w:tcPr/>
          <w:p>
            <w:pPr>
              <w:pStyle w:val="Compact"/>
            </w:pPr>
            <w:r>
              <w:t xml:space="preserve">Unclear guidelines for dynamic pricing</w:t>
            </w:r>
          </w:p>
        </w:tc>
        <w:tc>
          <w:tcPr/>
          <w:p>
            <w:pPr>
              <w:pStyle w:val="Compact"/>
            </w:pPr>
            <w:r>
              <w:t xml:space="preserve">Proactive regulator engagement, transparency reports</w:t>
            </w:r>
          </w:p>
        </w:tc>
        <w:tc>
          <w:tcPr/>
          <w:p>
            <w:pPr>
              <w:pStyle w:val="Compact"/>
            </w:pPr>
            <w:r>
              <w:t xml:space="preserve">NAIC, 2023</w:t>
            </w:r>
          </w:p>
        </w:tc>
      </w:tr>
      <w:tr>
        <w:tc>
          <w:tcPr/>
          <w:p>
            <w:pPr>
              <w:pStyle w:val="Compact"/>
            </w:pPr>
            <w:r>
              <w:rPr>
                <w:b/>
                <w:bCs/>
              </w:rPr>
              <w:t xml:space="preserve">Data Security</w:t>
            </w:r>
          </w:p>
        </w:tc>
        <w:tc>
          <w:tcPr/>
          <w:p>
            <w:pPr>
              <w:pStyle w:val="Compact"/>
            </w:pPr>
            <w:r>
              <w:t xml:space="preserve">Breach risks for health data</w:t>
            </w:r>
          </w:p>
        </w:tc>
        <w:tc>
          <w:tcPr/>
          <w:p>
            <w:pPr>
              <w:pStyle w:val="Compact"/>
            </w:pPr>
            <w:r>
              <w:t xml:space="preserve">End-to-end encryption, SOC2 compliance</w:t>
            </w:r>
          </w:p>
        </w:tc>
        <w:tc>
          <w:tcPr/>
          <w:p>
            <w:pPr>
              <w:pStyle w:val="Compact"/>
            </w:pPr>
            <w:r>
              <w:t xml:space="preserve">EIOPA, 2024</w:t>
            </w:r>
          </w:p>
        </w:tc>
      </w:tr>
      <w:tr>
        <w:tc>
          <w:tcPr/>
          <w:p>
            <w:pPr>
              <w:pStyle w:val="Compact"/>
            </w:pPr>
            <w:r>
              <w:rPr>
                <w:b/>
                <w:bCs/>
              </w:rPr>
              <w:t xml:space="preserve">Accuracy Variability</w:t>
            </w:r>
          </w:p>
        </w:tc>
        <w:tc>
          <w:tcPr/>
          <w:p>
            <w:pPr>
              <w:pStyle w:val="Compact"/>
            </w:pPr>
            <w:r>
              <w:t xml:space="preserve">Consumer devices less accurate than medical</w:t>
            </w:r>
          </w:p>
        </w:tc>
        <w:tc>
          <w:tcPr/>
          <w:p>
            <w:pPr>
              <w:pStyle w:val="Compact"/>
            </w:pPr>
            <w:r>
              <w:t xml:space="preserve">Calibration algorithms, device partnerships</w:t>
            </w:r>
          </w:p>
        </w:tc>
        <w:tc>
          <w:tcPr/>
          <w:p>
            <w:pPr>
              <w:pStyle w:val="Compact"/>
            </w:pPr>
            <w:r>
              <w:t xml:space="preserve">de Zambotti et al., 2017</w:t>
            </w:r>
          </w:p>
        </w:tc>
      </w:tr>
      <w:tr>
        <w:tc>
          <w:tcPr/>
          <w:p>
            <w:pPr>
              <w:pStyle w:val="Compact"/>
            </w:pPr>
            <w:r>
              <w:rPr>
                <w:b/>
                <w:bCs/>
              </w:rPr>
              <w:t xml:space="preserve">Cultural Resistance</w:t>
            </w:r>
          </w:p>
        </w:tc>
        <w:tc>
          <w:tcPr/>
          <w:p>
            <w:pPr>
              <w:pStyle w:val="Compact"/>
            </w:pPr>
            <w:r>
              <w:t xml:space="preserve">Some markets resist health monitoring</w:t>
            </w:r>
          </w:p>
        </w:tc>
        <w:tc>
          <w:tcPr/>
          <w:p>
            <w:pPr>
              <w:pStyle w:val="Compact"/>
            </w:pPr>
            <w:r>
              <w:t xml:space="preserve">Cultural adaptation, employer programs first</w:t>
            </w:r>
          </w:p>
        </w:tc>
        <w:tc>
          <w:tcPr/>
          <w:p>
            <w:pPr>
              <w:pStyle w:val="Compact"/>
            </w:pPr>
            <w:r>
              <w:t xml:space="preserve">Generali Germany, 2023</w:t>
            </w:r>
          </w:p>
        </w:tc>
      </w:tr>
    </w:tbl>
    <w:p>
      <w:pPr>
        <w:pStyle w:val="BodyText"/>
      </w:pPr>
      <w:r>
        <w:rPr>
          <w:b/>
          <w:bCs/>
        </w:rPr>
        <w:t xml:space="preserve">Industry Modifications Implemented</w:t>
      </w:r>
      <w:r>
        <w:t xml:space="preserve">:</w:t>
      </w:r>
    </w:p>
    <w:p>
      <w:pPr>
        <w:pStyle w:val="SourceCode"/>
      </w:pPr>
      <w:r>
        <w:rPr>
          <w:rStyle w:val="VerbatimChar"/>
        </w:rPr>
        <w:t xml:space="preserve">┌─────────────────────────────────────────────────────────────┐</w:t>
      </w:r>
      <w:r>
        <w:br/>
      </w:r>
      <w:r>
        <w:rPr>
          <w:rStyle w:val="VerbatimChar"/>
        </w:rPr>
        <w:t xml:space="preserve">│         EVOLUTION OF WEARABLE INSURANCE PROGRAMS            │</w:t>
      </w:r>
      <w:r>
        <w:br/>
      </w:r>
      <w:r>
        <w:rPr>
          <w:rStyle w:val="VerbatimChar"/>
        </w:rPr>
        <w:t xml:space="preserve">│                                                             │</w:t>
      </w:r>
      <w:r>
        <w:br/>
      </w:r>
      <w:r>
        <w:rPr>
          <w:rStyle w:val="VerbatimChar"/>
        </w:rPr>
        <w:t xml:space="preserve">│ 2015: Basic Step Counting                                   │</w:t>
      </w:r>
      <w:r>
        <w:br/>
      </w:r>
      <w:r>
        <w:rPr>
          <w:rStyle w:val="VerbatimChar"/>
        </w:rPr>
        <w:t xml:space="preserve">│       └── Simple discounts for 10,000 steps/day            │</w:t>
      </w:r>
      <w:r>
        <w:br/>
      </w:r>
      <w:r>
        <w:rPr>
          <w:rStyle w:val="VerbatimChar"/>
        </w:rPr>
        <w:t xml:space="preserve">│                                                             │</w:t>
      </w:r>
      <w:r>
        <w:br/>
      </w:r>
      <w:r>
        <w:rPr>
          <w:rStyle w:val="VerbatimChar"/>
        </w:rPr>
        <w:t xml:space="preserve">│ 2018: Multi-Metric Approach                                 │</w:t>
      </w:r>
      <w:r>
        <w:br/>
      </w:r>
      <w:r>
        <w:rPr>
          <w:rStyle w:val="VerbatimChar"/>
        </w:rPr>
        <w:t xml:space="preserve">│       └── Added heart rate, sleep, nutrition tracking       │</w:t>
      </w:r>
      <w:r>
        <w:br/>
      </w:r>
      <w:r>
        <w:rPr>
          <w:rStyle w:val="VerbatimChar"/>
        </w:rPr>
        <w:t xml:space="preserve">│                                                             │</w:t>
      </w:r>
      <w:r>
        <w:br/>
      </w:r>
      <w:r>
        <w:rPr>
          <w:rStyle w:val="VerbatimChar"/>
        </w:rPr>
        <w:t xml:space="preserve">│ 2020: AI-Powered Analysis                                   │</w:t>
      </w:r>
      <w:r>
        <w:br/>
      </w:r>
      <w:r>
        <w:rPr>
          <w:rStyle w:val="VerbatimChar"/>
        </w:rPr>
        <w:t xml:space="preserve">│       └── Machine learning for fraud detection              │</w:t>
      </w:r>
      <w:r>
        <w:br/>
      </w:r>
      <w:r>
        <w:rPr>
          <w:rStyle w:val="VerbatimChar"/>
        </w:rPr>
        <w:t xml:space="preserve">│       └── Personalized health recommendations               │</w:t>
      </w:r>
      <w:r>
        <w:br/>
      </w:r>
      <w:r>
        <w:rPr>
          <w:rStyle w:val="VerbatimChar"/>
        </w:rPr>
        <w:t xml:space="preserve">│                                                             │</w:t>
      </w:r>
      <w:r>
        <w:br/>
      </w:r>
      <w:r>
        <w:rPr>
          <w:rStyle w:val="VerbatimChar"/>
        </w:rPr>
        <w:t xml:space="preserve">│ 2023: Biological Age Integration                            │</w:t>
      </w:r>
      <w:r>
        <w:br/>
      </w:r>
      <w:r>
        <w:rPr>
          <w:rStyle w:val="VerbatimChar"/>
        </w:rPr>
        <w:t xml:space="preserve">│       └── Composite biomarker scoring                       │</w:t>
      </w:r>
      <w:r>
        <w:br/>
      </w:r>
      <w:r>
        <w:rPr>
          <w:rStyle w:val="VerbatimChar"/>
        </w:rPr>
        <w:t xml:space="preserve">│       └── PhenoAge/MoveAge calculations                     │</w:t>
      </w:r>
      <w:r>
        <w:br/>
      </w:r>
      <w:r>
        <w:rPr>
          <w:rStyle w:val="VerbatimChar"/>
        </w:rPr>
        <w:t xml:space="preserve">│                                                             │</w:t>
      </w:r>
      <w:r>
        <w:br/>
      </w:r>
      <w:r>
        <w:rPr>
          <w:rStyle w:val="VerbatimChar"/>
        </w:rPr>
        <w:t xml:space="preserve">│ 2024+: Predictive Health Models                             │</w:t>
      </w:r>
      <w:r>
        <w:br/>
      </w:r>
      <w:r>
        <w:rPr>
          <w:rStyle w:val="VerbatimChar"/>
        </w:rPr>
        <w:t xml:space="preserve">│       └── Real-time risk prediction                         │</w:t>
      </w:r>
      <w:r>
        <w:br/>
      </w:r>
      <w:r>
        <w:rPr>
          <w:rStyle w:val="VerbatimChar"/>
        </w:rPr>
        <w:t xml:space="preserve">│       └── Proactive intervention triggers                   │</w:t>
      </w:r>
      <w:r>
        <w:br/>
      </w:r>
      <w:r>
        <w:rPr>
          <w:rStyle w:val="VerbatimChar"/>
        </w:rPr>
        <w:t xml:space="preserve">└─────────────────────────────────────────────────────────────┘</w:t>
      </w:r>
    </w:p>
    <w:p>
      <w:pPr>
        <w:pStyle w:val="FirstParagraph"/>
      </w:pPr>
      <w:r>
        <w:rPr>
          <w:b/>
          <w:bCs/>
        </w:rPr>
        <w:t xml:space="preserve">6.4. Future Expectations and Industry Trends</w:t>
      </w:r>
    </w:p>
    <w:p>
      <w:pPr>
        <w:pStyle w:val="BodyText"/>
      </w:pPr>
      <w:r>
        <w:rPr>
          <w:b/>
          <w:bCs/>
        </w:rPr>
        <w:t xml:space="preserve">Table 6.5: Predicted Industry Evolution (2025-2035)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Timeline</w:t>
            </w:r>
          </w:p>
        </w:tc>
        <w:tc>
          <w:tcPr/>
          <w:p>
            <w:pPr>
              <w:pStyle w:val="Compact"/>
            </w:pPr>
            <w:r>
              <w:t xml:space="preserve">Development</w:t>
            </w:r>
          </w:p>
        </w:tc>
        <w:tc>
          <w:tcPr/>
          <w:p>
            <w:pPr>
              <w:pStyle w:val="Compact"/>
            </w:pPr>
            <w:r>
              <w:t xml:space="preserve">Expected Impact</w:t>
            </w:r>
          </w:p>
        </w:tc>
        <w:tc>
          <w:tcPr/>
          <w:p>
            <w:pPr>
              <w:pStyle w:val="Compact"/>
            </w:pPr>
            <w:r>
              <w:t xml:space="preserve">Confidence</w:t>
            </w:r>
          </w:p>
        </w:tc>
      </w:tr>
      <w:tr>
        <w:tc>
          <w:tcPr/>
          <w:p>
            <w:pPr>
              <w:pStyle w:val="Compact"/>
            </w:pPr>
            <w:r>
              <w:rPr>
                <w:b/>
                <w:bCs/>
              </w:rPr>
              <w:t xml:space="preserve">2025-2027</w:t>
            </w:r>
          </w:p>
        </w:tc>
        <w:tc>
          <w:tcPr/>
          <w:p>
            <w:pPr>
              <w:pStyle w:val="Compact"/>
            </w:pPr>
            <w:r>
              <w:t xml:space="preserve">CGM integration for glucose monitoring</w:t>
            </w:r>
          </w:p>
        </w:tc>
        <w:tc>
          <w:tcPr/>
          <w:p>
            <w:pPr>
              <w:pStyle w:val="Compact"/>
            </w:pPr>
            <w:r>
              <w:t xml:space="preserve">15% improved diabetes risk prediction</w:t>
            </w:r>
          </w:p>
        </w:tc>
        <w:tc>
          <w:tcPr/>
          <w:p>
            <w:pPr>
              <w:pStyle w:val="Compact"/>
            </w:pPr>
            <w:r>
              <w:t xml:space="preserve">High</w:t>
            </w:r>
          </w:p>
        </w:tc>
      </w:tr>
      <w:tr>
        <w:tc>
          <w:tcPr/>
          <w:p>
            <w:pPr>
              <w:pStyle w:val="Compact"/>
            </w:pPr>
          </w:p>
        </w:tc>
        <w:tc>
          <w:tcPr/>
          <w:p>
            <w:pPr>
              <w:pStyle w:val="Compact"/>
            </w:pPr>
            <w:r>
              <w:t xml:space="preserve">Mental health biomarkers from HRV</w:t>
            </w:r>
          </w:p>
        </w:tc>
        <w:tc>
          <w:tcPr/>
          <w:p>
            <w:pPr>
              <w:pStyle w:val="Compact"/>
            </w:pPr>
            <w:r>
              <w:t xml:space="preserve">Reduced exclusions for anxiety/depression</w:t>
            </w:r>
          </w:p>
        </w:tc>
        <w:tc>
          <w:tcPr/>
          <w:p>
            <w:pPr>
              <w:pStyle w:val="Compact"/>
            </w:pPr>
            <w:r>
              <w:t xml:space="preserve">Medium</w:t>
            </w:r>
          </w:p>
        </w:tc>
      </w:tr>
      <w:tr>
        <w:tc>
          <w:tcPr/>
          <w:p>
            <w:pPr>
              <w:pStyle w:val="Compact"/>
            </w:pPr>
          </w:p>
        </w:tc>
        <w:tc>
          <w:tcPr/>
          <w:p>
            <w:pPr>
              <w:pStyle w:val="Compact"/>
            </w:pPr>
            <w:r>
              <w:t xml:space="preserve">Regulatory frameworks established</w:t>
            </w:r>
          </w:p>
        </w:tc>
        <w:tc>
          <w:tcPr/>
          <w:p>
            <w:pPr>
              <w:pStyle w:val="Compact"/>
            </w:pPr>
            <w:r>
              <w:t xml:space="preserve">80% of major markets with clear guidelines</w:t>
            </w:r>
          </w:p>
        </w:tc>
        <w:tc>
          <w:tcPr/>
          <w:p>
            <w:pPr>
              <w:pStyle w:val="Compact"/>
            </w:pPr>
            <w:r>
              <w:t xml:space="preserve">High</w:t>
            </w:r>
          </w:p>
        </w:tc>
      </w:tr>
      <w:tr>
        <w:tc>
          <w:tcPr/>
          <w:p>
            <w:pPr>
              <w:pStyle w:val="Compact"/>
            </w:pPr>
            <w:r>
              <w:rPr>
                <w:b/>
                <w:bCs/>
              </w:rPr>
              <w:t xml:space="preserve">2028-2030</w:t>
            </w:r>
          </w:p>
        </w:tc>
        <w:tc>
          <w:tcPr/>
          <w:p>
            <w:pPr>
              <w:pStyle w:val="Compact"/>
            </w:pPr>
            <w:r>
              <w:t xml:space="preserve">Real-time biological age tracking</w:t>
            </w:r>
          </w:p>
        </w:tc>
        <w:tc>
          <w:tcPr/>
          <w:p>
            <w:pPr>
              <w:pStyle w:val="Compact"/>
            </w:pPr>
            <w:r>
              <w:t xml:space="preserve">Dynamic monthly premium adjustments</w:t>
            </w:r>
          </w:p>
        </w:tc>
        <w:tc>
          <w:tcPr/>
          <w:p>
            <w:pPr>
              <w:pStyle w:val="Compact"/>
            </w:pPr>
            <w:r>
              <w:t xml:space="preserve">Medium</w:t>
            </w:r>
          </w:p>
        </w:tc>
      </w:tr>
      <w:tr>
        <w:tc>
          <w:tcPr/>
          <w:p>
            <w:pPr>
              <w:pStyle w:val="Compact"/>
            </w:pPr>
          </w:p>
        </w:tc>
        <w:tc>
          <w:tcPr/>
          <w:p>
            <w:pPr>
              <w:pStyle w:val="Compact"/>
            </w:pPr>
            <w:r>
              <w:t xml:space="preserve">Integration with electronic health records</w:t>
            </w:r>
          </w:p>
        </w:tc>
        <w:tc>
          <w:tcPr/>
          <w:p>
            <w:pPr>
              <w:pStyle w:val="Compact"/>
            </w:pPr>
            <w:r>
              <w:t xml:space="preserve">Comprehensive health profiles</w:t>
            </w:r>
          </w:p>
        </w:tc>
        <w:tc>
          <w:tcPr/>
          <w:p>
            <w:pPr>
              <w:pStyle w:val="Compact"/>
            </w:pPr>
            <w:r>
              <w:t xml:space="preserve">Medium</w:t>
            </w:r>
          </w:p>
        </w:tc>
      </w:tr>
      <w:tr>
        <w:tc>
          <w:tcPr/>
          <w:p>
            <w:pPr>
              <w:pStyle w:val="Compact"/>
            </w:pPr>
          </w:p>
        </w:tc>
        <w:tc>
          <w:tcPr/>
          <w:p>
            <w:pPr>
              <w:pStyle w:val="Compact"/>
            </w:pPr>
            <w:r>
              <w:t xml:space="preserve">Personalized longevity predictions</w:t>
            </w:r>
          </w:p>
        </w:tc>
        <w:tc>
          <w:tcPr/>
          <w:p>
            <w:pPr>
              <w:pStyle w:val="Compact"/>
            </w:pPr>
            <w:r>
              <w:t xml:space="preserve">Tailored retirement planning products</w:t>
            </w:r>
          </w:p>
        </w:tc>
        <w:tc>
          <w:tcPr/>
          <w:p>
            <w:pPr>
              <w:pStyle w:val="Compact"/>
            </w:pPr>
            <w:r>
              <w:t xml:space="preserve">Medium</w:t>
            </w:r>
          </w:p>
        </w:tc>
      </w:tr>
      <w:tr>
        <w:tc>
          <w:tcPr/>
          <w:p>
            <w:pPr>
              <w:pStyle w:val="Compact"/>
            </w:pPr>
            <w:r>
              <w:rPr>
                <w:b/>
                <w:bCs/>
              </w:rPr>
              <w:t xml:space="preserve">2031-2035</w:t>
            </w:r>
          </w:p>
        </w:tc>
        <w:tc>
          <w:tcPr/>
          <w:p>
            <w:pPr>
              <w:pStyle w:val="Compact"/>
            </w:pPr>
            <w:r>
              <w:t xml:space="preserve">Epigenetic clock integration</w:t>
            </w:r>
          </w:p>
        </w:tc>
        <w:tc>
          <w:tcPr/>
          <w:p>
            <w:pPr>
              <w:pStyle w:val="Compact"/>
            </w:pPr>
            <w:r>
              <w:t xml:space="preserve">Clinical-grade biological age</w:t>
            </w:r>
          </w:p>
        </w:tc>
        <w:tc>
          <w:tcPr/>
          <w:p>
            <w:pPr>
              <w:pStyle w:val="Compact"/>
            </w:pPr>
            <w:r>
              <w:t xml:space="preserve">Low</w:t>
            </w:r>
          </w:p>
        </w:tc>
      </w:tr>
      <w:tr>
        <w:tc>
          <w:tcPr/>
          <w:p>
            <w:pPr>
              <w:pStyle w:val="Compact"/>
            </w:pPr>
          </w:p>
        </w:tc>
        <w:tc>
          <w:tcPr/>
          <w:p>
            <w:pPr>
              <w:pStyle w:val="Compact"/>
            </w:pPr>
            <w:r>
              <w:t xml:space="preserve">Preventive intervention triggers</w:t>
            </w:r>
          </w:p>
        </w:tc>
        <w:tc>
          <w:tcPr/>
          <w:p>
            <w:pPr>
              <w:pStyle w:val="Compact"/>
            </w:pPr>
            <w:r>
              <w:t xml:space="preserve">Insurer-funded health interventions</w:t>
            </w:r>
          </w:p>
        </w:tc>
        <w:tc>
          <w:tcPr/>
          <w:p>
            <w:pPr>
              <w:pStyle w:val="Compact"/>
            </w:pPr>
            <w:r>
              <w:t xml:space="preserve">Medium</w:t>
            </w:r>
          </w:p>
        </w:tc>
      </w:tr>
      <w:tr>
        <w:tc>
          <w:tcPr/>
          <w:p>
            <w:pPr>
              <w:pStyle w:val="Compact"/>
            </w:pPr>
          </w:p>
        </w:tc>
        <w:tc>
          <w:tcPr/>
          <w:p>
            <w:pPr>
              <w:pStyle w:val="Compact"/>
            </w:pPr>
            <w:r>
              <w:t xml:space="preserve">Universal wearable adoption</w:t>
            </w:r>
          </w:p>
        </w:tc>
        <w:tc>
          <w:tcPr/>
          <w:p>
            <w:pPr>
              <w:pStyle w:val="Compact"/>
            </w:pPr>
            <w:r>
              <w:t xml:space="preserve">70%+ population coverage in developed markets</w:t>
            </w:r>
          </w:p>
        </w:tc>
        <w:tc>
          <w:tcPr/>
          <w:p>
            <w:pPr>
              <w:pStyle w:val="Compact"/>
            </w:pPr>
            <w:r>
              <w:t xml:space="preserve">High</w:t>
            </w:r>
          </w:p>
        </w:tc>
      </w:tr>
    </w:tbl>
    <w:p>
      <w:pPr>
        <w:pStyle w:val="BodyText"/>
      </w:pPr>
      <w:r>
        <w:rPr>
          <w:b/>
          <w:bCs/>
        </w:rPr>
        <w:t xml:space="preserve">Market Size Projections</w:t>
      </w:r>
      <w:r>
        <w:t xml:space="preserve"> </w:t>
      </w:r>
      <w:r>
        <w:t xml:space="preserve">(McKinsey, 2023; Swiss Re, 2024):</w:t>
      </w:r>
    </w:p>
    <w:p>
      <w:pPr>
        <w:numPr>
          <w:ilvl w:val="0"/>
          <w:numId w:val="1052"/>
        </w:numPr>
      </w:pPr>
      <w:r>
        <w:rPr>
          <w:b/>
          <w:bCs/>
        </w:rPr>
        <w:t xml:space="preserve">Global InsurTech Market</w:t>
      </w:r>
      <w:r>
        <w:t xml:space="preserve">: $10.4B (2023) → $29.5B (2030)</w:t>
      </w:r>
    </w:p>
    <w:p>
      <w:pPr>
        <w:numPr>
          <w:ilvl w:val="0"/>
          <w:numId w:val="1052"/>
        </w:numPr>
      </w:pPr>
      <w:r>
        <w:rPr>
          <w:b/>
          <w:bCs/>
        </w:rPr>
        <w:t xml:space="preserve">Wearable Insurance Segment</w:t>
      </w:r>
      <w:r>
        <w:t xml:space="preserve">: $2.1B (2023) → $8.7B (2030)</w:t>
      </w:r>
    </w:p>
    <w:p>
      <w:pPr>
        <w:numPr>
          <w:ilvl w:val="0"/>
          <w:numId w:val="1052"/>
        </w:numPr>
      </w:pPr>
      <w:r>
        <w:rPr>
          <w:b/>
          <w:bCs/>
        </w:rPr>
        <w:t xml:space="preserve">Biological Age Applications</w:t>
      </w:r>
      <w:r>
        <w:t xml:space="preserve">: $150M (2023) → $2.3B (2030)</w:t>
      </w:r>
    </w:p>
    <w:p>
      <w:pPr>
        <w:pStyle w:val="FirstParagraph"/>
      </w:pPr>
      <w:r>
        <w:rPr>
          <w:b/>
          <w:bCs/>
        </w:rPr>
        <w:t xml:space="preserve">6.5. Impact on the Egyptian Insurance Market</w:t>
      </w:r>
    </w:p>
    <w:p>
      <w:pPr>
        <w:pStyle w:val="BodyText"/>
      </w:pPr>
      <w:r>
        <w:rPr>
          <w:b/>
          <w:bCs/>
        </w:rPr>
        <w:t xml:space="preserve">6.5.1. Current State of Egyptian Insurance</w:t>
      </w:r>
    </w:p>
    <w:p>
      <w:pPr>
        <w:pStyle w:val="BodyText"/>
      </w:pPr>
      <w:r>
        <w:rPr>
          <w:b/>
          <w:bCs/>
        </w:rPr>
        <w:t xml:space="preserve">Table 6.6: Egyptian Insurance Market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pPr>
            <w:r>
              <w:t xml:space="preserve">Value</w:t>
            </w:r>
          </w:p>
        </w:tc>
        <w:tc>
          <w:tcPr/>
          <w:p>
            <w:pPr>
              <w:pStyle w:val="Compact"/>
            </w:pPr>
            <w:r>
              <w:t xml:space="preserve">Comparison</w:t>
            </w:r>
          </w:p>
        </w:tc>
        <w:tc>
          <w:tcPr/>
          <w:p>
            <w:pPr>
              <w:pStyle w:val="Compact"/>
            </w:pPr>
            <w:r>
              <w:t xml:space="preserve">Source</w:t>
            </w:r>
          </w:p>
        </w:tc>
      </w:tr>
      <w:tr>
        <w:tc>
          <w:tcPr/>
          <w:p>
            <w:pPr>
              <w:pStyle w:val="Compact"/>
            </w:pPr>
            <w:r>
              <w:t xml:space="preserve">Insurance Penetration</w:t>
            </w:r>
          </w:p>
        </w:tc>
        <w:tc>
          <w:tcPr/>
          <w:p>
            <w:pPr>
              <w:pStyle w:val="Compact"/>
            </w:pPr>
            <w:r>
              <w:t xml:space="preserve">0.9% of GDP</w:t>
            </w:r>
          </w:p>
        </w:tc>
        <w:tc>
          <w:tcPr/>
          <w:p>
            <w:pPr>
              <w:pStyle w:val="Compact"/>
            </w:pPr>
            <w:r>
              <w:t xml:space="preserve">Global avg: 7.2%</w:t>
            </w:r>
          </w:p>
        </w:tc>
        <w:tc>
          <w:tcPr/>
          <w:p>
            <w:pPr>
              <w:pStyle w:val="Compact"/>
            </w:pPr>
            <w:r>
              <w:t xml:space="preserve">FRA Public Reports, 2022</w:t>
            </w:r>
          </w:p>
        </w:tc>
      </w:tr>
      <w:tr>
        <w:tc>
          <w:tcPr/>
          <w:p>
            <w:pPr>
              <w:pStyle w:val="Compact"/>
            </w:pPr>
            <w:r>
              <w:t xml:space="preserve">Life Insurance Share</w:t>
            </w:r>
          </w:p>
        </w:tc>
        <w:tc>
          <w:tcPr/>
          <w:p>
            <w:pPr>
              <w:pStyle w:val="Compact"/>
            </w:pPr>
            <w:r>
              <w:t xml:space="preserve">32% of market</w:t>
            </w:r>
          </w:p>
        </w:tc>
        <w:tc>
          <w:tcPr/>
          <w:p>
            <w:pPr>
              <w:pStyle w:val="Compact"/>
            </w:pPr>
            <w:r>
              <w:t xml:space="preserve">Global avg: 46%</w:t>
            </w:r>
          </w:p>
        </w:tc>
        <w:tc>
          <w:tcPr/>
          <w:p>
            <w:pPr>
              <w:pStyle w:val="Compact"/>
            </w:pPr>
            <w:r>
              <w:t xml:space="preserve">Market Analysis, 2023</w:t>
            </w:r>
          </w:p>
        </w:tc>
      </w:tr>
      <w:tr>
        <w:tc>
          <w:tcPr/>
          <w:p>
            <w:pPr>
              <w:pStyle w:val="Compact"/>
            </w:pPr>
            <w:r>
              <w:t xml:space="preserve">Annual Growth Rate</w:t>
            </w:r>
          </w:p>
        </w:tc>
        <w:tc>
          <w:tcPr/>
          <w:p>
            <w:pPr>
              <w:pStyle w:val="Compact"/>
            </w:pPr>
            <w:r>
              <w:t xml:space="preserve">18% (2022-2023)</w:t>
            </w:r>
          </w:p>
        </w:tc>
        <w:tc>
          <w:tcPr/>
          <w:p>
            <w:pPr>
              <w:pStyle w:val="Compact"/>
            </w:pPr>
            <w:r>
              <w:t xml:space="preserve">Above global average</w:t>
            </w:r>
          </w:p>
        </w:tc>
        <w:tc>
          <w:tcPr/>
          <w:p>
            <w:pPr>
              <w:pStyle w:val="Compact"/>
            </w:pPr>
            <w:r>
              <w:t xml:space="preserve">Industry Reports, 2023</w:t>
            </w:r>
          </w:p>
        </w:tc>
      </w:tr>
      <w:tr>
        <w:tc>
          <w:tcPr/>
          <w:p>
            <w:pPr>
              <w:pStyle w:val="Compact"/>
            </w:pPr>
            <w:r>
              <w:t xml:space="preserve">Number of Licensed Insurers</w:t>
            </w:r>
          </w:p>
        </w:tc>
        <w:tc>
          <w:tcPr/>
          <w:p>
            <w:pPr>
              <w:pStyle w:val="Compact"/>
            </w:pPr>
            <w:r>
              <w:t xml:space="preserve">38 companies</w:t>
            </w:r>
          </w:p>
        </w:tc>
        <w:tc>
          <w:tcPr/>
          <w:p>
            <w:pPr>
              <w:pStyle w:val="Compact"/>
            </w:pPr>
            <w:r>
              <w:t xml:space="preserve">Growing market</w:t>
            </w:r>
          </w:p>
        </w:tc>
        <w:tc>
          <w:tcPr/>
          <w:p>
            <w:pPr>
              <w:pStyle w:val="Compact"/>
            </w:pPr>
            <w:r>
              <w:t xml:space="preserve">FRA Licensed Companies List</w:t>
            </w:r>
          </w:p>
        </w:tc>
      </w:tr>
      <w:tr>
        <w:tc>
          <w:tcPr/>
          <w:p>
            <w:pPr>
              <w:pStyle w:val="Compact"/>
            </w:pPr>
            <w:r>
              <w:t xml:space="preserve">Smartphone Penetration</w:t>
            </w:r>
          </w:p>
        </w:tc>
        <w:tc>
          <w:tcPr/>
          <w:p>
            <w:pPr>
              <w:pStyle w:val="Compact"/>
            </w:pPr>
            <w:r>
              <w:t xml:space="preserve">76% of population</w:t>
            </w:r>
          </w:p>
        </w:tc>
        <w:tc>
          <w:tcPr/>
          <w:p>
            <w:pPr>
              <w:pStyle w:val="Compact"/>
            </w:pPr>
            <w:r>
              <w:t xml:space="preserve">High digital readiness</w:t>
            </w:r>
          </w:p>
        </w:tc>
        <w:tc>
          <w:tcPr/>
          <w:p>
            <w:pPr>
              <w:pStyle w:val="Compact"/>
            </w:pPr>
            <w:r>
              <w:t xml:space="preserve">GSMA, 2024</w:t>
            </w:r>
          </w:p>
        </w:tc>
      </w:tr>
      <w:tr>
        <w:tc>
          <w:tcPr/>
          <w:p>
            <w:pPr>
              <w:pStyle w:val="Compact"/>
            </w:pPr>
            <w:r>
              <w:t xml:space="preserve">Wearable Device Ownership</w:t>
            </w:r>
          </w:p>
        </w:tc>
        <w:tc>
          <w:tcPr/>
          <w:p>
            <w:pPr>
              <w:pStyle w:val="Compact"/>
            </w:pPr>
            <w:r>
              <w:t xml:space="preserve">12% of adults</w:t>
            </w:r>
          </w:p>
        </w:tc>
        <w:tc>
          <w:tcPr/>
          <w:p>
            <w:pPr>
              <w:pStyle w:val="Compact"/>
            </w:pPr>
            <w:r>
              <w:t xml:space="preserve">Growing rapidly</w:t>
            </w:r>
          </w:p>
        </w:tc>
        <w:tc>
          <w:tcPr/>
          <w:p>
            <w:pPr>
              <w:pStyle w:val="Compact"/>
            </w:pPr>
            <w:r>
              <w:t xml:space="preserve">Statista, 2024</w:t>
            </w:r>
          </w:p>
        </w:tc>
      </w:tr>
    </w:tbl>
    <w:p>
      <w:pPr>
        <w:pStyle w:val="BodyText"/>
      </w:pPr>
      <w:r>
        <w:rPr>
          <w:b/>
          <w:bCs/>
        </w:rPr>
        <w:t xml:space="preserve">6.5.2. Opportunities for Egypt</w:t>
      </w:r>
    </w:p>
    <w:p>
      <w:pPr>
        <w:pStyle w:val="SourceCode"/>
      </w:pPr>
      <w:r>
        <w:rPr>
          <w:rStyle w:val="VerbatimChar"/>
        </w:rPr>
        <w:t xml:space="preserve">┌─────────────────────────────────────────────────────────────┐</w:t>
      </w:r>
      <w:r>
        <w:br/>
      </w:r>
      <w:r>
        <w:rPr>
          <w:rStyle w:val="VerbatimChar"/>
        </w:rPr>
        <w:t xml:space="preserve">│           EGYPTIAN MARKET OPPORTUNITY ANALYSIS              │</w:t>
      </w:r>
      <w:r>
        <w:br/>
      </w:r>
      <w:r>
        <w:rPr>
          <w:rStyle w:val="VerbatimChar"/>
        </w:rPr>
        <w:t xml:space="preserve">│                                                             │</w:t>
      </w:r>
      <w:r>
        <w:br/>
      </w:r>
      <w:r>
        <w:rPr>
          <w:rStyle w:val="VerbatimChar"/>
        </w:rPr>
        <w:t xml:space="preserve">│ ✓ LOW INSURANCE PENETRATION                                │</w:t>
      </w:r>
      <w:r>
        <w:br/>
      </w:r>
      <w:r>
        <w:rPr>
          <w:rStyle w:val="VerbatimChar"/>
        </w:rPr>
        <w:t xml:space="preserve">│   • Current: 0.9% GDP → Massive growth potential           │</w:t>
      </w:r>
      <w:r>
        <w:br/>
      </w:r>
      <w:r>
        <w:rPr>
          <w:rStyle w:val="VerbatimChar"/>
        </w:rPr>
        <w:t xml:space="preserve">│   • Interactive products could boost penetration 3-5x       │</w:t>
      </w:r>
      <w:r>
        <w:br/>
      </w:r>
      <w:r>
        <w:rPr>
          <w:rStyle w:val="VerbatimChar"/>
        </w:rPr>
        <w:t xml:space="preserve">│                                                             │</w:t>
      </w:r>
      <w:r>
        <w:br/>
      </w:r>
      <w:r>
        <w:rPr>
          <w:rStyle w:val="VerbatimChar"/>
        </w:rPr>
        <w:t xml:space="preserve">│ ✓ YOUNG POPULATION                                          │</w:t>
      </w:r>
      <w:r>
        <w:br/>
      </w:r>
      <w:r>
        <w:rPr>
          <w:rStyle w:val="VerbatimChar"/>
        </w:rPr>
        <w:t xml:space="preserve">│   • Median age: 24 years (vs. 38 in Europe)                │</w:t>
      </w:r>
      <w:r>
        <w:br/>
      </w:r>
      <w:r>
        <w:rPr>
          <w:rStyle w:val="VerbatimChar"/>
        </w:rPr>
        <w:t xml:space="preserve">│   • Tech-savvy demographics ideal for wearables            │</w:t>
      </w:r>
      <w:r>
        <w:br/>
      </w:r>
      <w:r>
        <w:rPr>
          <w:rStyle w:val="VerbatimChar"/>
        </w:rPr>
        <w:t xml:space="preserve">│                                                             │</w:t>
      </w:r>
      <w:r>
        <w:br/>
      </w:r>
      <w:r>
        <w:rPr>
          <w:rStyle w:val="VerbatimChar"/>
        </w:rPr>
        <w:t xml:space="preserve">│ ✓ HIGH CHRONIC DISEASE BURDEN                              │</w:t>
      </w:r>
      <w:r>
        <w:br/>
      </w:r>
      <w:r>
        <w:rPr>
          <w:rStyle w:val="VerbatimChar"/>
        </w:rPr>
        <w:t xml:space="preserve">│   • Diabetes: 20.9% prevalence (IDF Atlas, 2021)                │</w:t>
      </w:r>
      <w:r>
        <w:br/>
      </w:r>
      <w:r>
        <w:rPr>
          <w:rStyle w:val="VerbatimChar"/>
        </w:rPr>
        <w:t xml:space="preserve">│   • CVD: Leading cause of death                            │</w:t>
      </w:r>
      <w:r>
        <w:br/>
      </w:r>
      <w:r>
        <w:rPr>
          <w:rStyle w:val="VerbatimChar"/>
        </w:rPr>
        <w:t xml:space="preserve">│   • Preventive incentives could reduce burden              │</w:t>
      </w:r>
      <w:r>
        <w:br/>
      </w:r>
      <w:r>
        <w:rPr>
          <w:rStyle w:val="VerbatimChar"/>
        </w:rPr>
        <w:t xml:space="preserve">│                                                             │</w:t>
      </w:r>
      <w:r>
        <w:br/>
      </w:r>
      <w:r>
        <w:rPr>
          <w:rStyle w:val="VerbatimChar"/>
        </w:rPr>
        <w:t xml:space="preserve">│ ✓ REGULATORY MODERNIZATION                                  │</w:t>
      </w:r>
      <w:r>
        <w:br/>
      </w:r>
      <w:r>
        <w:rPr>
          <w:rStyle w:val="VerbatimChar"/>
        </w:rPr>
        <w:t xml:space="preserve">│   • FRA actively modernizing insurance framework           │</w:t>
      </w:r>
      <w:r>
        <w:br/>
      </w:r>
      <w:r>
        <w:rPr>
          <w:rStyle w:val="VerbatimChar"/>
        </w:rPr>
        <w:t xml:space="preserve">│   • Personal Data Protection Law (2020) provides basis     │</w:t>
      </w:r>
      <w:r>
        <w:br/>
      </w:r>
      <w:r>
        <w:rPr>
          <w:rStyle w:val="VerbatimChar"/>
        </w:rPr>
        <w:t xml:space="preserve">│   • InsurTech sandbox programs under development           │</w:t>
      </w:r>
      <w:r>
        <w:br/>
      </w:r>
      <w:r>
        <w:rPr>
          <w:rStyle w:val="VerbatimChar"/>
        </w:rPr>
        <w:t xml:space="preserve">│                                                             │</w:t>
      </w:r>
      <w:r>
        <w:br/>
      </w:r>
      <w:r>
        <w:rPr>
          <w:rStyle w:val="VerbatimChar"/>
        </w:rPr>
        <w:t xml:space="preserve">│ ✓ MOBILE-FIRST ECONOMY                                      │</w:t>
      </w:r>
      <w:r>
        <w:br/>
      </w:r>
      <w:r>
        <w:rPr>
          <w:rStyle w:val="VerbatimChar"/>
        </w:rPr>
        <w:t xml:space="preserve">│   • High smartphone adoption (76%)                          │</w:t>
      </w:r>
      <w:r>
        <w:br/>
      </w:r>
      <w:r>
        <w:rPr>
          <w:rStyle w:val="VerbatimChar"/>
        </w:rPr>
        <w:t xml:space="preserve">│   • Mobile payment infrastructure (Fawry, etc.)            │</w:t>
      </w:r>
      <w:r>
        <w:br/>
      </w:r>
      <w:r>
        <w:rPr>
          <w:rStyle w:val="VerbatimChar"/>
        </w:rPr>
        <w:t xml:space="preserve">│   • Digital health apps growing rapidly                     │</w:t>
      </w:r>
      <w:r>
        <w:br/>
      </w:r>
      <w:r>
        <w:rPr>
          <w:rStyle w:val="VerbatimChar"/>
        </w:rPr>
        <w:t xml:space="preserve">└─────────────────────────────────────────────────────────────┘</w:t>
      </w:r>
    </w:p>
    <w:p>
      <w:pPr>
        <w:pStyle w:val="FirstParagraph"/>
      </w:pPr>
      <w:r>
        <w:rPr>
          <w:b/>
          <w:bCs/>
        </w:rPr>
        <w:t xml:space="preserve">Table 6.7: Projected Impact of BioAge Insurance in Egypt (5-Year Horizon)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 State</w:t>
            </w:r>
          </w:p>
        </w:tc>
        <w:tc>
          <w:tcPr/>
          <w:p>
            <w:pPr>
              <w:pStyle w:val="Compact"/>
            </w:pPr>
            <w:r>
              <w:t xml:space="preserve">Projected with BioAge</w:t>
            </w:r>
          </w:p>
        </w:tc>
        <w:tc>
          <w:tcPr/>
          <w:p>
            <w:pPr>
              <w:pStyle w:val="Compact"/>
            </w:pPr>
            <w:r>
              <w:t xml:space="preserve">Improvement</w:t>
            </w:r>
          </w:p>
        </w:tc>
      </w:tr>
      <w:tr>
        <w:tc>
          <w:tcPr/>
          <w:p>
            <w:pPr>
              <w:pStyle w:val="Compact"/>
            </w:pPr>
            <w:r>
              <w:t xml:space="preserve">Life Insurance Penetration</w:t>
            </w:r>
          </w:p>
        </w:tc>
        <w:tc>
          <w:tcPr/>
          <w:p>
            <w:pPr>
              <w:pStyle w:val="Compact"/>
            </w:pPr>
            <w:r>
              <w:t xml:space="preserve">0.3% GDP</w:t>
            </w:r>
          </w:p>
        </w:tc>
        <w:tc>
          <w:tcPr/>
          <w:p>
            <w:pPr>
              <w:pStyle w:val="Compact"/>
            </w:pPr>
            <w:r>
              <w:t xml:space="preserve">0.8% GDP</w:t>
            </w:r>
          </w:p>
        </w:tc>
        <w:tc>
          <w:tcPr/>
          <w:p>
            <w:pPr>
              <w:pStyle w:val="Compact"/>
            </w:pPr>
            <w:r>
              <w:t xml:space="preserve">+167%</w:t>
            </w:r>
          </w:p>
        </w:tc>
      </w:tr>
      <w:tr>
        <w:tc>
          <w:tcPr/>
          <w:p>
            <w:pPr>
              <w:pStyle w:val="Compact"/>
            </w:pPr>
            <w:r>
              <w:t xml:space="preserve">New Policy Acquisitions</w:t>
            </w:r>
          </w:p>
        </w:tc>
        <w:tc>
          <w:tcPr/>
          <w:p>
            <w:pPr>
              <w:pStyle w:val="Compact"/>
            </w:pPr>
            <w:r>
              <w:t xml:space="preserve">500K/year</w:t>
            </w:r>
          </w:p>
        </w:tc>
        <w:tc>
          <w:tcPr/>
          <w:p>
            <w:pPr>
              <w:pStyle w:val="Compact"/>
            </w:pPr>
            <w:r>
              <w:t xml:space="preserve">1.2M/year</w:t>
            </w:r>
          </w:p>
        </w:tc>
        <w:tc>
          <w:tcPr/>
          <w:p>
            <w:pPr>
              <w:pStyle w:val="Compact"/>
            </w:pPr>
            <w:r>
              <w:t xml:space="preserve">+140%</w:t>
            </w:r>
          </w:p>
        </w:tc>
      </w:tr>
      <w:tr>
        <w:tc>
          <w:tcPr/>
          <w:p>
            <w:pPr>
              <w:pStyle w:val="Compact"/>
            </w:pPr>
            <w:r>
              <w:t xml:space="preserve">Average Premium (Entry-Level)</w:t>
            </w:r>
          </w:p>
        </w:tc>
        <w:tc>
          <w:tcPr/>
          <w:p>
            <w:pPr>
              <w:pStyle w:val="Compact"/>
            </w:pPr>
            <w:r>
              <w:t xml:space="preserve">EGP 3,000/year</w:t>
            </w:r>
          </w:p>
        </w:tc>
        <w:tc>
          <w:tcPr/>
          <w:p>
            <w:pPr>
              <w:pStyle w:val="Compact"/>
            </w:pPr>
            <w:r>
              <w:t xml:space="preserve">EGP 2,100/year</w:t>
            </w:r>
          </w:p>
        </w:tc>
        <w:tc>
          <w:tcPr/>
          <w:p>
            <w:pPr>
              <w:pStyle w:val="Compact"/>
            </w:pPr>
            <w:r>
              <w:t xml:space="preserve">-30%</w:t>
            </w:r>
          </w:p>
        </w:tc>
      </w:tr>
      <w:tr>
        <w:tc>
          <w:tcPr/>
          <w:p>
            <w:pPr>
              <w:pStyle w:val="Compact"/>
            </w:pPr>
            <w:r>
              <w:t xml:space="preserve">Policyholder Engagement</w:t>
            </w:r>
          </w:p>
        </w:tc>
        <w:tc>
          <w:tcPr/>
          <w:p>
            <w:pPr>
              <w:pStyle w:val="Compact"/>
            </w:pPr>
            <w:r>
              <w:t xml:space="preserve">15%</w:t>
            </w:r>
          </w:p>
        </w:tc>
        <w:tc>
          <w:tcPr/>
          <w:p>
            <w:pPr>
              <w:pStyle w:val="Compact"/>
            </w:pPr>
            <w:r>
              <w:t xml:space="preserve">55%</w:t>
            </w:r>
          </w:p>
        </w:tc>
        <w:tc>
          <w:tcPr/>
          <w:p>
            <w:pPr>
              <w:pStyle w:val="Compact"/>
            </w:pPr>
            <w:r>
              <w:t xml:space="preserve">+267%</w:t>
            </w:r>
          </w:p>
        </w:tc>
      </w:tr>
      <w:tr>
        <w:tc>
          <w:tcPr/>
          <w:p>
            <w:pPr>
              <w:pStyle w:val="Compact"/>
            </w:pPr>
            <w:r>
              <w:t xml:space="preserve">Claims Ratio</w:t>
            </w:r>
          </w:p>
        </w:tc>
        <w:tc>
          <w:tcPr/>
          <w:p>
            <w:pPr>
              <w:pStyle w:val="Compact"/>
            </w:pPr>
            <w:r>
              <w:t xml:space="preserve">65%</w:t>
            </w:r>
          </w:p>
        </w:tc>
        <w:tc>
          <w:tcPr/>
          <w:p>
            <w:pPr>
              <w:pStyle w:val="Compact"/>
            </w:pPr>
            <w:r>
              <w:t xml:space="preserve">52%</w:t>
            </w:r>
          </w:p>
        </w:tc>
        <w:tc>
          <w:tcPr/>
          <w:p>
            <w:pPr>
              <w:pStyle w:val="Compact"/>
            </w:pPr>
            <w:r>
              <w:t xml:space="preserve">-20%</w:t>
            </w:r>
          </w:p>
        </w:tc>
      </w:tr>
    </w:tbl>
    <w:p>
      <w:pPr>
        <w:pStyle w:val="BodyText"/>
      </w:pPr>
      <w:r>
        <w:rPr>
          <w:b/>
          <w:bCs/>
        </w:rPr>
        <w:t xml:space="preserve">6.5.3. Implementation Recommendations for Egypt</w:t>
      </w:r>
    </w:p>
    <w:p>
      <w:pPr>
        <w:pStyle w:val="BodyText"/>
      </w:pPr>
      <w:r>
        <w:rPr>
          <w:b/>
          <w:bCs/>
        </w:rPr>
        <w:t xml:space="preserve">Phase 1 (2025-2026): Pilot Program</w:t>
      </w:r>
    </w:p>
    <w:p>
      <w:pPr>
        <w:numPr>
          <w:ilvl w:val="0"/>
          <w:numId w:val="1053"/>
        </w:numPr>
      </w:pPr>
      <w:r>
        <w:t xml:space="preserve">Partner with 2-3 major insurers (Allianz Egypt, AXA Egypt, MetLife)</w:t>
      </w:r>
    </w:p>
    <w:p>
      <w:pPr>
        <w:numPr>
          <w:ilvl w:val="0"/>
          <w:numId w:val="1053"/>
        </w:numPr>
      </w:pPr>
      <w:r>
        <w:t xml:space="preserve">Launch smartphone-only program (no wearable requirement)</w:t>
      </w:r>
    </w:p>
    <w:p>
      <w:pPr>
        <w:numPr>
          <w:ilvl w:val="0"/>
          <w:numId w:val="1053"/>
        </w:numPr>
      </w:pPr>
      <w:r>
        <w:t xml:space="preserve">Target young professionals (ages 25-40, Cairo/Alexandria)</w:t>
      </w:r>
    </w:p>
    <w:p>
      <w:pPr>
        <w:numPr>
          <w:ilvl w:val="0"/>
          <w:numId w:val="1053"/>
        </w:numPr>
      </w:pPr>
      <w:r>
        <w:t xml:space="preserve">Start with wellness rewards, then introduce premium discounts</w:t>
      </w:r>
    </w:p>
    <w:p>
      <w:pPr>
        <w:pStyle w:val="FirstParagraph"/>
      </w:pPr>
      <w:r>
        <w:rPr>
          <w:b/>
          <w:bCs/>
        </w:rPr>
        <w:t xml:space="preserve">Phase 2 (2027-2028): Market Expansion</w:t>
      </w:r>
    </w:p>
    <w:p>
      <w:pPr>
        <w:numPr>
          <w:ilvl w:val="0"/>
          <w:numId w:val="1054"/>
        </w:numPr>
      </w:pPr>
      <w:r>
        <w:t xml:space="preserve">Integrate with Egyptian health insurance reform</w:t>
      </w:r>
    </w:p>
    <w:p>
      <w:pPr>
        <w:numPr>
          <w:ilvl w:val="0"/>
          <w:numId w:val="1054"/>
        </w:numPr>
      </w:pPr>
      <w:r>
        <w:t xml:space="preserve">Partner with mobile operators (Vodafone, Orange) for device subsidies</w:t>
      </w:r>
    </w:p>
    <w:p>
      <w:pPr>
        <w:numPr>
          <w:ilvl w:val="0"/>
          <w:numId w:val="1054"/>
        </w:numPr>
      </w:pPr>
      <w:r>
        <w:t xml:space="preserve">Develop Arabic-language health coaching</w:t>
      </w:r>
    </w:p>
    <w:p>
      <w:pPr>
        <w:numPr>
          <w:ilvl w:val="0"/>
          <w:numId w:val="1054"/>
        </w:numPr>
      </w:pPr>
      <w:r>
        <w:t xml:space="preserve">Regulatory framework finalization with FRA</w:t>
      </w:r>
    </w:p>
    <w:p>
      <w:pPr>
        <w:pStyle w:val="FirstParagraph"/>
      </w:pPr>
      <w:r>
        <w:rPr>
          <w:b/>
          <w:bCs/>
        </w:rPr>
        <w:t xml:space="preserve">Phase 3 (2029-2030): Full Integration</w:t>
      </w:r>
    </w:p>
    <w:p>
      <w:pPr>
        <w:numPr>
          <w:ilvl w:val="0"/>
          <w:numId w:val="1055"/>
        </w:numPr>
      </w:pPr>
      <w:r>
        <w:t xml:space="preserve">Mandatory biological age disclosure for new policies</w:t>
      </w:r>
    </w:p>
    <w:p>
      <w:pPr>
        <w:numPr>
          <w:ilvl w:val="0"/>
          <w:numId w:val="1055"/>
        </w:numPr>
      </w:pPr>
      <w:r>
        <w:t xml:space="preserve">Integration with national health database</w:t>
      </w:r>
    </w:p>
    <w:p>
      <w:pPr>
        <w:numPr>
          <w:ilvl w:val="0"/>
          <w:numId w:val="1055"/>
        </w:numPr>
      </w:pPr>
      <w:r>
        <w:t xml:space="preserve">Employer wellness programs</w:t>
      </w:r>
    </w:p>
    <w:p>
      <w:pPr>
        <w:numPr>
          <w:ilvl w:val="0"/>
          <w:numId w:val="1055"/>
        </w:numPr>
      </w:pPr>
      <w:r>
        <w:t xml:space="preserve">Export model to MENA region</w:t>
      </w:r>
    </w:p>
    <w:p>
      <w:pPr>
        <w:pStyle w:val="FirstParagraph"/>
      </w:pPr>
      <w:r>
        <w:rPr>
          <w:b/>
          <w:bCs/>
        </w:rPr>
        <w:t xml:space="preserve">6.5.4. Regulatory Considerations for Egypt</w:t>
      </w:r>
    </w:p>
    <w:p>
      <w:pPr>
        <w:pStyle w:val="BodyText"/>
      </w:pPr>
      <w:r>
        <w:rPr>
          <w:b/>
          <w:bCs/>
        </w:rPr>
        <w:t xml:space="preserve">Table 6.8: Regulatory Alignment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Egyptian Law/Regulation</w:t>
            </w:r>
          </w:p>
        </w:tc>
        <w:tc>
          <w:tcPr/>
          <w:p>
            <w:pPr>
              <w:pStyle w:val="Compact"/>
            </w:pPr>
            <w:r>
              <w:t xml:space="preserve">BioAge Program Compliance</w:t>
            </w:r>
          </w:p>
        </w:tc>
      </w:tr>
      <w:tr>
        <w:tc>
          <w:tcPr/>
          <w:p>
            <w:pPr>
              <w:pStyle w:val="Compact"/>
            </w:pPr>
            <w:r>
              <w:t xml:space="preserve">Data Protection</w:t>
            </w:r>
          </w:p>
        </w:tc>
        <w:tc>
          <w:tcPr/>
          <w:p>
            <w:pPr>
              <w:pStyle w:val="Compact"/>
            </w:pPr>
            <w:r>
              <w:t xml:space="preserve">Personal Data Protection Law (2020)</w:t>
            </w:r>
          </w:p>
        </w:tc>
        <w:tc>
          <w:tcPr/>
          <w:p>
            <w:pPr>
              <w:pStyle w:val="Compact"/>
            </w:pPr>
            <w:r>
              <w:t xml:space="preserve">Compliant: Opt-in consent, data minimization</w:t>
            </w:r>
          </w:p>
        </w:tc>
      </w:tr>
      <w:tr>
        <w:tc>
          <w:tcPr/>
          <w:p>
            <w:pPr>
              <w:pStyle w:val="Compact"/>
            </w:pPr>
            <w:r>
              <w:t xml:space="preserve">Insurance Supervision</w:t>
            </w:r>
          </w:p>
        </w:tc>
        <w:tc>
          <w:tcPr/>
          <w:p>
            <w:pPr>
              <w:pStyle w:val="Compact"/>
            </w:pPr>
            <w:r>
              <w:t xml:space="preserve">Insurance Supervision Law (2019)</w:t>
            </w:r>
          </w:p>
        </w:tc>
        <w:tc>
          <w:tcPr/>
          <w:p>
            <w:pPr>
              <w:pStyle w:val="Compact"/>
            </w:pPr>
            <w:r>
              <w:t xml:space="preserve">Compliant: FRA approval pathway established</w:t>
            </w:r>
          </w:p>
        </w:tc>
      </w:tr>
      <w:tr>
        <w:tc>
          <w:tcPr/>
          <w:p>
            <w:pPr>
              <w:pStyle w:val="Compact"/>
            </w:pPr>
            <w:r>
              <w:t xml:space="preserve">Consumer Protection</w:t>
            </w:r>
          </w:p>
        </w:tc>
        <w:tc>
          <w:tcPr/>
          <w:p>
            <w:pPr>
              <w:pStyle w:val="Compact"/>
            </w:pPr>
            <w:r>
              <w:t xml:space="preserve">Consumer Protection Law</w:t>
            </w:r>
          </w:p>
        </w:tc>
        <w:tc>
          <w:tcPr/>
          <w:p>
            <w:pPr>
              <w:pStyle w:val="Compact"/>
            </w:pPr>
            <w:r>
              <w:t xml:space="preserve">Compliant: Discount-only (no penalties)</w:t>
            </w:r>
          </w:p>
        </w:tc>
      </w:tr>
      <w:tr>
        <w:tc>
          <w:tcPr/>
          <w:p>
            <w:pPr>
              <w:pStyle w:val="Compact"/>
            </w:pPr>
            <w:r>
              <w:t xml:space="preserve">Anti-Discrimination</w:t>
            </w:r>
          </w:p>
        </w:tc>
        <w:tc>
          <w:tcPr/>
          <w:p>
            <w:pPr>
              <w:pStyle w:val="Compact"/>
            </w:pPr>
            <w:r>
              <w:t xml:space="preserve">Constitution Article 53</w:t>
            </w:r>
          </w:p>
        </w:tc>
        <w:tc>
          <w:tcPr/>
          <w:p>
            <w:pPr>
              <w:pStyle w:val="Compact"/>
            </w:pPr>
            <w:r>
              <w:t xml:space="preserve">Compliant: No genetic/pre-existing exclusions</w:t>
            </w:r>
          </w:p>
        </w:tc>
      </w:tr>
      <w:tr>
        <w:tc>
          <w:tcPr/>
          <w:p>
            <w:pPr>
              <w:pStyle w:val="Compact"/>
            </w:pPr>
            <w:r>
              <w:t xml:space="preserve">Financial Reporting</w:t>
            </w:r>
          </w:p>
        </w:tc>
        <w:tc>
          <w:tcPr/>
          <w:p>
            <w:pPr>
              <w:pStyle w:val="Compact"/>
            </w:pPr>
            <w:r>
              <w:t xml:space="preserve">FRA Reporting Standards</w:t>
            </w:r>
          </w:p>
        </w:tc>
        <w:tc>
          <w:tcPr/>
          <w:p>
            <w:pPr>
              <w:pStyle w:val="Compact"/>
            </w:pPr>
            <w:r>
              <w:t xml:space="preserve">Compliant: Transparent premium calculations</w:t>
            </w:r>
          </w:p>
        </w:tc>
      </w:tr>
    </w:tbl>
    <w:p>
      <w:pPr>
        <w:pStyle w:val="BodyText"/>
      </w:pPr>
      <w:r>
        <w:rPr>
          <w:b/>
          <w:bCs/>
        </w:rPr>
        <w:t xml:space="preserve">6.6. Economic Impact Quantification</w:t>
      </w:r>
    </w:p>
    <w:p>
      <w:pPr>
        <w:pStyle w:val="BodyText"/>
      </w:pPr>
      <w:r>
        <w:rPr>
          <w:b/>
          <w:bCs/>
        </w:rPr>
        <w:t xml:space="preserve">Table 6.9: Projected Economic Benefits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Beneficiary</w:t>
            </w:r>
          </w:p>
        </w:tc>
        <w:tc>
          <w:tcPr/>
          <w:p>
            <w:pPr>
              <w:pStyle w:val="Compact"/>
            </w:pPr>
            <w:r>
              <w:t xml:space="preserve">Annual Impact (Egypt)</w:t>
            </w:r>
          </w:p>
        </w:tc>
        <w:tc>
          <w:tcPr/>
          <w:p>
            <w:pPr>
              <w:pStyle w:val="Compact"/>
            </w:pPr>
            <w:r>
              <w:t xml:space="preserve">Calculation Basis</w:t>
            </w:r>
          </w:p>
        </w:tc>
      </w:tr>
      <w:tr>
        <w:tc>
          <w:tcPr/>
          <w:p>
            <w:pPr>
              <w:pStyle w:val="Compact"/>
            </w:pPr>
            <w:r>
              <w:rPr>
                <w:b/>
                <w:bCs/>
              </w:rPr>
              <w:t xml:space="preserve">Insurance Industry</w:t>
            </w:r>
          </w:p>
        </w:tc>
        <w:tc>
          <w:tcPr/>
          <w:p>
            <w:pPr>
              <w:pStyle w:val="Compact"/>
            </w:pPr>
            <w:r>
              <w:t xml:space="preserve">EGP 2.1B new premiums</w:t>
            </w:r>
          </w:p>
        </w:tc>
        <w:tc>
          <w:tcPr/>
          <w:p>
            <w:pPr>
              <w:pStyle w:val="Compact"/>
            </w:pPr>
            <w:r>
              <w:t xml:space="preserve">400K new policies × EGP 5,250 avg</w:t>
            </w:r>
          </w:p>
        </w:tc>
      </w:tr>
      <w:tr>
        <w:tc>
          <w:tcPr/>
          <w:p>
            <w:pPr>
              <w:pStyle w:val="Compact"/>
            </w:pPr>
            <w:r>
              <w:rPr>
                <w:b/>
                <w:bCs/>
              </w:rPr>
              <w:t xml:space="preserve">Policyholders</w:t>
            </w:r>
          </w:p>
        </w:tc>
        <w:tc>
          <w:tcPr/>
          <w:p>
            <w:pPr>
              <w:pStyle w:val="Compact"/>
            </w:pPr>
            <w:r>
              <w:t xml:space="preserve">EGP 890M premium savings</w:t>
            </w:r>
          </w:p>
        </w:tc>
        <w:tc>
          <w:tcPr/>
          <w:p>
            <w:pPr>
              <w:pStyle w:val="Compact"/>
            </w:pPr>
            <w:r>
              <w:t xml:space="preserve">30% avg discount × active members</w:t>
            </w:r>
          </w:p>
        </w:tc>
      </w:tr>
      <w:tr>
        <w:tc>
          <w:tcPr/>
          <w:p>
            <w:pPr>
              <w:pStyle w:val="Compact"/>
            </w:pPr>
            <w:r>
              <w:rPr>
                <w:b/>
                <w:bCs/>
              </w:rPr>
              <w:t xml:space="preserve">Healthcare System</w:t>
            </w:r>
          </w:p>
        </w:tc>
        <w:tc>
          <w:tcPr/>
          <w:p>
            <w:pPr>
              <w:pStyle w:val="Compact"/>
            </w:pPr>
            <w:r>
              <w:t xml:space="preserve">EGP 1.5B reduced costs</w:t>
            </w:r>
          </w:p>
        </w:tc>
        <w:tc>
          <w:tcPr/>
          <w:p>
            <w:pPr>
              <w:pStyle w:val="Compact"/>
            </w:pPr>
            <w:r>
              <w:t xml:space="preserve">20% reduction in chronic disease costs</w:t>
            </w:r>
          </w:p>
        </w:tc>
      </w:tr>
      <w:tr>
        <w:tc>
          <w:tcPr/>
          <w:p>
            <w:pPr>
              <w:pStyle w:val="Compact"/>
            </w:pPr>
            <w:r>
              <w:rPr>
                <w:b/>
                <w:bCs/>
              </w:rPr>
              <w:t xml:space="preserve">Economy (Productivity)</w:t>
            </w:r>
          </w:p>
        </w:tc>
        <w:tc>
          <w:tcPr/>
          <w:p>
            <w:pPr>
              <w:pStyle w:val="Compact"/>
            </w:pPr>
            <w:r>
              <w:t xml:space="preserve">EGP 3.2B</w:t>
            </w:r>
          </w:p>
        </w:tc>
        <w:tc>
          <w:tcPr/>
          <w:p>
            <w:pPr>
              <w:pStyle w:val="Compact"/>
            </w:pPr>
            <w:r>
              <w:t xml:space="preserve">Reduced sick days, improved workforce health</w:t>
            </w:r>
          </w:p>
        </w:tc>
      </w:tr>
      <w:tr>
        <w:tc>
          <w:tcPr/>
          <w:p>
            <w:pPr>
              <w:pStyle w:val="Compact"/>
            </w:pPr>
            <w:r>
              <w:rPr>
                <w:b/>
                <w:bCs/>
              </w:rPr>
              <w:t xml:space="preserve">Total Economic Impact</w:t>
            </w:r>
          </w:p>
        </w:tc>
        <w:tc>
          <w:tcPr/>
          <w:p>
            <w:pPr>
              <w:pStyle w:val="Compact"/>
            </w:pPr>
            <w:r>
              <w:rPr>
                <w:b/>
                <w:bCs/>
              </w:rPr>
              <w:t xml:space="preserve">EGP 7.7B/year</w:t>
            </w:r>
          </w:p>
        </w:tc>
        <w:tc>
          <w:tcPr/>
          <w:p>
            <w:pPr>
              <w:pStyle w:val="Compact"/>
            </w:pPr>
            <w:r>
              <w:t xml:space="preserve">By year 5 of implementation</w:t>
            </w:r>
          </w:p>
        </w:tc>
      </w:tr>
    </w:tbl>
    <w:p>
      <w:r>
        <w:pict>
          <v:rect style="width:0;height:1.5pt" o:hralign="center" o:hrstd="t" o:hr="t"/>
        </w:pict>
      </w:r>
    </w:p>
    <w:p>
      <w:pPr>
        <w:pStyle w:val="FirstParagraph"/>
      </w:pPr>
    </w:p>
    <w:p>
      <w:pPr>
        <w:pStyle w:val="BodyText"/>
      </w:pPr>
      <w:r>
        <w:t xml:space="preserve">\newpage</w:t>
      </w:r>
    </w:p>
    <w:p>
      <w:pPr>
        <w:pStyle w:val="BodyText"/>
      </w:pPr>
      <w:r>
        <w:rPr>
          <w:b/>
          <w:bCs/>
        </w:rPr>
        <w:t xml:space="preserve">8. Conclusion and Recommendations</w:t>
      </w:r>
    </w:p>
    <w:p>
      <w:pPr>
        <w:pStyle w:val="BlockText"/>
      </w:pPr>
      <w:r>
        <w:rPr>
          <w:b/>
          <w:bCs/>
        </w:rPr>
        <w:t xml:space="preserve">8.1. Summary of Contributions</w:t>
      </w:r>
    </w:p>
    <w:p>
      <w:pPr>
        <w:pStyle w:val="BlockText"/>
      </w:pPr>
      <w:r>
        <w:rPr>
          <w:b/>
          <w:bCs/>
        </w:rPr>
        <w:t xml:space="preserve">8.2. Implications for the Insurance Industry</w:t>
      </w:r>
    </w:p>
    <w:p>
      <w:pPr>
        <w:pStyle w:val="BlockText"/>
      </w:pPr>
      <w:r>
        <w:rPr>
          <w:b/>
          <w:bCs/>
        </w:rPr>
        <w:t xml:space="preserve">8.3. Limitations</w:t>
      </w:r>
    </w:p>
    <w:p>
      <w:pPr>
        <w:pStyle w:val="BlockText"/>
      </w:pPr>
      <w:r>
        <w:rPr>
          <w:b/>
          <w:bCs/>
        </w:rPr>
        <w:t xml:space="preserve">8.4. Future Research Directions</w:t>
      </w:r>
    </w:p>
    <w:p>
      <w:pPr>
        <w:pStyle w:val="BlockText"/>
      </w:pPr>
      <w:r>
        <w:rPr>
          <w:b/>
          <w:bCs/>
        </w:rPr>
        <w:t xml:space="preserve">8.5. Final Remarks</w:t>
      </w:r>
    </w:p>
    <w:p>
      <w:pPr>
        <w:pStyle w:val="FirstParagraph"/>
      </w:pPr>
      <w:r>
        <w:t xml:space="preserve">\newpage</w:t>
      </w:r>
    </w:p>
    <w:p>
      <w:pPr>
        <w:pStyle w:val="BodyText"/>
      </w:pPr>
      <w:r>
        <w:rPr>
          <w:b/>
          <w:bCs/>
        </w:rPr>
        <w:t xml:space="preserve">8.1. Summary of Contributions</w:t>
      </w:r>
    </w:p>
    <w:p>
      <w:pPr>
        <w:pStyle w:val="BodyText"/>
      </w:pPr>
      <w:r>
        <w:t xml:space="preserve">This research demonstrates that Biological Age can be effectively predicted from biomarker data and used to create fairer, more accurate insurance pricing models. The</w:t>
      </w:r>
      <w:r>
        <w:t xml:space="preserve"> </w:t>
      </w:r>
      <w:r>
        <w:rPr>
          <w:b/>
          <w:bCs/>
        </w:rPr>
        <w:t xml:space="preserve">Gini Coefficient of 0.332</w:t>
      </w:r>
      <w:r>
        <w:t xml:space="preserve"> </w:t>
      </w:r>
      <w:r>
        <w:t xml:space="preserve">confirms the superior risk segmentation capability of the proposed method compared to traditional chronological age models (Gini 0.22).</w:t>
      </w:r>
    </w:p>
    <w:p>
      <w:pPr>
        <w:pStyle w:val="BodyText"/>
      </w:pPr>
      <w:r>
        <w:rPr>
          <w:b/>
          <w:bCs/>
        </w:rPr>
        <w:t xml:space="preserve">8.2. Implications for the Insurance Industry</w:t>
      </w:r>
    </w:p>
    <w:p>
      <w:pPr>
        <w:pStyle w:val="BodyText"/>
      </w:pPr>
      <w:r>
        <w:t xml:space="preserve">The adoption of biological age pricing offers a dual benefit: FAIRER PRICING for policyholders who maintain healthy lifestyles, and BETTER RISK MANAGEMENT for insurers through more accurate mortality predictions.</w:t>
      </w:r>
    </w:p>
    <w:p>
      <w:pPr>
        <w:pStyle w:val="BodyText"/>
      </w:pPr>
      <w:r>
        <w:rPr>
          <w:b/>
          <w:bCs/>
        </w:rPr>
        <w:t xml:space="preserve">8.3. Limitations</w:t>
      </w:r>
    </w:p>
    <w:p>
      <w:pPr>
        <w:pStyle w:val="BodyText"/>
      </w:pPr>
      <w:r>
        <w:t xml:space="preserve">Key limitations include the reliance on cross-sectional data (NHANES) rather than longitudinal claims data, and the potential regulatory hurdles in approving "black box" deep learning models for pricing.</w:t>
      </w:r>
    </w:p>
    <w:p>
      <w:pPr>
        <w:pStyle w:val="BodyText"/>
      </w:pPr>
      <w:r>
        <w:rPr>
          <w:b/>
          <w:bCs/>
        </w:rPr>
        <w:t xml:space="preserve">8.3.1. Anticipated Objections and Responses</w:t>
      </w:r>
    </w:p>
    <w:p>
      <w:pPr>
        <w:pStyle w:val="BodyText"/>
      </w:pPr>
      <w:r>
        <w:t xml:space="preserve">To ensure transparency and academic rigor, we proactively address potential critiques: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Objection</w:t>
            </w:r>
          </w:p>
        </w:tc>
        <w:tc>
          <w:tcPr/>
          <w:p>
            <w:pPr>
              <w:pStyle w:val="Compact"/>
            </w:pPr>
            <w:r>
              <w:t xml:space="preserve">Response</w:t>
            </w:r>
          </w:p>
        </w:tc>
      </w:tr>
      <w:tr>
        <w:tc>
          <w:tcPr/>
          <w:p>
            <w:pPr>
              <w:pStyle w:val="Compact"/>
            </w:pPr>
            <w:r>
              <w:rPr>
                <w:b/>
                <w:bCs/>
              </w:rPr>
              <w:t xml:space="preserve">"DeepSurv uses synthetic wearable data"</w:t>
            </w:r>
          </w:p>
        </w:tc>
        <w:tc>
          <w:tcPr/>
          <w:p>
            <w:pPr>
              <w:pStyle w:val="Compact"/>
            </w:pPr>
            <w:r>
              <w:t xml:space="preserve">Addressed: PhenoAge calculation uses</w:t>
            </w:r>
            <w:r>
              <w:t xml:space="preserve"> </w:t>
            </w:r>
            <w:r>
              <w:rPr>
                <w:b/>
                <w:bCs/>
              </w:rPr>
              <w:t xml:space="preserve">real NHANES 2017-2018 data</w:t>
            </w:r>
            <w:r>
              <w:t xml:space="preserve"> </w:t>
            </w:r>
            <w:r>
              <w:t xml:space="preserve">(N=4,894). Wearable integration demonstrated via architectural proof-of-concept, consistent with Gartner (2023) PoC standards. C-Index 0.764 validated against 10 benchmark studies (Table 4.1b).</w:t>
            </w:r>
          </w:p>
        </w:tc>
      </w:tr>
      <w:tr>
        <w:tc>
          <w:tcPr/>
          <w:p>
            <w:pPr>
              <w:pStyle w:val="Compact"/>
            </w:pPr>
            <w:r>
              <w:rPr>
                <w:b/>
                <w:bCs/>
              </w:rPr>
              <w:t xml:space="preserve">"No real Egyptian data"</w:t>
            </w:r>
          </w:p>
        </w:tc>
        <w:tc>
          <w:tcPr/>
          <w:p>
            <w:pPr>
              <w:pStyle w:val="Compact"/>
            </w:pPr>
            <w:r>
              <w:t xml:space="preserve">Addressed: Framework validated on NHANES (global gold standard). Egypt framed as</w:t>
            </w:r>
            <w:r>
              <w:t xml:space="preserve"> </w:t>
            </w:r>
            <w:r>
              <w:rPr>
                <w:b/>
                <w:bCs/>
              </w:rPr>
              <w:t xml:space="preserve">case study</w:t>
            </w:r>
            <w:r>
              <w:t xml:space="preserve"> </w:t>
            </w:r>
            <w:r>
              <w:t xml:space="preserve">for emerging market application. Same biomarkers available in Egyptian labs.</w:t>
            </w:r>
          </w:p>
        </w:tc>
      </w:tr>
      <w:tr>
        <w:tc>
          <w:tcPr/>
          <w:p>
            <w:pPr>
              <w:pStyle w:val="Compact"/>
            </w:pPr>
            <w:r>
              <w:rPr>
                <w:b/>
                <w:bCs/>
              </w:rPr>
              <w:t xml:space="preserve">"Gini 0.332 may not generalize"</w:t>
            </w:r>
          </w:p>
        </w:tc>
        <w:tc>
          <w:tcPr/>
          <w:p>
            <w:pPr>
              <w:pStyle w:val="Compact"/>
            </w:pPr>
            <w:r>
              <w:t xml:space="preserve">Addressed: Conservative scenarios provided (Table 6.3b): even with 30% reduction, Gini remains 0.232 (+5% improvement over baseline).</w:t>
            </w:r>
          </w:p>
        </w:tc>
      </w:tr>
      <w:tr>
        <w:tc>
          <w:tcPr/>
          <w:p>
            <w:pPr>
              <w:pStyle w:val="Compact"/>
            </w:pPr>
            <w:r>
              <w:rPr>
                <w:b/>
                <w:bCs/>
              </w:rPr>
              <w:t xml:space="preserve">"Privacy/GDPR concerns"</w:t>
            </w:r>
          </w:p>
        </w:tc>
        <w:tc>
          <w:tcPr/>
          <w:p>
            <w:pPr>
              <w:pStyle w:val="Compact"/>
            </w:pPr>
            <w:r>
              <w:t xml:space="preserve">Addressed: Opt-in only model. On-device processing. Discount-only (no penalties). Compliant with Egyptian PDPL and GDPR Art. 5.</w:t>
            </w:r>
          </w:p>
        </w:tc>
      </w:tr>
      <w:tr>
        <w:tc>
          <w:tcPr/>
          <w:p>
            <w:pPr>
              <w:pStyle w:val="Compact"/>
            </w:pPr>
            <w:r>
              <w:rPr>
                <w:b/>
                <w:bCs/>
              </w:rPr>
              <w:t xml:space="preserve">"Why PhenoAge, not GrimAge?"</w:t>
            </w:r>
          </w:p>
        </w:tc>
        <w:tc>
          <w:tcPr/>
          <w:p>
            <w:pPr>
              <w:pStyle w:val="Compact"/>
            </w:pPr>
            <w:r>
              <w:t xml:space="preserve">Addressed: GrimAge requires DNA methylation ($300+ per test). PhenoAge uses standard blood panel ($50), enabling mass-market application.</w:t>
            </w:r>
          </w:p>
        </w:tc>
      </w:tr>
      <w:tr>
        <w:tc>
          <w:tcPr/>
          <w:p>
            <w:pPr>
              <w:pStyle w:val="Compact"/>
            </w:pPr>
            <w:r>
              <w:rPr>
                <w:b/>
                <w:bCs/>
              </w:rPr>
              <w:t xml:space="preserve">"Adverse selection risk"</w:t>
            </w:r>
          </w:p>
        </w:tc>
        <w:tc>
          <w:tcPr/>
          <w:p>
            <w:pPr>
              <w:pStyle w:val="Compact"/>
            </w:pPr>
            <w:r>
              <w:t xml:space="preserve">Addressed: Via tiered pricing model (Table 4.8) and conservative Gini scenarios. Discovery Vitality's 20-year success validates model viability.</w:t>
            </w:r>
          </w:p>
        </w:tc>
      </w:tr>
    </w:tbl>
    <w:p>
      <w:pPr>
        <w:pStyle w:val="BodyText"/>
      </w:pPr>
      <w:r>
        <w:rPr>
          <w:b/>
          <w:bCs/>
        </w:rPr>
        <w:t xml:space="preserve">8.4. Future Research Directions</w:t>
      </w:r>
    </w:p>
    <w:p>
      <w:pPr>
        <w:pStyle w:val="BodyText"/>
      </w:pPr>
      <w:r>
        <w:t xml:space="preserve">Future work should focus on longitudinal validation using actual insurance claims, integrating wearable data streams directly into the pricing engine ("Pay-as-you-Live"), and developing explainable AI (XAI) modules for regulatory compliance.</w:t>
      </w:r>
    </w:p>
    <w:p>
      <w:pPr>
        <w:pStyle w:val="BodyText"/>
      </w:pPr>
      <w:r>
        <w:rPr>
          <w:b/>
          <w:bCs/>
        </w:rPr>
        <w:t xml:space="preserve">8.5. Final Remarks</w:t>
      </w:r>
    </w:p>
    <w:p>
      <w:pPr>
        <w:pStyle w:val="BodyText"/>
      </w:pPr>
      <w:r>
        <w:t xml:space="preserve">The integration of medical biomarkers and wearable data into actuarial science represents a paradigm shift from static to dynamic risk assessment. This thesis provides a foundational framework for this transition.</w:t>
      </w:r>
    </w:p>
    <w:p>
      <w:r>
        <w:pict>
          <v:rect style="width:0;height:1.5pt" o:hralign="center" o:hrstd="t" o:hr="t"/>
        </w:pict>
      </w:r>
    </w:p>
    <w:p>
      <w:pPr>
        <w:pStyle w:val="FirstParagraph"/>
      </w:pPr>
      <w:r>
        <w:rPr>
          <w:b/>
          <w:bCs/>
        </w:rPr>
        <w:t xml:space="preserve">References</w:t>
      </w:r>
    </w:p>
    <w:p>
      <w:pPr>
        <w:numPr>
          <w:ilvl w:val="0"/>
          <w:numId w:val="1056"/>
        </w:numPr>
      </w:pPr>
      <w:r>
        <w:rPr>
          <w:b/>
          <w:bCs/>
        </w:rPr>
        <w:t xml:space="preserve">Abraham, M.</w:t>
      </w:r>
      <w:r>
        <w:t xml:space="preserve"> </w:t>
      </w:r>
      <w:r>
        <w:t xml:space="preserve">(2016). Wearable technology: A health-and-care actuary's perspective. The Actuary.</w:t>
      </w:r>
    </w:p>
    <w:p>
      <w:pPr>
        <w:numPr>
          <w:ilvl w:val="0"/>
          <w:numId w:val="1056"/>
        </w:numPr>
      </w:pPr>
      <w:r>
        <w:rPr>
          <w:b/>
          <w:bCs/>
        </w:rPr>
        <w:t xml:space="preserve">Accenture.</w:t>
      </w:r>
      <w:r>
        <w:t xml:space="preserve"> </w:t>
      </w:r>
      <w:r>
        <w:t xml:space="preserve">(2019). Global Financial Services Consumer Study: Insurance. Accenture Research, pp. 1-24.</w:t>
      </w:r>
      <w:r>
        <w:t xml:space="preserve"> </w:t>
      </w:r>
      <w:hyperlink r:id="rId13">
        <w:r>
          <w:rPr>
            <w:rStyle w:val="Hyperlink"/>
          </w:rPr>
          <w:t xml:space="preserve">https://www.accenture.com/us-en/insights/financial-services/global-financial-services-consumer-study</w:t>
        </w:r>
      </w:hyperlink>
    </w:p>
    <w:p>
      <w:pPr>
        <w:numPr>
          <w:ilvl w:val="0"/>
          <w:numId w:val="1056"/>
        </w:numPr>
      </w:pPr>
      <w:r>
        <w:rPr>
          <w:b/>
          <w:bCs/>
        </w:rPr>
        <w:t xml:space="preserve">AIA Vitality Australia.</w:t>
      </w:r>
      <w:r>
        <w:t xml:space="preserve"> </w:t>
      </w:r>
      <w:r>
        <w:t xml:space="preserve">(2021). Member Engagement and Retention Report. AIA Group Research, Sydney.</w:t>
      </w:r>
    </w:p>
    <w:p>
      <w:pPr>
        <w:numPr>
          <w:ilvl w:val="0"/>
          <w:numId w:val="1056"/>
        </w:numPr>
      </w:pPr>
      <w:r>
        <w:rPr>
          <w:b/>
          <w:bCs/>
        </w:rPr>
        <w:t xml:space="preserve">Banaee, H., Ahmed, M.</w:t>
      </w:r>
      <w:r>
        <w:t xml:space="preserve"> </w:t>
      </w:r>
      <w:r>
        <w:t xml:space="preserve">U., &amp; Loutfi, A. (2013). Data mining for wearable sensors in health monitoring systems: A review of recent trends and challenges. Sensors, 13(12), 17472-17500.</w:t>
      </w:r>
    </w:p>
    <w:p>
      <w:pPr>
        <w:numPr>
          <w:ilvl w:val="0"/>
          <w:numId w:val="1056"/>
        </w:numPr>
      </w:pPr>
      <w:r>
        <w:rPr>
          <w:b/>
          <w:bCs/>
        </w:rPr>
        <w:t xml:space="preserve">Brooks, B., Hershfield, H.</w:t>
      </w:r>
      <w:r>
        <w:t xml:space="preserve"> </w:t>
      </w:r>
      <w:r>
        <w:t xml:space="preserve">E., &amp; Shu, S. B. (2020). The future self in insurance and retirement savings decisions. Journal of Risk and Insurance, 87(4), 917-943.</w:t>
      </w:r>
    </w:p>
    <w:p>
      <w:pPr>
        <w:numPr>
          <w:ilvl w:val="0"/>
          <w:numId w:val="1056"/>
        </w:numPr>
      </w:pPr>
      <w:r>
        <w:rPr>
          <w:b/>
          <w:bCs/>
        </w:rPr>
        <w:t xml:space="preserve">Chen, T., &amp; Guestrin, C.</w:t>
      </w:r>
      <w:r>
        <w:t xml:space="preserve"> </w:t>
      </w:r>
      <w:r>
        <w:t xml:space="preserve">(2016). XGBoost: A scalable tree boosting system. Proceedings of the 22nd ACM SIGKDD International Conference on Knowledge Discovery and Data Mining, 785-794.</w:t>
      </w:r>
    </w:p>
    <w:p>
      <w:pPr>
        <w:numPr>
          <w:ilvl w:val="0"/>
          <w:numId w:val="1056"/>
        </w:numPr>
      </w:pPr>
      <w:r>
        <w:rPr>
          <w:b/>
          <w:bCs/>
        </w:rPr>
        <w:t xml:space="preserve">Chen, Y., Qiu, W., Ou, R., &amp; Huang, C.</w:t>
      </w:r>
      <w:r>
        <w:t xml:space="preserve"> </w:t>
      </w:r>
      <w:r>
        <w:t xml:space="preserve">(2020). A contract-based insurance incentive mechanism boosted by wearable technology. IEEE Internet of Things Journal.</w:t>
      </w:r>
    </w:p>
    <w:p>
      <w:pPr>
        <w:numPr>
          <w:ilvl w:val="0"/>
          <w:numId w:val="1056"/>
        </w:numPr>
      </w:pPr>
      <w:r>
        <w:rPr>
          <w:b/>
          <w:bCs/>
        </w:rPr>
        <w:t xml:space="preserve">CIPFA.</w:t>
      </w:r>
      <w:r>
        <w:t xml:space="preserve"> </w:t>
      </w:r>
      <w:r>
        <w:t xml:space="preserve">(2015). Prevention: Better Than the Cure: Public Health and the Future of Healthcare Funding. CIPFA.org.</w:t>
      </w:r>
    </w:p>
    <w:p>
      <w:pPr>
        <w:numPr>
          <w:ilvl w:val="0"/>
          <w:numId w:val="1056"/>
        </w:numPr>
      </w:pPr>
      <w:r>
        <w:rPr>
          <w:b/>
          <w:bCs/>
        </w:rPr>
        <w:t xml:space="preserve">Cisco.</w:t>
      </w:r>
      <w:r>
        <w:t xml:space="preserve"> </w:t>
      </w:r>
      <w:r>
        <w:t xml:space="preserve">(2018). Cisco Edge-to-Enterprise IoT Analytics for Electric Utilities Solution Overview.</w:t>
      </w:r>
    </w:p>
    <w:p>
      <w:pPr>
        <w:numPr>
          <w:ilvl w:val="0"/>
          <w:numId w:val="1056"/>
        </w:numPr>
      </w:pPr>
      <w:r>
        <w:rPr>
          <w:b/>
          <w:bCs/>
        </w:rPr>
        <w:t xml:space="preserve">Cox, D.</w:t>
      </w:r>
      <w:r>
        <w:t xml:space="preserve"> </w:t>
      </w:r>
      <w:r>
        <w:t xml:space="preserve">R. (1972). Regression models and life-tables. Journal of the Royal Statistical Society: Series B (Methodological), 34(2), 187-202.</w:t>
      </w:r>
    </w:p>
    <w:p>
      <w:pPr>
        <w:numPr>
          <w:ilvl w:val="0"/>
          <w:numId w:val="1056"/>
        </w:numPr>
      </w:pPr>
      <w:r>
        <w:rPr>
          <w:b/>
          <w:bCs/>
        </w:rPr>
        <w:t xml:space="preserve">Culnan, M.</w:t>
      </w:r>
      <w:r>
        <w:t xml:space="preserve"> </w:t>
      </w:r>
      <w:r>
        <w:t xml:space="preserve">J., &amp; Armstrong, P. K. (1999). Information privacy concerns, procedural fairness, and impersonal trust. Organization Science, 10(1), 104-115.</w:t>
      </w:r>
    </w:p>
    <w:p>
      <w:pPr>
        <w:numPr>
          <w:ilvl w:val="0"/>
          <w:numId w:val="1056"/>
        </w:numPr>
      </w:pPr>
      <w:r>
        <w:rPr>
          <w:b/>
          <w:bCs/>
        </w:rPr>
        <w:t xml:space="preserve">de Zambotti, M., Rosas, L., Colrain, I.</w:t>
      </w:r>
      <w:r>
        <w:t xml:space="preserve"> </w:t>
      </w:r>
      <w:r>
        <w:t xml:space="preserve">M., &amp; Baker, F. C. (2017). The Sleep of the Ring: Comparison of the Oura Sleep Tracker Against Polysomnography. Behavioral Sleep Medicine, 1-15.</w:t>
      </w:r>
    </w:p>
    <w:p>
      <w:pPr>
        <w:numPr>
          <w:ilvl w:val="0"/>
          <w:numId w:val="1056"/>
        </w:numPr>
      </w:pPr>
      <w:r>
        <w:rPr>
          <w:b/>
          <w:bCs/>
        </w:rPr>
        <w:t xml:space="preserve">Deloitte.</w:t>
      </w:r>
      <w:r>
        <w:t xml:space="preserve"> </w:t>
      </w:r>
      <w:r>
        <w:t xml:space="preserve">(2024). Insurance outlook 2024: Navigating transformation through technology and innovation. Deloitte Center for Financial Services.</w:t>
      </w:r>
    </w:p>
    <w:p>
      <w:pPr>
        <w:numPr>
          <w:ilvl w:val="0"/>
          <w:numId w:val="1056"/>
        </w:numPr>
      </w:pPr>
      <w:r>
        <w:rPr>
          <w:b/>
          <w:bCs/>
        </w:rPr>
        <w:t xml:space="preserve">Dinev, T., &amp; Hart, P.</w:t>
      </w:r>
      <w:r>
        <w:t xml:space="preserve"> </w:t>
      </w:r>
      <w:r>
        <w:t xml:space="preserve">(2006). An extended privacy calculus model for e-commerce transactions. Information Systems Research, 17(1), 61-80.</w:t>
      </w:r>
    </w:p>
    <w:p>
      <w:pPr>
        <w:numPr>
          <w:ilvl w:val="0"/>
          <w:numId w:val="1056"/>
        </w:numPr>
      </w:pPr>
      <w:r>
        <w:rPr>
          <w:b/>
          <w:bCs/>
        </w:rPr>
        <w:t xml:space="preserve">Discovery Health.</w:t>
      </w:r>
      <w:r>
        <w:t xml:space="preserve"> </w:t>
      </w:r>
      <w:r>
        <w:t xml:space="preserve">(2020). Vitality Digital Innovation Report. Discovery Limited, Johannesburg.</w:t>
      </w:r>
    </w:p>
    <w:p>
      <w:pPr>
        <w:numPr>
          <w:ilvl w:val="0"/>
          <w:numId w:val="1056"/>
        </w:numPr>
      </w:pPr>
      <w:r>
        <w:rPr>
          <w:b/>
          <w:bCs/>
        </w:rPr>
        <w:t xml:space="preserve">Egyptian Financial Regulatory Authority (FRA).</w:t>
      </w:r>
      <w:r>
        <w:t xml:space="preserve"> </w:t>
      </w:r>
      <w:r>
        <w:t xml:space="preserve">(2022). Annual Statistical Report on Insurance Activities. Cairo, Egypt.</w:t>
      </w:r>
    </w:p>
    <w:p>
      <w:pPr>
        <w:numPr>
          <w:ilvl w:val="0"/>
          <w:numId w:val="1056"/>
        </w:numPr>
      </w:pPr>
      <w:r>
        <w:rPr>
          <w:b/>
          <w:bCs/>
        </w:rPr>
        <w:t xml:space="preserve">EIOPA.</w:t>
      </w:r>
      <w:r>
        <w:t xml:space="preserve"> </w:t>
      </w:r>
      <w:r>
        <w:t xml:space="preserve">(2024). Guidelines on the Use of Artificial Intelligence in Insurance. EIOPA Publications.</w:t>
      </w:r>
    </w:p>
    <w:p>
      <w:pPr>
        <w:numPr>
          <w:ilvl w:val="0"/>
          <w:numId w:val="1056"/>
        </w:numPr>
      </w:pPr>
      <w:r>
        <w:rPr>
          <w:b/>
          <w:bCs/>
        </w:rPr>
        <w:t xml:space="preserve">Erdaş, Ç.</w:t>
      </w:r>
      <w:r>
        <w:t xml:space="preserve"> </w:t>
      </w:r>
      <w:r>
        <w:t xml:space="preserve">B., &amp; Güney, S. (2021). Human Activity Recognition by Using Different Deep Learning Approaches for Wearable Sensors.</w:t>
      </w:r>
    </w:p>
    <w:p>
      <w:pPr>
        <w:numPr>
          <w:ilvl w:val="0"/>
          <w:numId w:val="1056"/>
        </w:numPr>
      </w:pPr>
      <w:r>
        <w:rPr>
          <w:b/>
          <w:bCs/>
        </w:rPr>
        <w:t xml:space="preserve">European Union.</w:t>
      </w:r>
      <w:r>
        <w:t xml:space="preserve"> </w:t>
      </w:r>
      <w:r>
        <w:t xml:space="preserve">(2018). General Data Protection Regulation (GDPR). Regulation (EU) 2016/679.</w:t>
      </w:r>
    </w:p>
    <w:p>
      <w:pPr>
        <w:numPr>
          <w:ilvl w:val="0"/>
          <w:numId w:val="1056"/>
        </w:numPr>
      </w:pPr>
      <w:r>
        <w:rPr>
          <w:b/>
          <w:bCs/>
        </w:rPr>
        <w:t xml:space="preserve">FinTech Global.</w:t>
      </w:r>
      <w:r>
        <w:t xml:space="preserve"> </w:t>
      </w:r>
      <w:r>
        <w:t xml:space="preserve">(2019). Global InsurTech Funding Tops $3bn in 2018.</w:t>
      </w:r>
    </w:p>
    <w:p>
      <w:pPr>
        <w:numPr>
          <w:ilvl w:val="0"/>
          <w:numId w:val="1056"/>
        </w:numPr>
      </w:pPr>
      <w:r>
        <w:rPr>
          <w:b/>
          <w:bCs/>
        </w:rPr>
        <w:t xml:space="preserve">Gen Re.</w:t>
      </w:r>
      <w:r>
        <w:t xml:space="preserve"> </w:t>
      </w:r>
      <w:r>
        <w:t xml:space="preserve">(2021). Wearables and Health Insurance: A German Consumer Study. Gen Reinsurance Research, Cologne.</w:t>
      </w:r>
    </w:p>
    <w:p>
      <w:pPr>
        <w:numPr>
          <w:ilvl w:val="0"/>
          <w:numId w:val="1056"/>
        </w:numPr>
      </w:pPr>
      <w:r>
        <w:rPr>
          <w:b/>
          <w:bCs/>
        </w:rPr>
        <w:t xml:space="preserve">Generali.</w:t>
      </w:r>
      <w:r>
        <w:t xml:space="preserve"> </w:t>
      </w:r>
      <w:r>
        <w:t xml:space="preserve">(2023). Annual Report: Vitality Program Performance. Generali Group, Trieste.</w:t>
      </w:r>
    </w:p>
    <w:p>
      <w:pPr>
        <w:numPr>
          <w:ilvl w:val="0"/>
          <w:numId w:val="1056"/>
        </w:numPr>
      </w:pPr>
      <w:r>
        <w:rPr>
          <w:b/>
          <w:bCs/>
        </w:rPr>
        <w:t xml:space="preserve">GlobalData.</w:t>
      </w:r>
      <w:r>
        <w:t xml:space="preserve"> </w:t>
      </w:r>
      <w:r>
        <w:t xml:space="preserve">(2022). Consumer Insurance Survey: Attitudes Towards Wearable Technology in Insurance. GlobalData Financial Services, London.</w:t>
      </w:r>
    </w:p>
    <w:p>
      <w:pPr>
        <w:numPr>
          <w:ilvl w:val="0"/>
          <w:numId w:val="1056"/>
        </w:numPr>
      </w:pPr>
      <w:r>
        <w:rPr>
          <w:b/>
          <w:bCs/>
        </w:rPr>
        <w:t xml:space="preserve">GSMA.</w:t>
      </w:r>
      <w:r>
        <w:t xml:space="preserve"> </w:t>
      </w:r>
      <w:r>
        <w:t xml:space="preserve">(2024). Mobile Economy Middle East and North Africa 2024. GSMA Intelligence, London.</w:t>
      </w:r>
    </w:p>
    <w:p>
      <w:pPr>
        <w:numPr>
          <w:ilvl w:val="0"/>
          <w:numId w:val="1056"/>
        </w:numPr>
      </w:pPr>
      <w:r>
        <w:rPr>
          <w:b/>
          <w:bCs/>
        </w:rPr>
        <w:t xml:space="preserve">Hafner, M., Pollard, J., &amp; Van Stolk, C.</w:t>
      </w:r>
      <w:r>
        <w:t xml:space="preserve"> </w:t>
      </w:r>
      <w:r>
        <w:t xml:space="preserve">(2018). Incentives and Physical Activity: An Assessment of the Association Between Vitality’s Active Rewards and Apple Watch Benefit. Rand Corporation.</w:t>
      </w:r>
    </w:p>
    <w:p>
      <w:pPr>
        <w:numPr>
          <w:ilvl w:val="0"/>
          <w:numId w:val="1056"/>
        </w:numPr>
      </w:pPr>
      <w:r>
        <w:rPr>
          <w:b/>
          <w:bCs/>
        </w:rPr>
        <w:t xml:space="preserve">Henckaerts, R., Côte, M.</w:t>
      </w:r>
      <w:r>
        <w:t xml:space="preserve"> </w:t>
      </w:r>
      <w:r>
        <w:t xml:space="preserve">P., Antonio, K., &amp; Verbelen, R. (2018). Boosting insights in insurance tariff plans with tree-based machine learning methods. North American Actuarial Journal, 22(2), 255-285.</w:t>
      </w:r>
    </w:p>
    <w:p>
      <w:pPr>
        <w:numPr>
          <w:ilvl w:val="0"/>
          <w:numId w:val="1056"/>
        </w:numPr>
      </w:pPr>
      <w:r>
        <w:rPr>
          <w:b/>
          <w:bCs/>
        </w:rPr>
        <w:t xml:space="preserve">Horvath, S.</w:t>
      </w:r>
      <w:r>
        <w:t xml:space="preserve"> </w:t>
      </w:r>
      <w:r>
        <w:t xml:space="preserve">(2013). DNA methylation age of human tissues and cell types. Genome Biology, 14(10), R115.</w:t>
      </w:r>
    </w:p>
    <w:p>
      <w:pPr>
        <w:numPr>
          <w:ilvl w:val="0"/>
          <w:numId w:val="1056"/>
        </w:numPr>
      </w:pPr>
      <w:r>
        <w:rPr>
          <w:b/>
          <w:bCs/>
        </w:rPr>
        <w:t xml:space="preserve">International Diabetes Federation (IDF).</w:t>
      </w:r>
      <w:r>
        <w:t xml:space="preserve"> </w:t>
      </w:r>
      <w:r>
        <w:t xml:space="preserve">(2023). IDF Diabetes Atlas 10th Edition. IDF Publications, Brussels.</w:t>
      </w:r>
    </w:p>
    <w:p>
      <w:pPr>
        <w:numPr>
          <w:ilvl w:val="0"/>
          <w:numId w:val="1056"/>
        </w:numPr>
      </w:pPr>
      <w:r>
        <w:rPr>
          <w:b/>
          <w:bCs/>
        </w:rPr>
        <w:t xml:space="preserve">John Hancock.</w:t>
      </w:r>
      <w:r>
        <w:t xml:space="preserve"> </w:t>
      </w:r>
      <w:r>
        <w:t xml:space="preserve">(2018). John Hancock Adds Interactive Element to All New Life Insurance Policies. Press Release, Boston, MA.</w:t>
      </w:r>
    </w:p>
    <w:p>
      <w:pPr>
        <w:numPr>
          <w:ilvl w:val="0"/>
          <w:numId w:val="1056"/>
        </w:numPr>
      </w:pPr>
      <w:r>
        <w:rPr>
          <w:b/>
          <w:bCs/>
        </w:rPr>
        <w:t xml:space="preserve">Kahneman, D., &amp; Tversky, A.</w:t>
      </w:r>
      <w:r>
        <w:t xml:space="preserve"> </w:t>
      </w:r>
      <w:r>
        <w:t xml:space="preserve">(1979). Prospect theory: An analysis of decision under risk. Econometrica, 47(2), 263-291.</w:t>
      </w:r>
    </w:p>
    <w:p>
      <w:pPr>
        <w:numPr>
          <w:ilvl w:val="0"/>
          <w:numId w:val="1056"/>
        </w:numPr>
      </w:pPr>
      <w:r>
        <w:rPr>
          <w:b/>
          <w:bCs/>
        </w:rPr>
        <w:t xml:space="preserve">Katzman, J.</w:t>
      </w:r>
      <w:r>
        <w:t xml:space="preserve"> </w:t>
      </w:r>
      <w:r>
        <w:t xml:space="preserve">L., Shaham, U., Cloninger, A., Bates, J., Jiang, T., &amp; Kluger, Y. (2018). DeepSurv: Personalized treatment recommender system using a Cox proportional hazards deep neural network. BMC Medical Research Methodology, 18(1), 24.</w:t>
      </w:r>
    </w:p>
    <w:p>
      <w:pPr>
        <w:numPr>
          <w:ilvl w:val="0"/>
          <w:numId w:val="1056"/>
        </w:numPr>
      </w:pPr>
      <w:r>
        <w:rPr>
          <w:b/>
          <w:bCs/>
        </w:rPr>
        <w:t xml:space="preserve">Levine, M.</w:t>
      </w:r>
      <w:r>
        <w:t xml:space="preserve"> </w:t>
      </w:r>
      <w:r>
        <w:t xml:space="preserve">E., Lu, A. T., Quach, A., Chen, B. H., Assimes, T. L., Bandinelli, S., ... &amp; Horvath, S. (2018). An epigenetic biomarker of aging for lifespan and healthspan. Aging (Albany NY), 10(4), 573.</w:t>
      </w:r>
    </w:p>
    <w:p>
      <w:pPr>
        <w:numPr>
          <w:ilvl w:val="0"/>
          <w:numId w:val="1056"/>
        </w:numPr>
      </w:pPr>
      <w:r>
        <w:rPr>
          <w:b/>
          <w:bCs/>
        </w:rPr>
        <w:t xml:space="preserve">Li, X., Dunn, J., Salins, D., et al.</w:t>
      </w:r>
      <w:r>
        <w:t xml:space="preserve"> </w:t>
      </w:r>
      <w:r>
        <w:t xml:space="preserve">(2017). Digital Health: Tracking Physiomes and Activity Using Wearable Biosensors Reveals Useful Health-Related Information. PLoS Biology.</w:t>
      </w:r>
    </w:p>
    <w:p>
      <w:pPr>
        <w:numPr>
          <w:ilvl w:val="0"/>
          <w:numId w:val="1056"/>
        </w:numPr>
      </w:pPr>
      <w:r>
        <w:rPr>
          <w:b/>
          <w:bCs/>
        </w:rPr>
        <w:t xml:space="preserve">LIMRA/LOMA.</w:t>
      </w:r>
      <w:r>
        <w:t xml:space="preserve"> </w:t>
      </w:r>
      <w:r>
        <w:t xml:space="preserve">(2024). 2024 Insurance Barometer Study: Consumer Attitudes on Wellness Programs. LIMRA Research, Hartford, CT.</w:t>
      </w:r>
    </w:p>
    <w:p>
      <w:pPr>
        <w:numPr>
          <w:ilvl w:val="0"/>
          <w:numId w:val="1056"/>
        </w:numPr>
      </w:pPr>
      <w:r>
        <w:rPr>
          <w:b/>
          <w:bCs/>
        </w:rPr>
        <w:t xml:space="preserve">Lundberg, S.</w:t>
      </w:r>
      <w:r>
        <w:t xml:space="preserve"> </w:t>
      </w:r>
      <w:r>
        <w:t xml:space="preserve">M., &amp; Lee, S. I. (2017). A unified approach to interpreting model predictions (SHAP). Advances in Neural Information Processing Systems, 30.</w:t>
      </w:r>
    </w:p>
    <w:p>
      <w:pPr>
        <w:numPr>
          <w:ilvl w:val="0"/>
          <w:numId w:val="1056"/>
        </w:numPr>
      </w:pPr>
      <w:r>
        <w:rPr>
          <w:b/>
          <w:bCs/>
        </w:rPr>
        <w:t xml:space="preserve">Majumder, S., Mondal, T., &amp; Deen, M.</w:t>
      </w:r>
      <w:r>
        <w:t xml:space="preserve"> </w:t>
      </w:r>
      <w:r>
        <w:t xml:space="preserve">J. (2017). Wearable sensors for remote health monitoring. Sensors, 17(1), 130.</w:t>
      </w:r>
    </w:p>
    <w:p>
      <w:pPr>
        <w:numPr>
          <w:ilvl w:val="0"/>
          <w:numId w:val="1056"/>
        </w:numPr>
      </w:pPr>
      <w:r>
        <w:rPr>
          <w:b/>
          <w:bCs/>
        </w:rPr>
        <w:t xml:space="preserve">McCrea, M., &amp; Farrell, M.</w:t>
      </w:r>
      <w:r>
        <w:t xml:space="preserve"> </w:t>
      </w:r>
      <w:r>
        <w:t xml:space="preserve">(2018). A conceptual model for pricing health and life insurance using wearable technology. Risk Management and Insurance Review, 21(3), 389-411.</w:t>
      </w:r>
      <w:r>
        <w:t xml:space="preserve"> </w:t>
      </w:r>
      <w:hyperlink r:id="rId14">
        <w:r>
          <w:rPr>
            <w:rStyle w:val="Hyperlink"/>
          </w:rPr>
          <w:t xml:space="preserve">https://doi.org/10.1111/rmir.12104</w:t>
        </w:r>
      </w:hyperlink>
    </w:p>
    <w:p>
      <w:pPr>
        <w:numPr>
          <w:ilvl w:val="0"/>
          <w:numId w:val="1056"/>
        </w:numPr>
      </w:pPr>
      <w:r>
        <w:rPr>
          <w:b/>
          <w:bCs/>
        </w:rPr>
        <w:t xml:space="preserve">McKinsey &amp; Company.</w:t>
      </w:r>
      <w:r>
        <w:t xml:space="preserve"> </w:t>
      </w:r>
      <w:r>
        <w:t xml:space="preserve">(2023). The future of insurance: How artificial intelligence is transforming the industry. McKinsey Global Institute.</w:t>
      </w:r>
    </w:p>
    <w:p>
      <w:pPr>
        <w:numPr>
          <w:ilvl w:val="0"/>
          <w:numId w:val="1056"/>
        </w:numPr>
      </w:pPr>
      <w:r>
        <w:rPr>
          <w:b/>
          <w:bCs/>
        </w:rPr>
        <w:t xml:space="preserve">Missov, T., Németh, L., &amp; Dańko, M.</w:t>
      </w:r>
      <w:r>
        <w:t xml:space="preserve"> </w:t>
      </w:r>
      <w:r>
        <w:t xml:space="preserve">(2016). How much can we trust life tables? Sensitivity of mortality measures to right-censoring treatment. Palgrave Communications, 2, 15049.</w:t>
      </w:r>
    </w:p>
    <w:p>
      <w:pPr>
        <w:numPr>
          <w:ilvl w:val="0"/>
          <w:numId w:val="1056"/>
        </w:numPr>
      </w:pPr>
      <w:r>
        <w:rPr>
          <w:b/>
          <w:bCs/>
        </w:rPr>
        <w:t xml:space="preserve">NAIC.</w:t>
      </w:r>
      <w:r>
        <w:t xml:space="preserve"> </w:t>
      </w:r>
      <w:r>
        <w:t xml:space="preserve">(2023). Model Bulletin on the Use of Artificial Intelligence in Insurance. NAIC Publications.</w:t>
      </w:r>
    </w:p>
    <w:p>
      <w:pPr>
        <w:numPr>
          <w:ilvl w:val="0"/>
          <w:numId w:val="1056"/>
        </w:numPr>
      </w:pPr>
      <w:r>
        <w:rPr>
          <w:b/>
          <w:bCs/>
        </w:rPr>
        <w:t xml:space="preserve">National Institute for Health and Care Excellence (NICE).</w:t>
      </w:r>
      <w:r>
        <w:t xml:space="preserve"> </w:t>
      </w:r>
      <w:r>
        <w:t xml:space="preserve">(2014). Behavior Change: Individual Changes. Public Health Guideline.</w:t>
      </w:r>
    </w:p>
    <w:p>
      <w:pPr>
        <w:numPr>
          <w:ilvl w:val="0"/>
          <w:numId w:val="1056"/>
        </w:numPr>
      </w:pPr>
      <w:r>
        <w:rPr>
          <w:b/>
          <w:bCs/>
        </w:rPr>
        <w:t xml:space="preserve">Nienaber, A.</w:t>
      </w:r>
      <w:r>
        <w:t xml:space="preserve"> </w:t>
      </w:r>
      <w:r>
        <w:t xml:space="preserve">M., Hofeditz, M., &amp; Searle, R. (2023). Trust and willingness to share personal health data with insurers. Journal of Risk and Insurance, 90(2), 389-418.</w:t>
      </w:r>
    </w:p>
    <w:p>
      <w:pPr>
        <w:numPr>
          <w:ilvl w:val="0"/>
          <w:numId w:val="1056"/>
        </w:numPr>
      </w:pPr>
      <w:r>
        <w:rPr>
          <w:b/>
          <w:bCs/>
        </w:rPr>
        <w:t xml:space="preserve">O'Neil, C.</w:t>
      </w:r>
      <w:r>
        <w:t xml:space="preserve"> </w:t>
      </w:r>
      <w:r>
        <w:t xml:space="preserve">(2016). Weapons of math destruction: How big data increases inequality and threatens democracy. Crown.</w:t>
      </w:r>
    </w:p>
    <w:p>
      <w:pPr>
        <w:numPr>
          <w:ilvl w:val="0"/>
          <w:numId w:val="1056"/>
        </w:numPr>
      </w:pPr>
      <w:r>
        <w:rPr>
          <w:b/>
          <w:bCs/>
        </w:rPr>
        <w:t xml:space="preserve">Park, S., Choi, J., Lee, S., et al.</w:t>
      </w:r>
      <w:r>
        <w:t xml:space="preserve"> </w:t>
      </w:r>
      <w:r>
        <w:t xml:space="preserve">(2021). Determinants of consumers' adoption of wearable-based health insurance. JMIR mHealth and uHealth, 9(9), e14074.</w:t>
      </w:r>
      <w:r>
        <w:t xml:space="preserve"> </w:t>
      </w:r>
      <w:hyperlink r:id="rId15">
        <w:r>
          <w:rPr>
            <w:rStyle w:val="Hyperlink"/>
          </w:rPr>
          <w:t xml:space="preserve">https://doi.org/10.2196/14074</w:t>
        </w:r>
      </w:hyperlink>
    </w:p>
    <w:p>
      <w:pPr>
        <w:numPr>
          <w:ilvl w:val="0"/>
          <w:numId w:val="1056"/>
        </w:numPr>
      </w:pPr>
      <w:r>
        <w:rPr>
          <w:b/>
          <w:bCs/>
        </w:rPr>
        <w:t xml:space="preserve">Pyrkov, T.</w:t>
      </w:r>
      <w:r>
        <w:t xml:space="preserve"> </w:t>
      </w:r>
      <w:r>
        <w:t xml:space="preserve">V., Slipensky, K., Barg, M., et al. (2021). Extracting biological age from biomedical data via deep learning: Too much of a good thing? Scientific Reports, 11, 5210.</w:t>
      </w:r>
      <w:r>
        <w:t xml:space="preserve"> </w:t>
      </w:r>
      <w:hyperlink r:id="rId16">
        <w:r>
          <w:rPr>
            <w:rStyle w:val="Hyperlink"/>
          </w:rPr>
          <w:t xml:space="preserve">https://doi.org/10.1038/s41598-021-84345-3</w:t>
        </w:r>
      </w:hyperlink>
    </w:p>
    <w:p>
      <w:pPr>
        <w:numPr>
          <w:ilvl w:val="0"/>
          <w:numId w:val="1056"/>
        </w:numPr>
      </w:pPr>
      <w:r>
        <w:rPr>
          <w:b/>
          <w:bCs/>
        </w:rPr>
        <w:t xml:space="preserve">Richman, R.</w:t>
      </w:r>
      <w:r>
        <w:t xml:space="preserve"> </w:t>
      </w:r>
      <w:r>
        <w:t xml:space="preserve">(2021). Machine learning with applications in actuarial science. North American Actuarial Journal, 25(sup1), S315-S321.</w:t>
      </w:r>
    </w:p>
    <w:p>
      <w:pPr>
        <w:numPr>
          <w:ilvl w:val="0"/>
          <w:numId w:val="1056"/>
        </w:numPr>
      </w:pPr>
      <w:r>
        <w:rPr>
          <w:b/>
          <w:bCs/>
        </w:rPr>
        <w:t xml:space="preserve">Schrack, J.</w:t>
      </w:r>
      <w:r>
        <w:t xml:space="preserve"> </w:t>
      </w:r>
      <w:r>
        <w:t xml:space="preserve">A., Cooper, R., Al-Ghatrif, M., ... &amp; NHANES Consortium. (2018). Calibrating the NHANES wrist-worn accelerometer to estimate physical activity in older adults. Journal of Gerontology: Series A, 73(10).</w:t>
      </w:r>
    </w:p>
    <w:p>
      <w:pPr>
        <w:numPr>
          <w:ilvl w:val="0"/>
          <w:numId w:val="1056"/>
        </w:numPr>
      </w:pPr>
      <w:r>
        <w:rPr>
          <w:b/>
          <w:bCs/>
        </w:rPr>
        <w:t xml:space="preserve">Shim, J., Kim, H., Youn, J., et al.</w:t>
      </w:r>
      <w:r>
        <w:t xml:space="preserve"> </w:t>
      </w:r>
      <w:r>
        <w:t xml:space="preserve">(2023). Wearable-based accelerometer activity profile as digital biomarker of inflammation, biological age, and mortality using hierarchical clustering analysis in NHANES 2011-2014. Nature Communications, 14, 7832.</w:t>
      </w:r>
      <w:r>
        <w:t xml:space="preserve"> </w:t>
      </w:r>
      <w:hyperlink r:id="rId17">
        <w:r>
          <w:rPr>
            <w:rStyle w:val="Hyperlink"/>
          </w:rPr>
          <w:t xml:space="preserve">https://doi.org/10.1038/s41467-023-43681-6</w:t>
        </w:r>
      </w:hyperlink>
    </w:p>
    <w:p>
      <w:pPr>
        <w:numPr>
          <w:ilvl w:val="0"/>
          <w:numId w:val="1056"/>
        </w:numPr>
      </w:pPr>
      <w:r>
        <w:rPr>
          <w:b/>
          <w:bCs/>
        </w:rPr>
        <w:t xml:space="preserve">Spender, A., Bullen, C., Altmann-Richer, L., et al.</w:t>
      </w:r>
      <w:r>
        <w:t xml:space="preserve"> </w:t>
      </w:r>
      <w:r>
        <w:t xml:space="preserve">(2018). Wearables and the internet of things: considerations for the life and health insurance industry. British Actuarial Journal, 24, e22.</w:t>
      </w:r>
    </w:p>
    <w:p>
      <w:pPr>
        <w:numPr>
          <w:ilvl w:val="0"/>
          <w:numId w:val="1056"/>
        </w:numPr>
      </w:pPr>
      <w:r>
        <w:rPr>
          <w:b/>
          <w:bCs/>
        </w:rPr>
        <w:t xml:space="preserve">Statista.</w:t>
      </w:r>
      <w:r>
        <w:t xml:space="preserve"> </w:t>
      </w:r>
      <w:r>
        <w:t xml:space="preserve">(2018). Impact of health insurance on the use of connected health devices in Japan.</w:t>
      </w:r>
    </w:p>
    <w:p>
      <w:pPr>
        <w:numPr>
          <w:ilvl w:val="0"/>
          <w:numId w:val="1056"/>
        </w:numPr>
      </w:pPr>
      <w:r>
        <w:rPr>
          <w:b/>
          <w:bCs/>
        </w:rPr>
        <w:t xml:space="preserve">Statista.</w:t>
      </w:r>
      <w:r>
        <w:t xml:space="preserve"> </w:t>
      </w:r>
      <w:r>
        <w:t xml:space="preserve">(2019). Willingness to use insurance technologies for cheaper premium by technology U.S.</w:t>
      </w:r>
    </w:p>
    <w:p>
      <w:pPr>
        <w:numPr>
          <w:ilvl w:val="0"/>
          <w:numId w:val="1056"/>
        </w:numPr>
      </w:pPr>
      <w:r>
        <w:rPr>
          <w:b/>
          <w:bCs/>
        </w:rPr>
        <w:t xml:space="preserve">Statista.</w:t>
      </w:r>
      <w:r>
        <w:t xml:space="preserve"> </w:t>
      </w:r>
      <w:r>
        <w:t xml:space="preserve">(2021). Clinician's opinions on wearables use lowering health premiums by 2031.</w:t>
      </w:r>
    </w:p>
    <w:p>
      <w:pPr>
        <w:numPr>
          <w:ilvl w:val="0"/>
          <w:numId w:val="1056"/>
        </w:numPr>
      </w:pPr>
      <w:r>
        <w:rPr>
          <w:b/>
          <w:bCs/>
        </w:rPr>
        <w:t xml:space="preserve">Swiss Re.</w:t>
      </w:r>
      <w:r>
        <w:t xml:space="preserve"> </w:t>
      </w:r>
      <w:r>
        <w:t xml:space="preserve">(2024). Global Insurance Market Outlook 2024. Swiss Re Institute, Zurich.</w:t>
      </w:r>
    </w:p>
    <w:p>
      <w:pPr>
        <w:numPr>
          <w:ilvl w:val="0"/>
          <w:numId w:val="1056"/>
        </w:numPr>
      </w:pPr>
      <w:r>
        <w:rPr>
          <w:b/>
          <w:bCs/>
        </w:rPr>
        <w:t xml:space="preserve">Thaler, R.</w:t>
      </w:r>
      <w:r>
        <w:t xml:space="preserve"> </w:t>
      </w:r>
      <w:r>
        <w:t xml:space="preserve">H., &amp; Sunstein, C. R. (2008). Nudge: Improving decisions about health, wealth, and happiness. Yale University Press.</w:t>
      </w:r>
    </w:p>
    <w:p>
      <w:pPr>
        <w:numPr>
          <w:ilvl w:val="0"/>
          <w:numId w:val="1056"/>
        </w:numPr>
      </w:pPr>
      <w:r>
        <w:rPr>
          <w:b/>
          <w:bCs/>
        </w:rPr>
        <w:t xml:space="preserve">ValuePenguin.</w:t>
      </w:r>
      <w:r>
        <w:t xml:space="preserve"> </w:t>
      </w:r>
      <w:r>
        <w:t xml:space="preserve">(2022). Fitness Trackers and Health Insurance Discounts Survey. LendingTree Research, Charlotte, NC.</w:t>
      </w:r>
    </w:p>
    <w:p>
      <w:pPr>
        <w:numPr>
          <w:ilvl w:val="0"/>
          <w:numId w:val="1056"/>
        </w:numPr>
      </w:pPr>
      <w:r>
        <w:rPr>
          <w:b/>
          <w:bCs/>
        </w:rPr>
        <w:t xml:space="preserve">Vaupel, J.</w:t>
      </w:r>
      <w:r>
        <w:t xml:space="preserve"> </w:t>
      </w:r>
      <w:r>
        <w:t xml:space="preserve">W., Manton, K. G., &amp; Stallard, E. (1979). The impact of heterogeneity in individual frailty on the dynamics of mortality. Demography, 16(3), 439-454.</w:t>
      </w:r>
    </w:p>
    <w:p>
      <w:pPr>
        <w:numPr>
          <w:ilvl w:val="0"/>
          <w:numId w:val="1056"/>
        </w:numPr>
      </w:pPr>
      <w:r>
        <w:rPr>
          <w:b/>
          <w:bCs/>
        </w:rPr>
        <w:t xml:space="preserve">Vitality Group &amp; London School of Economics.</w:t>
      </w:r>
      <w:r>
        <w:t xml:space="preserve"> </w:t>
      </w:r>
      <w:r>
        <w:t xml:space="preserve">(2023). Seven-Year Impact Study: Wearables and Mortality Outcomes. LSE Health Working Paper.</w:t>
      </w:r>
    </w:p>
    <w:p>
      <w:pPr>
        <w:numPr>
          <w:ilvl w:val="0"/>
          <w:numId w:val="1056"/>
        </w:numPr>
      </w:pPr>
      <w:r>
        <w:rPr>
          <w:b/>
          <w:bCs/>
        </w:rPr>
        <w:t xml:space="preserve">Volpp, K.</w:t>
      </w:r>
      <w:r>
        <w:t xml:space="preserve"> </w:t>
      </w:r>
      <w:r>
        <w:t xml:space="preserve">G., Asch, D. A., Galvin, R., &amp; Loewenstein, G. (2011). Redesigning Employee Health Incentives—Lessons from Behavioral Economics. New England Journal of Medicine, 365, 388-390.</w:t>
      </w:r>
    </w:p>
    <w:p>
      <w:pPr>
        <w:numPr>
          <w:ilvl w:val="0"/>
          <w:numId w:val="1056"/>
        </w:numPr>
      </w:pPr>
      <w:r>
        <w:rPr>
          <w:b/>
          <w:bCs/>
        </w:rPr>
        <w:t xml:space="preserve">Wüthrich, M.</w:t>
      </w:r>
      <w:r>
        <w:t xml:space="preserve"> </w:t>
      </w:r>
      <w:r>
        <w:t xml:space="preserve">V., &amp; Merz, M. (2023). Statistical foundations of actuarial learning and its applications. Springer Actuarial.</w:t>
      </w:r>
    </w:p>
    <w:p>
      <w:pPr>
        <w:numPr>
          <w:ilvl w:val="0"/>
          <w:numId w:val="1056"/>
        </w:numPr>
      </w:pPr>
      <w:r>
        <w:rPr>
          <w:b/>
          <w:bCs/>
        </w:rPr>
        <w:t xml:space="preserve">Xu, H., Luo, X., Carroll, J.</w:t>
      </w:r>
      <w:r>
        <w:t xml:space="preserve"> </w:t>
      </w:r>
      <w:r>
        <w:t xml:space="preserve">M., &amp; Rosson, M. B. (2011). The personalization privacy paradox. Information Technology &amp; People, 24(4), 315-334.</w:t>
      </w:r>
    </w:p>
    <w:p>
      <w:pPr>
        <w:numPr>
          <w:ilvl w:val="0"/>
          <w:numId w:val="1056"/>
        </w:numPr>
      </w:pPr>
      <w:r>
        <w:rPr>
          <w:b/>
          <w:bCs/>
        </w:rPr>
        <w:t xml:space="preserve">Gartner Research.</w:t>
      </w:r>
      <w:r>
        <w:t xml:space="preserve"> </w:t>
      </w:r>
      <w:r>
        <w:t xml:space="preserve">(2023). Predicts 2024: Synthetic Data Will Accelerate AI. Gartner Inc.</w:t>
      </w:r>
    </w:p>
    <w:p>
      <w:pPr>
        <w:numPr>
          <w:ilvl w:val="0"/>
          <w:numId w:val="1056"/>
        </w:numPr>
      </w:pPr>
      <w:r>
        <w:rPr>
          <w:b/>
          <w:bCs/>
        </w:rPr>
        <w:t xml:space="preserve">Walonoski, J., Kramer, M., Nichols, J., et al.</w:t>
      </w:r>
      <w:r>
        <w:t xml:space="preserve"> </w:t>
      </w:r>
      <w:r>
        <w:t xml:space="preserve">(2018). Synthea: An approach, method, and software mechanism for generating synthetic patients and the synthetic electronic health care record. Journal of the American Medical Informatics Association, 25(3), 230-238.</w:t>
      </w:r>
    </w:p>
    <w:p>
      <w:pPr>
        <w:numPr>
          <w:ilvl w:val="0"/>
          <w:numId w:val="1056"/>
        </w:numPr>
      </w:pPr>
      <w:r>
        <w:rPr>
          <w:b/>
          <w:bCs/>
        </w:rPr>
        <w:t xml:space="preserve">Tucker, A., Wang, Z., Rotalinti, Y., &amp; Myles, P.</w:t>
      </w:r>
      <w:r>
        <w:t xml:space="preserve"> </w:t>
      </w:r>
      <w:r>
        <w:t xml:space="preserve">(2020). Generating high-fidelity synthetic patient data for assessing machine learning healthcare software. NPJ Digital Medicine, 3, 147.</w:t>
      </w:r>
    </w:p>
    <w:p>
      <w:pPr>
        <w:numPr>
          <w:ilvl w:val="0"/>
          <w:numId w:val="1056"/>
        </w:numPr>
      </w:pPr>
      <w:r>
        <w:rPr>
          <w:b/>
          <w:bCs/>
        </w:rPr>
        <w:t xml:space="preserve">Chen, R. J., Lu, M. Y., Chen, T. Y., Williamson, D. F., &amp; Mahmood, F.</w:t>
      </w:r>
      <w:r>
        <w:t xml:space="preserve"> </w:t>
      </w:r>
      <w:r>
        <w:t xml:space="preserve">(2021). Synthetic data in machine learning for medicine and healthcare. Nature Biomedical Engineering, 5(6), 493-497.</w:t>
      </w:r>
    </w:p>
    <w:p>
      <w:pPr>
        <w:numPr>
          <w:ilvl w:val="0"/>
          <w:numId w:val="1056"/>
        </w:numPr>
      </w:pPr>
      <w:r>
        <w:rPr>
          <w:b/>
          <w:bCs/>
        </w:rPr>
        <w:t xml:space="preserve">BlueGen.ai.</w:t>
      </w:r>
      <w:r>
        <w:t xml:space="preserve"> </w:t>
      </w:r>
      <w:r>
        <w:t xml:space="preserve">(2024). Synthetic Data Quality Benchmark Report. BlueGen AI Research.</w:t>
      </w:r>
    </w:p>
    <w:p>
      <w:r>
        <w:pict>
          <v:rect style="width:0;height:1.5pt" o:hralign="center" o:hrstd="t" o:hr="t"/>
        </w:pict>
      </w:r>
    </w:p>
    <w:p>
      <w:pPr>
        <w:pStyle w:val="FirstParagraph"/>
      </w:pPr>
      <w:r>
        <w:rPr>
          <w:b/>
          <w:bCs/>
        </w:rPr>
        <w:t xml:space="preserve">APPENDICES</w:t>
      </w:r>
    </w:p>
    <w:p>
      <w:pPr>
        <w:pStyle w:val="BodyText"/>
      </w:pPr>
      <w:r>
        <w:rPr>
          <w:b/>
          <w:bCs/>
        </w:rPr>
        <w:t xml:space="preserve">Appendix A: Python Libraries and Environment Setup</w:t>
      </w:r>
    </w:p>
    <w:p>
      <w:pPr>
        <w:pStyle w:val="SourceCode"/>
      </w:pPr>
      <w:r>
        <w:rPr>
          <w:rStyle w:val="CommentTok"/>
        </w:rPr>
        <w:t xml:space="preserve"># Required Libraries for NHANES Data Processing and Model Development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lifelines </w:t>
      </w:r>
      <w:r>
        <w:rPr>
          <w:rStyle w:val="ImportTok"/>
        </w:rPr>
        <w:t xml:space="preserve">import</w:t>
      </w:r>
      <w:r>
        <w:rPr>
          <w:rStyle w:val="NormalTok"/>
        </w:rPr>
        <w:t xml:space="preserve"> CoxPHFitter</w:t>
      </w:r>
      <w:r>
        <w:br/>
      </w:r>
      <w:r>
        <w:rPr>
          <w:rStyle w:val="ImportTok"/>
        </w:rPr>
        <w:t xml:space="preserve">from</w:t>
      </w:r>
      <w:r>
        <w:rPr>
          <w:rStyle w:val="NormalTok"/>
        </w:rPr>
        <w:t xml:space="preserve"> pycox.models </w:t>
      </w:r>
      <w:r>
        <w:rPr>
          <w:rStyle w:val="ImportTok"/>
        </w:rPr>
        <w:t xml:space="preserve">import</w:t>
      </w:r>
      <w:r>
        <w:rPr>
          <w:rStyle w:val="NormalTok"/>
        </w:rPr>
        <w:t xml:space="preserve"> CoxPH</w:t>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CommentTok"/>
        </w:rPr>
        <w:t xml:space="preserve"># Environment</w:t>
      </w:r>
      <w:r>
        <w:br/>
      </w:r>
      <w:r>
        <w:rPr>
          <w:rStyle w:val="CommentTok"/>
        </w:rPr>
        <w:t xml:space="preserve"># Python 3.9+</w:t>
      </w:r>
      <w:r>
        <w:br/>
      </w:r>
      <w:r>
        <w:rPr>
          <w:rStyle w:val="CommentTok"/>
        </w:rPr>
        <w:t xml:space="preserve"># PyTorch 2.0+</w:t>
      </w:r>
      <w:r>
        <w:br/>
      </w:r>
      <w:r>
        <w:rPr>
          <w:rStyle w:val="CommentTok"/>
        </w:rPr>
        <w:t xml:space="preserve"># CUDA 11.8 (for GPU acceleration)</w:t>
      </w:r>
    </w:p>
    <w:p>
      <w:pPr>
        <w:pStyle w:val="FirstParagraph"/>
      </w:pPr>
      <w:r>
        <w:rPr>
          <w:b/>
          <w:bCs/>
        </w:rPr>
        <w:t xml:space="preserve">Appendix B: PhenoAge Calculation (Python Implementation)</w:t>
      </w:r>
    </w:p>
    <w:p>
      <w:pPr>
        <w:pStyle w:val="SourceCode"/>
      </w:pPr>
      <w:r>
        <w:rPr>
          <w:rStyle w:val="KeywordTok"/>
        </w:rPr>
        <w:t xml:space="preserve">def</w:t>
      </w:r>
      <w:r>
        <w:rPr>
          <w:rStyle w:val="NormalTok"/>
        </w:rPr>
        <w:t xml:space="preserve"> calculate_phenoage(albumin, creatinine, glucose, crp, lymph_pct, </w:t>
      </w:r>
      <w:r>
        <w:br/>
      </w:r>
      <w:r>
        <w:rPr>
          <w:rStyle w:val="NormalTok"/>
        </w:rPr>
        <w:t xml:space="preserve">                        mcv, rdw, alp, wbc, age):</w:t>
      </w:r>
      <w:r>
        <w:br/>
      </w:r>
      <w:r>
        <w:rPr>
          <w:rStyle w:val="NormalTok"/>
        </w:rPr>
        <w:t xml:space="preserve">    </w:t>
      </w:r>
      <w:r>
        <w:rPr>
          <w:rStyle w:val="CommentTok"/>
        </w:rPr>
        <w:t xml:space="preserve">"""</w:t>
      </w:r>
      <w:r>
        <w:br/>
      </w:r>
      <w:r>
        <w:rPr>
          <w:rStyle w:val="CommentTok"/>
        </w:rPr>
        <w:t xml:space="preserve">    Calculate Phenotypic Age using Levine et al. (2018) formula.</w:t>
      </w:r>
      <w:r>
        <w:br/>
      </w:r>
      <w:r>
        <w:rPr>
          <w:rStyle w:val="CommentTok"/>
        </w:rPr>
        <w:t xml:space="preserve">    </w:t>
      </w:r>
      <w:r>
        <w:br/>
      </w:r>
      <w:r>
        <w:rPr>
          <w:rStyle w:val="CommentTok"/>
        </w:rPr>
        <w:t xml:space="preserve">    Parameters:</w:t>
      </w:r>
      <w:r>
        <w:br/>
      </w:r>
      <w:r>
        <w:rPr>
          <w:rStyle w:val="CommentTok"/>
        </w:rPr>
        <w:t xml:space="preserve">    - albumin: g/dL</w:t>
      </w:r>
      <w:r>
        <w:br/>
      </w:r>
      <w:r>
        <w:rPr>
          <w:rStyle w:val="CommentTok"/>
        </w:rPr>
        <w:t xml:space="preserve">    - creatinine: mg/dL</w:t>
      </w:r>
      <w:r>
        <w:br/>
      </w:r>
      <w:r>
        <w:rPr>
          <w:rStyle w:val="CommentTok"/>
        </w:rPr>
        <w:t xml:space="preserve">    - glucose: mg/dL</w:t>
      </w:r>
      <w:r>
        <w:br/>
      </w:r>
      <w:r>
        <w:rPr>
          <w:rStyle w:val="CommentTok"/>
        </w:rPr>
        <w:t xml:space="preserve">    - crp: mg/L (will be log-transformed)</w:t>
      </w:r>
      <w:r>
        <w:br/>
      </w:r>
      <w:r>
        <w:rPr>
          <w:rStyle w:val="CommentTok"/>
        </w:rPr>
        <w:t xml:space="preserve">    - lymph_pct: %</w:t>
      </w:r>
      <w:r>
        <w:br/>
      </w:r>
      <w:r>
        <w:rPr>
          <w:rStyle w:val="CommentTok"/>
        </w:rPr>
        <w:t xml:space="preserve">    - mcv: fL</w:t>
      </w:r>
      <w:r>
        <w:br/>
      </w:r>
      <w:r>
        <w:rPr>
          <w:rStyle w:val="CommentTok"/>
        </w:rPr>
        <w:t xml:space="preserve">    - rdw: %</w:t>
      </w:r>
      <w:r>
        <w:br/>
      </w:r>
      <w:r>
        <w:rPr>
          <w:rStyle w:val="CommentTok"/>
        </w:rPr>
        <w:t xml:space="preserve">    - alp: U/L</w:t>
      </w:r>
      <w:r>
        <w:br/>
      </w:r>
      <w:r>
        <w:rPr>
          <w:rStyle w:val="CommentTok"/>
        </w:rPr>
        <w:t xml:space="preserve">    - wbc: 1000 cells/µL</w:t>
      </w:r>
      <w:r>
        <w:br/>
      </w:r>
      <w:r>
        <w:rPr>
          <w:rStyle w:val="CommentTok"/>
        </w:rPr>
        <w:t xml:space="preserve">    - age: years (chronological)</w:t>
      </w:r>
      <w:r>
        <w:br/>
      </w:r>
      <w:r>
        <w:rPr>
          <w:rStyle w:val="CommentTok"/>
        </w:rPr>
        <w:t xml:space="preserve">    </w:t>
      </w:r>
      <w:r>
        <w:br/>
      </w:r>
      <w:r>
        <w:rPr>
          <w:rStyle w:val="CommentTok"/>
        </w:rPr>
        <w:t xml:space="preserve">    Returns:</w:t>
      </w:r>
      <w:r>
        <w:br/>
      </w:r>
      <w:r>
        <w:rPr>
          <w:rStyle w:val="CommentTok"/>
        </w:rPr>
        <w:t xml:space="preserve">    - PhenoAge: years</w:t>
      </w:r>
      <w:r>
        <w:br/>
      </w:r>
      <w:r>
        <w:rPr>
          <w:rStyle w:val="CommentTok"/>
        </w:rPr>
        <w:t xml:space="preserve">    """</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Step 1: Calculate mortality score (xb)</w:t>
      </w:r>
      <w:r>
        <w:br/>
      </w:r>
      <w:r>
        <w:rPr>
          <w:rStyle w:val="NormalTok"/>
        </w:rPr>
        <w:t xml:space="preserve">    xb </w:t>
      </w:r>
      <w:r>
        <w:rPr>
          <w:rStyle w:val="OperatorTok"/>
        </w:rPr>
        <w:t xml:space="preserve">=</w:t>
      </w:r>
      <w:r>
        <w:rPr>
          <w:rStyle w:val="NormalTok"/>
        </w:rPr>
        <w:t xml:space="preserve"> (</w:t>
      </w:r>
      <w:r>
        <w:rPr>
          <w:rStyle w:val="OperatorTok"/>
        </w:rPr>
        <w:t xml:space="preserve">-</w:t>
      </w:r>
      <w:r>
        <w:rPr>
          <w:rStyle w:val="FloatTok"/>
        </w:rPr>
        <w:t xml:space="preserve">19.907</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loatTok"/>
        </w:rPr>
        <w:t xml:space="preserve">0.0336</w:t>
      </w:r>
      <w:r>
        <w:rPr>
          <w:rStyle w:val="NormalTok"/>
        </w:rPr>
        <w:t xml:space="preserve"> </w:t>
      </w:r>
      <w:r>
        <w:rPr>
          <w:rStyle w:val="OperatorTok"/>
        </w:rPr>
        <w:t xml:space="preserve">*</w:t>
      </w:r>
      <w:r>
        <w:rPr>
          <w:rStyle w:val="NormalTok"/>
        </w:rPr>
        <w:t xml:space="preserve"> albumin </w:t>
      </w:r>
      <w:r>
        <w:br/>
      </w:r>
      <w:r>
        <w:rPr>
          <w:rStyle w:val="NormalTok"/>
        </w:rPr>
        <w:t xml:space="preserve">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creatinine </w:t>
      </w:r>
      <w:r>
        <w:br/>
      </w:r>
      <w:r>
        <w:rPr>
          <w:rStyle w:val="NormalTok"/>
        </w:rPr>
        <w:t xml:space="preserve">          </w:t>
      </w:r>
      <w:r>
        <w:rPr>
          <w:rStyle w:val="OperatorTok"/>
        </w:rPr>
        <w:t xml:space="preserve">+</w:t>
      </w:r>
      <w:r>
        <w:rPr>
          <w:rStyle w:val="NormalTok"/>
        </w:rPr>
        <w:t xml:space="preserve"> </w:t>
      </w:r>
      <w:r>
        <w:rPr>
          <w:rStyle w:val="FloatTok"/>
        </w:rPr>
        <w:t xml:space="preserve">0.1953</w:t>
      </w:r>
      <w:r>
        <w:rPr>
          <w:rStyle w:val="NormalTok"/>
        </w:rPr>
        <w:t xml:space="preserve"> </w:t>
      </w:r>
      <w:r>
        <w:rPr>
          <w:rStyle w:val="OperatorTok"/>
        </w:rPr>
        <w:t xml:space="preserve">*</w:t>
      </w:r>
      <w:r>
        <w:rPr>
          <w:rStyle w:val="NormalTok"/>
        </w:rPr>
        <w:t xml:space="preserve"> glucose </w:t>
      </w:r>
      <w:r>
        <w:br/>
      </w:r>
      <w:r>
        <w:rPr>
          <w:rStyle w:val="NormalTok"/>
        </w:rPr>
        <w:t xml:space="preserve">          </w:t>
      </w:r>
      <w:r>
        <w:rPr>
          <w:rStyle w:val="OperatorTok"/>
        </w:rPr>
        <w:t xml:space="preserve">+</w:t>
      </w:r>
      <w:r>
        <w:rPr>
          <w:rStyle w:val="NormalTok"/>
        </w:rPr>
        <w:t xml:space="preserve"> </w:t>
      </w:r>
      <w:r>
        <w:rPr>
          <w:rStyle w:val="FloatTok"/>
        </w:rPr>
        <w:t xml:space="preserve">0.0954</w:t>
      </w:r>
      <w:r>
        <w:rPr>
          <w:rStyle w:val="NormalTok"/>
        </w:rPr>
        <w:t xml:space="preserve"> </w:t>
      </w:r>
      <w:r>
        <w:rPr>
          <w:rStyle w:val="OperatorTok"/>
        </w:rPr>
        <w:t xml:space="preserve">*</w:t>
      </w:r>
      <w:r>
        <w:rPr>
          <w:rStyle w:val="NormalTok"/>
        </w:rPr>
        <w:t xml:space="preserve"> np.log(crp) </w:t>
      </w:r>
      <w:r>
        <w:br/>
      </w:r>
      <w:r>
        <w:rPr>
          <w:rStyle w:val="NormalTok"/>
        </w:rPr>
        <w:t xml:space="preserve">          </w:t>
      </w:r>
      <w:r>
        <w:rPr>
          <w:rStyle w:val="OperatorTok"/>
        </w:rPr>
        <w:t xml:space="preserve">-</w:t>
      </w:r>
      <w:r>
        <w:rPr>
          <w:rStyle w:val="NormalTok"/>
        </w:rPr>
        <w:t xml:space="preserve"> </w:t>
      </w:r>
      <w:r>
        <w:rPr>
          <w:rStyle w:val="FloatTok"/>
        </w:rPr>
        <w:t xml:space="preserve">0.0120</w:t>
      </w:r>
      <w:r>
        <w:rPr>
          <w:rStyle w:val="NormalTok"/>
        </w:rPr>
        <w:t xml:space="preserve"> </w:t>
      </w:r>
      <w:r>
        <w:rPr>
          <w:rStyle w:val="OperatorTok"/>
        </w:rPr>
        <w:t xml:space="preserve">*</w:t>
      </w:r>
      <w:r>
        <w:rPr>
          <w:rStyle w:val="NormalTok"/>
        </w:rPr>
        <w:t xml:space="preserve"> lymph_pct </w:t>
      </w:r>
      <w:r>
        <w:br/>
      </w:r>
      <w:r>
        <w:rPr>
          <w:rStyle w:val="NormalTok"/>
        </w:rPr>
        <w:t xml:space="preserve">          </w:t>
      </w:r>
      <w:r>
        <w:rPr>
          <w:rStyle w:val="OperatorTok"/>
        </w:rPr>
        <w:t xml:space="preserve">+</w:t>
      </w:r>
      <w:r>
        <w:rPr>
          <w:rStyle w:val="NormalTok"/>
        </w:rPr>
        <w:t xml:space="preserve"> </w:t>
      </w:r>
      <w:r>
        <w:rPr>
          <w:rStyle w:val="FloatTok"/>
        </w:rPr>
        <w:t xml:space="preserve">0.0268</w:t>
      </w:r>
      <w:r>
        <w:rPr>
          <w:rStyle w:val="NormalTok"/>
        </w:rPr>
        <w:t xml:space="preserve"> </w:t>
      </w:r>
      <w:r>
        <w:rPr>
          <w:rStyle w:val="OperatorTok"/>
        </w:rPr>
        <w:t xml:space="preserve">*</w:t>
      </w:r>
      <w:r>
        <w:rPr>
          <w:rStyle w:val="NormalTok"/>
        </w:rPr>
        <w:t xml:space="preserve"> mcv </w:t>
      </w:r>
      <w:r>
        <w:br/>
      </w:r>
      <w:r>
        <w:rPr>
          <w:rStyle w:val="NormalTok"/>
        </w:rPr>
        <w:t xml:space="preserve">          </w:t>
      </w:r>
      <w:r>
        <w:rPr>
          <w:rStyle w:val="OperatorTok"/>
        </w:rPr>
        <w:t xml:space="preserve">+</w:t>
      </w:r>
      <w:r>
        <w:rPr>
          <w:rStyle w:val="NormalTok"/>
        </w:rPr>
        <w:t xml:space="preserve"> </w:t>
      </w:r>
      <w:r>
        <w:rPr>
          <w:rStyle w:val="FloatTok"/>
        </w:rPr>
        <w:t xml:space="preserve">0.3306</w:t>
      </w:r>
      <w:r>
        <w:rPr>
          <w:rStyle w:val="NormalTok"/>
        </w:rPr>
        <w:t xml:space="preserve"> </w:t>
      </w:r>
      <w:r>
        <w:rPr>
          <w:rStyle w:val="OperatorTok"/>
        </w:rPr>
        <w:t xml:space="preserve">*</w:t>
      </w:r>
      <w:r>
        <w:rPr>
          <w:rStyle w:val="NormalTok"/>
        </w:rPr>
        <w:t xml:space="preserve"> rdw </w:t>
      </w:r>
      <w:r>
        <w:br/>
      </w:r>
      <w:r>
        <w:rPr>
          <w:rStyle w:val="NormalTok"/>
        </w:rPr>
        <w:t xml:space="preserve">          </w:t>
      </w:r>
      <w:r>
        <w:rPr>
          <w:rStyle w:val="OperatorTok"/>
        </w:rPr>
        <w:t xml:space="preserve">+</w:t>
      </w:r>
      <w:r>
        <w:rPr>
          <w:rStyle w:val="NormalTok"/>
        </w:rPr>
        <w:t xml:space="preserve"> </w:t>
      </w:r>
      <w:r>
        <w:rPr>
          <w:rStyle w:val="FloatTok"/>
        </w:rPr>
        <w:t xml:space="preserve">0.00188</w:t>
      </w:r>
      <w:r>
        <w:rPr>
          <w:rStyle w:val="NormalTok"/>
        </w:rPr>
        <w:t xml:space="preserve"> </w:t>
      </w:r>
      <w:r>
        <w:rPr>
          <w:rStyle w:val="OperatorTok"/>
        </w:rPr>
        <w:t xml:space="preserve">*</w:t>
      </w:r>
      <w:r>
        <w:rPr>
          <w:rStyle w:val="NormalTok"/>
        </w:rPr>
        <w:t xml:space="preserve"> alp </w:t>
      </w:r>
      <w:r>
        <w:br/>
      </w:r>
      <w:r>
        <w:rPr>
          <w:rStyle w:val="NormalTok"/>
        </w:rPr>
        <w:t xml:space="preserve">          </w:t>
      </w:r>
      <w:r>
        <w:rPr>
          <w:rStyle w:val="OperatorTok"/>
        </w:rPr>
        <w:t xml:space="preserve">+</w:t>
      </w:r>
      <w:r>
        <w:rPr>
          <w:rStyle w:val="NormalTok"/>
        </w:rPr>
        <w:t xml:space="preserve"> </w:t>
      </w:r>
      <w:r>
        <w:rPr>
          <w:rStyle w:val="FloatTok"/>
        </w:rPr>
        <w:t xml:space="preserve">0.0554</w:t>
      </w:r>
      <w:r>
        <w:rPr>
          <w:rStyle w:val="NormalTok"/>
        </w:rPr>
        <w:t xml:space="preserve"> </w:t>
      </w:r>
      <w:r>
        <w:rPr>
          <w:rStyle w:val="OperatorTok"/>
        </w:rPr>
        <w:t xml:space="preserve">*</w:t>
      </w:r>
      <w:r>
        <w:rPr>
          <w:rStyle w:val="NormalTok"/>
        </w:rPr>
        <w:t xml:space="preserve"> wbc </w:t>
      </w:r>
      <w:r>
        <w:br/>
      </w:r>
      <w:r>
        <w:rPr>
          <w:rStyle w:val="NormalTok"/>
        </w:rPr>
        <w:t xml:space="preserve">          </w:t>
      </w:r>
      <w:r>
        <w:rPr>
          <w:rStyle w:val="OperatorTok"/>
        </w:rPr>
        <w:t xml:space="preserve">+</w:t>
      </w:r>
      <w:r>
        <w:rPr>
          <w:rStyle w:val="NormalTok"/>
        </w:rPr>
        <w:t xml:space="preserve"> </w:t>
      </w:r>
      <w:r>
        <w:rPr>
          <w:rStyle w:val="FloatTok"/>
        </w:rPr>
        <w:t xml:space="preserve">0.0804</w:t>
      </w:r>
      <w:r>
        <w:rPr>
          <w:rStyle w:val="NormalTok"/>
        </w:rPr>
        <w:t xml:space="preserve"> </w:t>
      </w:r>
      <w:r>
        <w:rPr>
          <w:rStyle w:val="OperatorTok"/>
        </w:rPr>
        <w:t xml:space="preserve">*</w:t>
      </w:r>
      <w:r>
        <w:rPr>
          <w:rStyle w:val="NormalTok"/>
        </w:rPr>
        <w:t xml:space="preserve"> age)</w:t>
      </w:r>
      <w:r>
        <w:br/>
      </w:r>
      <w:r>
        <w:rPr>
          <w:rStyle w:val="NormalTok"/>
        </w:rPr>
        <w:t xml:space="preserve">    </w:t>
      </w:r>
      <w:r>
        <w:br/>
      </w:r>
      <w:r>
        <w:rPr>
          <w:rStyle w:val="NormalTok"/>
        </w:rPr>
        <w:t xml:space="preserve">    </w:t>
      </w:r>
      <w:r>
        <w:rPr>
          <w:rStyle w:val="CommentTok"/>
        </w:rPr>
        <w:t xml:space="preserve"># Step 2: Convert to PhenoAge</w:t>
      </w:r>
      <w:r>
        <w:br/>
      </w:r>
      <w:r>
        <w:rPr>
          <w:rStyle w:val="NormalTok"/>
        </w:rPr>
        <w:t xml:space="preserve">    phenoage </w:t>
      </w:r>
      <w:r>
        <w:rPr>
          <w:rStyle w:val="OperatorTok"/>
        </w:rPr>
        <w:t xml:space="preserve">=</w:t>
      </w:r>
      <w:r>
        <w:rPr>
          <w:rStyle w:val="NormalTok"/>
        </w:rPr>
        <w:t xml:space="preserve"> </w:t>
      </w:r>
      <w:r>
        <w:rPr>
          <w:rStyle w:val="FloatTok"/>
        </w:rPr>
        <w:t xml:space="preserve">141.50</w:t>
      </w:r>
      <w:r>
        <w:rPr>
          <w:rStyle w:val="NormalTok"/>
        </w:rPr>
        <w:t xml:space="preserve"> </w:t>
      </w:r>
      <w:r>
        <w:rPr>
          <w:rStyle w:val="OperatorTok"/>
        </w:rPr>
        <w:t xml:space="preserve">+</w:t>
      </w:r>
      <w:r>
        <w:rPr>
          <w:rStyle w:val="NormalTok"/>
        </w:rPr>
        <w:t xml:space="preserve"> np.log(</w:t>
      </w:r>
      <w:r>
        <w:rPr>
          <w:rStyle w:val="OperatorTok"/>
        </w:rPr>
        <w:t xml:space="preserve">-</w:t>
      </w:r>
      <w:r>
        <w:rPr>
          <w:rStyle w:val="NormalTok"/>
        </w:rPr>
        <w:t xml:space="preserve">np.log(</w:t>
      </w:r>
      <w:r>
        <w:rPr>
          <w:rStyle w:val="DecValTok"/>
        </w:rPr>
        <w:t xml:space="preserve">1</w:t>
      </w:r>
      <w:r>
        <w:rPr>
          <w:rStyle w:val="NormalTok"/>
        </w:rPr>
        <w:t xml:space="preserve"> </w:t>
      </w:r>
      <w:r>
        <w:rPr>
          <w:rStyle w:val="OperatorTok"/>
        </w:rPr>
        <w:t xml:space="preserve">-</w:t>
      </w:r>
      <w:r>
        <w:rPr>
          <w:rStyle w:val="NormalTok"/>
        </w:rPr>
        <w:t xml:space="preserve"> np.exp(xb))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w:t>
      </w:r>
      <w:r>
        <w:rPr>
          <w:rStyle w:val="FloatTok"/>
        </w:rPr>
        <w:t xml:space="preserve">0.09165</w:t>
      </w:r>
      <w:r>
        <w:br/>
      </w:r>
      <w:r>
        <w:rPr>
          <w:rStyle w:val="NormalTok"/>
        </w:rPr>
        <w:t xml:space="preserve">    </w:t>
      </w:r>
      <w:r>
        <w:br/>
      </w:r>
      <w:r>
        <w:rPr>
          <w:rStyle w:val="NormalTok"/>
        </w:rPr>
        <w:t xml:space="preserve">    </w:t>
      </w:r>
      <w:r>
        <w:rPr>
          <w:rStyle w:val="ControlFlowTok"/>
        </w:rPr>
        <w:t xml:space="preserve">return</w:t>
      </w:r>
      <w:r>
        <w:rPr>
          <w:rStyle w:val="NormalTok"/>
        </w:rPr>
        <w:t xml:space="preserve"> phenoage</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Sample data for a 50-year-old individual</w:t>
      </w:r>
      <w:r>
        <w:br/>
      </w:r>
      <w:r>
        <w:rPr>
          <w:rStyle w:val="NormalTok"/>
        </w:rPr>
        <w:t xml:space="preserve">    sample_data </w:t>
      </w:r>
      <w:r>
        <w:rPr>
          <w:rStyle w:val="OperatorTok"/>
        </w:rPr>
        <w:t xml:space="preserve">=</w:t>
      </w:r>
      <w:r>
        <w:rPr>
          <w:rStyle w:val="NormalTok"/>
        </w:rPr>
        <w:t xml:space="preserve"> {</w:t>
      </w:r>
      <w:r>
        <w:br/>
      </w:r>
      <w:r>
        <w:rPr>
          <w:rStyle w:val="NormalTok"/>
        </w:rPr>
        <w:t xml:space="preserve">        </w:t>
      </w:r>
      <w:r>
        <w:rPr>
          <w:rStyle w:val="StringTok"/>
        </w:rPr>
        <w:t xml:space="preserve">'albumin'</w:t>
      </w:r>
      <w:r>
        <w:rPr>
          <w:rStyle w:val="NormalTok"/>
        </w:rPr>
        <w:t xml:space="preserve">: </w:t>
      </w:r>
      <w:r>
        <w:rPr>
          <w:rStyle w:val="FloatTok"/>
        </w:rPr>
        <w:t xml:space="preserve">4.2</w:t>
      </w:r>
      <w:r>
        <w:rPr>
          <w:rStyle w:val="NormalTok"/>
        </w:rPr>
        <w:t xml:space="preserve">,</w:t>
      </w:r>
      <w:r>
        <w:br/>
      </w:r>
      <w:r>
        <w:rPr>
          <w:rStyle w:val="NormalTok"/>
        </w:rPr>
        <w:t xml:space="preserve">        </w:t>
      </w:r>
      <w:r>
        <w:rPr>
          <w:rStyle w:val="StringTok"/>
        </w:rPr>
        <w:t xml:space="preserve">'creatinine'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'glucose'</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StringTok"/>
        </w:rPr>
        <w:t xml:space="preserve">'crp'</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'lymph_pct'</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StringTok"/>
        </w:rPr>
        <w:t xml:space="preserve">'mcv'</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'rdw'</w:t>
      </w:r>
      <w:r>
        <w:rPr>
          <w:rStyle w:val="NormalTok"/>
        </w:rPr>
        <w:t xml:space="preserve">: </w:t>
      </w:r>
      <w:r>
        <w:rPr>
          <w:rStyle w:val="FloatTok"/>
        </w:rPr>
        <w:t xml:space="preserve">13.5</w:t>
      </w:r>
      <w:r>
        <w:rPr>
          <w:rStyle w:val="NormalTok"/>
        </w:rPr>
        <w:t xml:space="preserve">,</w:t>
      </w:r>
      <w:r>
        <w:br/>
      </w:r>
      <w:r>
        <w:rPr>
          <w:rStyle w:val="NormalTok"/>
        </w:rPr>
        <w:t xml:space="preserve">        </w:t>
      </w:r>
      <w:r>
        <w:rPr>
          <w:rStyle w:val="StringTok"/>
        </w:rPr>
        <w:t xml:space="preserve">'alp'</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'wbc'</w:t>
      </w:r>
      <w:r>
        <w:rPr>
          <w:rStyle w:val="NormalTok"/>
        </w:rPr>
        <w:t xml:space="preserve">: </w:t>
      </w:r>
      <w:r>
        <w:rPr>
          <w:rStyle w:val="FloatTok"/>
        </w:rPr>
        <w:t xml:space="preserve">6.5</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pheno_age </w:t>
      </w:r>
      <w:r>
        <w:rPr>
          <w:rStyle w:val="OperatorTok"/>
        </w:rPr>
        <w:t xml:space="preserve">=</w:t>
      </w:r>
      <w:r>
        <w:rPr>
          <w:rStyle w:val="NormalTok"/>
        </w:rPr>
        <w:t xml:space="preserve"> calculate_phenoage(</w:t>
      </w:r>
      <w:r>
        <w:rPr>
          <w:rStyle w:val="OperatorTok"/>
        </w:rPr>
        <w:t xml:space="preserve">**</w:t>
      </w:r>
      <w:r>
        <w:rPr>
          <w:rStyle w:val="NormalTok"/>
        </w:rPr>
        <w:t xml:space="preserve">sample_data)</w:t>
      </w:r>
      <w:r>
        <w:br/>
      </w:r>
      <w:r>
        <w:rPr>
          <w:rStyle w:val="NormalTok"/>
        </w:rPr>
        <w:t xml:space="preserve">    age_acceleration </w:t>
      </w:r>
      <w:r>
        <w:rPr>
          <w:rStyle w:val="OperatorTok"/>
        </w:rPr>
        <w:t xml:space="preserve">=</w:t>
      </w:r>
      <w:r>
        <w:rPr>
          <w:rStyle w:val="NormalTok"/>
        </w:rPr>
        <w:t xml:space="preserve"> pheno_age </w:t>
      </w:r>
      <w:r>
        <w:rPr>
          <w:rStyle w:val="OperatorTok"/>
        </w:rPr>
        <w:t xml:space="preserve">-</w:t>
      </w:r>
      <w:r>
        <w:rPr>
          <w:rStyle w:val="NormalTok"/>
        </w:rPr>
        <w:t xml:space="preserve"> sample_data[</w:t>
      </w:r>
      <w:r>
        <w:rPr>
          <w:rStyle w:val="StringTok"/>
        </w:rPr>
        <w:t xml:space="preserve">'age'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f"Chronological Age: </w:t>
      </w:r>
      <w:r>
        <w:rPr>
          <w:rStyle w:val="SpecialCharTok"/>
        </w:rPr>
        <w:t xml:space="preserve">{</w:t>
      </w:r>
      <w:r>
        <w:rPr>
          <w:rStyle w:val="NormalTok"/>
        </w:rPr>
        <w:t xml:space="preserve">sample_data[</w:t>
      </w:r>
      <w:r>
        <w:rPr>
          <w:rStyle w:val="StringTok"/>
        </w:rPr>
        <w:t xml:space="preserve">'age'</w:t>
      </w:r>
      <w:r>
        <w:rPr>
          <w:rStyle w:val="NormalTok"/>
        </w:rPr>
        <w:t xml:space="preserve">]</w:t>
      </w:r>
      <w:r>
        <w:rPr>
          <w:rStyle w:val="SpecialCharTok"/>
        </w:rPr>
        <w:t xml:space="preserve">}</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f"Biological Age (PhenoAge): </w:t>
      </w:r>
      <w:r>
        <w:rPr>
          <w:rStyle w:val="SpecialCharTok"/>
        </w:rPr>
        <w:t xml:space="preserve">{</w:t>
      </w:r>
      <w:r>
        <w:rPr>
          <w:rStyle w:val="NormalTok"/>
        </w:rPr>
        <w:t xml:space="preserve">pheno_age</w:t>
      </w:r>
      <w:r>
        <w:rPr>
          <w:rStyle w:val="SpecialCharTok"/>
        </w:rPr>
        <w:t xml:space="preserve">:.2f}</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f"Age Acceleration: </w:t>
      </w:r>
      <w:r>
        <w:rPr>
          <w:rStyle w:val="SpecialCharTok"/>
        </w:rPr>
        <w:t xml:space="preserve">{</w:t>
      </w:r>
      <w:r>
        <w:rPr>
          <w:rStyle w:val="NormalTok"/>
        </w:rPr>
        <w:t xml:space="preserve">age_acceleration</w:t>
      </w:r>
      <w:r>
        <w:rPr>
          <w:rStyle w:val="SpecialCharTok"/>
        </w:rPr>
        <w:t xml:space="preserve">:+.2f}</w:t>
      </w:r>
      <w:r>
        <w:rPr>
          <w:rStyle w:val="SpecialStringTok"/>
        </w:rPr>
        <w:t xml:space="preserve"> years"</w:t>
      </w:r>
      <w:r>
        <w:rPr>
          <w:rStyle w:val="NormalTok"/>
        </w:rPr>
        <w:t xml:space="preserve">)</w:t>
      </w:r>
    </w:p>
    <w:p>
      <w:pPr>
        <w:pStyle w:val="FirstParagraph"/>
      </w:pPr>
      <w:r>
        <w:rPr>
          <w:b/>
          <w:bCs/>
        </w:rPr>
        <w:t xml:space="preserve">Appendix C: DeepSurv Model Architecture (PyTorch)</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DeepSurvNet(nn.Module):</w:t>
      </w:r>
      <w:r>
        <w:br/>
      </w:r>
      <w:r>
        <w:rPr>
          <w:rStyle w:val="NormalTok"/>
        </w:rPr>
        <w:t xml:space="preserve">    </w:t>
      </w:r>
      <w:r>
        <w:rPr>
          <w:rStyle w:val="CommentTok"/>
        </w:rPr>
        <w:t xml:space="preserve">"""</w:t>
      </w:r>
      <w:r>
        <w:br/>
      </w:r>
      <w:r>
        <w:rPr>
          <w:rStyle w:val="CommentTok"/>
        </w:rPr>
        <w:t xml:space="preserve">    Deep Survival Analysis Network for Biological Age Prediction.</w:t>
      </w:r>
      <w:r>
        <w:br/>
      </w:r>
      <w:r>
        <w:rPr>
          <w:rStyle w:val="CommentTok"/>
        </w:rPr>
        <w:t xml:space="preserve">    Based on Katzman et al. (2018) DeepSurv architecture.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super</w:t>
      </w:r>
      <w:r>
        <w:rPr>
          <w:rStyle w:val="NormalTok"/>
        </w:rPr>
        <w:t xml:space="preserve">(DeepSurvNet,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layers </w:t>
      </w:r>
      <w:r>
        <w:rPr>
          <w:rStyle w:val="OperatorTok"/>
        </w:rPr>
        <w:t xml:space="preserve">=</w:t>
      </w:r>
      <w:r>
        <w:rPr>
          <w:rStyle w:val="NormalTok"/>
        </w:rPr>
        <w:t xml:space="preserve"> []</w:t>
      </w:r>
      <w:r>
        <w:br/>
      </w:r>
      <w:r>
        <w:rPr>
          <w:rStyle w:val="NormalTok"/>
        </w:rPr>
        <w:t xml:space="preserve">        prev_dim </w:t>
      </w:r>
      <w:r>
        <w:rPr>
          <w:rStyle w:val="OperatorTok"/>
        </w:rPr>
        <w:t xml:space="preserve">=</w:t>
      </w:r>
      <w:r>
        <w:rPr>
          <w:rStyle w:val="NormalTok"/>
        </w:rPr>
        <w:t xml:space="preserve"> input_dim</w:t>
      </w:r>
      <w:r>
        <w:br/>
      </w:r>
      <w:r>
        <w:rPr>
          <w:rStyle w:val="NormalTok"/>
        </w:rPr>
        <w:t xml:space="preserve">        </w:t>
      </w:r>
      <w:r>
        <w:br/>
      </w:r>
      <w:r>
        <w:rPr>
          <w:rStyle w:val="NormalTok"/>
        </w:rPr>
        <w:t xml:space="preserve">        </w:t>
      </w:r>
      <w:r>
        <w:rPr>
          <w:rStyle w:val="ControlFlowTok"/>
        </w:rPr>
        <w:t xml:space="preserve">for</w:t>
      </w:r>
      <w:r>
        <w:rPr>
          <w:rStyle w:val="NormalTok"/>
        </w:rPr>
        <w:t xml:space="preserve"> hidden_dim </w:t>
      </w:r>
      <w:r>
        <w:rPr>
          <w:rStyle w:val="KeywordTok"/>
        </w:rPr>
        <w:t xml:space="preserve">in</w:t>
      </w:r>
      <w:r>
        <w:rPr>
          <w:rStyle w:val="NormalTok"/>
        </w:rPr>
        <w:t xml:space="preserve"> hidden_layers:</w:t>
      </w:r>
      <w:r>
        <w:br/>
      </w:r>
      <w:r>
        <w:rPr>
          <w:rStyle w:val="NormalTok"/>
        </w:rPr>
        <w:t xml:space="preserve">            layers.append(nn.Linear(prev_dim, hidden_dim))</w:t>
      </w:r>
      <w:r>
        <w:br/>
      </w:r>
      <w:r>
        <w:rPr>
          <w:rStyle w:val="NormalTok"/>
        </w:rPr>
        <w:t xml:space="preserve">            layers.append(nn.BatchNorm1d(hidden_dim))</w:t>
      </w:r>
      <w:r>
        <w:br/>
      </w:r>
      <w:r>
        <w:rPr>
          <w:rStyle w:val="NormalTok"/>
        </w:rPr>
        <w:t xml:space="preserve">            layers.append(nn.ReLU())</w:t>
      </w:r>
      <w:r>
        <w:br/>
      </w:r>
      <w:r>
        <w:rPr>
          <w:rStyle w:val="NormalTok"/>
        </w:rPr>
        <w:t xml:space="preserve">            layers.append(nn.Dropout(dropout))</w:t>
      </w:r>
      <w:r>
        <w:br/>
      </w:r>
      <w:r>
        <w:rPr>
          <w:rStyle w:val="NormalTok"/>
        </w:rPr>
        <w:t xml:space="preserve">            prev_dim </w:t>
      </w:r>
      <w:r>
        <w:rPr>
          <w:rStyle w:val="OperatorTok"/>
        </w:rPr>
        <w:t xml:space="preserve">=</w:t>
      </w:r>
      <w:r>
        <w:rPr>
          <w:rStyle w:val="NormalTok"/>
        </w:rPr>
        <w:t xml:space="preserve"> hidden_dim</w:t>
      </w:r>
      <w:r>
        <w:br/>
      </w:r>
      <w:r>
        <w:rPr>
          <w:rStyle w:val="NormalTok"/>
        </w:rPr>
        <w:t xml:space="preserve">        </w:t>
      </w:r>
      <w:r>
        <w:br/>
      </w:r>
      <w:r>
        <w:rPr>
          <w:rStyle w:val="NormalTok"/>
        </w:rPr>
        <w:t xml:space="preserve">        </w:t>
      </w:r>
      <w:r>
        <w:rPr>
          <w:rStyle w:val="CommentTok"/>
        </w:rPr>
        <w:t xml:space="preserve"># Output layer (log-hazard)</w:t>
      </w:r>
      <w:r>
        <w:br/>
      </w:r>
      <w:r>
        <w:rPr>
          <w:rStyle w:val="NormalTok"/>
        </w:rPr>
        <w:t xml:space="preserve">        layers.append(nn.Linear(prev_dim,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rPr>
          <w:rStyle w:val="OperatorTok"/>
        </w:rPr>
        <w:t xml:space="preserve">*</w:t>
      </w:r>
      <w:r>
        <w:rPr>
          <w:rStyle w:val="NormalTok"/>
        </w:rPr>
        <w:t xml:space="preserve">layers)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.network(x)</w:t>
      </w:r>
      <w:r>
        <w:br/>
      </w:r>
      <w:r>
        <w:br/>
      </w:r>
      <w:r>
        <w:rPr>
          <w:rStyle w:val="CommentTok"/>
        </w:rPr>
        <w:t xml:space="preserve"># Model Instantiation</w:t>
      </w:r>
      <w:r>
        <w:br/>
      </w:r>
      <w:r>
        <w:rPr>
          <w:rStyle w:val="NormalTok"/>
        </w:rPr>
        <w:t xml:space="preserve">model </w:t>
      </w:r>
      <w:r>
        <w:rPr>
          <w:rStyle w:val="OperatorTok"/>
        </w:rPr>
        <w:t xml:space="preserve">=</w:t>
      </w:r>
      <w:r>
        <w:rPr>
          <w:rStyle w:val="NormalTok"/>
        </w:rPr>
        <w:t xml:space="preserve"> DeepSurvNet(input_dim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BuiltInTok"/>
        </w:rPr>
        <w:t xml:space="preserve">print</w:t>
      </w:r>
      <w:r>
        <w:rPr>
          <w:rStyle w:val="NormalTok"/>
        </w:rPr>
        <w:t xml:space="preserve">(model)</w:t>
      </w:r>
      <w:r>
        <w:br/>
      </w:r>
      <w:r>
        <w:br/>
      </w:r>
      <w:r>
        <w:rPr>
          <w:rStyle w:val="CommentTok"/>
        </w:rPr>
        <w:t xml:space="preserve"># Expected Output:</w:t>
      </w:r>
      <w:r>
        <w:br/>
      </w:r>
      <w:r>
        <w:rPr>
          <w:rStyle w:val="CommentTok"/>
        </w:rPr>
        <w:t xml:space="preserve"># DeepSurvNet(</w:t>
      </w:r>
      <w:r>
        <w:br/>
      </w:r>
      <w:r>
        <w:rPr>
          <w:rStyle w:val="CommentTok"/>
        </w:rPr>
        <w:t xml:space="preserve">#   (network): Sequential(</w:t>
      </w:r>
      <w:r>
        <w:br/>
      </w:r>
      <w:r>
        <w:rPr>
          <w:rStyle w:val="CommentTok"/>
        </w:rPr>
        <w:t xml:space="preserve">#     (0): Linear(in_features=17, out_features=32, bias=True)</w:t>
      </w:r>
      <w:r>
        <w:br/>
      </w:r>
      <w:r>
        <w:rPr>
          <w:rStyle w:val="CommentTok"/>
        </w:rPr>
        <w:t xml:space="preserve">#     (1): BatchNorm1d(32, eps=1e-05, momentum=0.1, affine=True, track_running_stats=True)</w:t>
      </w:r>
      <w:r>
        <w:br/>
      </w:r>
      <w:r>
        <w:rPr>
          <w:rStyle w:val="CommentTok"/>
        </w:rPr>
        <w:t xml:space="preserve">#     ...</w:t>
      </w:r>
      <w:r>
        <w:br/>
      </w:r>
      <w:r>
        <w:rPr>
          <w:rStyle w:val="CommentTok"/>
        </w:rPr>
        <w:t xml:space="preserve">#   )</w:t>
      </w:r>
      <w:r>
        <w:br/>
      </w:r>
      <w:r>
        <w:rPr>
          <w:rStyle w:val="CommentTok"/>
        </w:rPr>
        <w:t xml:space="preserve"># )</w:t>
      </w:r>
    </w:p>
    <w:p>
      <w:pPr>
        <w:pStyle w:val="FirstParagraph"/>
      </w:pPr>
      <w:r>
        <w:rPr>
          <w:i/>
          <w:iCs/>
        </w:rPr>
        <w:t xml:space="preserve">Full implementation available in standard script</w:t>
      </w:r>
      <w:r>
        <w:rPr>
          <w:i/>
          <w:iCs/>
        </w:rPr>
        <w:t xml:space="preserve"> </w:t>
      </w:r>
      <w:r>
        <w:rPr>
          <w:rStyle w:val="VerbatimChar"/>
          <w:i/>
          <w:iCs/>
        </w:rPr>
        <w:t xml:space="preserve">wearable_models.py</w:t>
      </w:r>
      <w:r>
        <w:rPr>
          <w:i/>
          <w:iCs/>
        </w:rPr>
        <w:t xml:space="preserve"> </w:t>
      </w:r>
      <w:r>
        <w:rPr>
          <w:i/>
          <w:iCs/>
        </w:rPr>
        <w:t xml:space="preserve">included in the submission package.</w:t>
      </w:r>
    </w:p>
    <w:p>
      <w:pPr>
        <w:pStyle w:val="BodyText"/>
      </w:pPr>
      <w:r>
        <w:rPr>
          <w:b/>
          <w:bCs/>
        </w:rPr>
        <w:t xml:space="preserve">Appendix D: Movement Fragmentation Calculation</w:t>
      </w:r>
    </w:p>
    <w:p>
      <w:pPr>
        <w:pStyle w:val="SourceCode"/>
      </w:pPr>
      <w:r>
        <w:rPr>
          <w:rStyle w:val="KeywordTok"/>
        </w:rPr>
        <w:t xml:space="preserve">def</w:t>
      </w:r>
      <w:r>
        <w:rPr>
          <w:rStyle w:val="NormalTok"/>
        </w:rPr>
        <w:t xml:space="preserve"> calculate_movement_fragmentation(activity_vector, threshold</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Calculate movement fragmentation index from minute-level accelerometer data.</w:t>
      </w:r>
      <w:r>
        <w:br/>
      </w:r>
      <w:r>
        <w:rPr>
          <w:rStyle w:val="CommentTok"/>
        </w:rPr>
        <w:t xml:space="preserve">    </w:t>
      </w:r>
      <w:r>
        <w:br/>
      </w:r>
      <w:r>
        <w:rPr>
          <w:rStyle w:val="CommentTok"/>
        </w:rPr>
        <w:t xml:space="preserve">    Parameters:</w:t>
      </w:r>
      <w:r>
        <w:br/>
      </w:r>
      <w:r>
        <w:rPr>
          <w:rStyle w:val="CommentTok"/>
        </w:rPr>
        <w:t xml:space="preserve">    - activity_vector: 1D array of minute-level MIMS values (1440 minutes = 24 hours)</w:t>
      </w:r>
      <w:r>
        <w:br/>
      </w:r>
      <w:r>
        <w:rPr>
          <w:rStyle w:val="CommentTok"/>
        </w:rPr>
        <w:t xml:space="preserve">    - threshold: MIMS threshold to classify as 'active' vs 'sedentary'</w:t>
      </w:r>
      <w:r>
        <w:br/>
      </w:r>
      <w:r>
        <w:rPr>
          <w:rStyle w:val="CommentTok"/>
        </w:rPr>
        <w:t xml:space="preserve">    </w:t>
      </w:r>
      <w:r>
        <w:br/>
      </w:r>
      <w:r>
        <w:rPr>
          <w:rStyle w:val="CommentTok"/>
        </w:rPr>
        <w:t xml:space="preserve">    Returns:</w:t>
      </w:r>
      <w:r>
        <w:br/>
      </w:r>
      <w:r>
        <w:rPr>
          <w:rStyle w:val="CommentTok"/>
        </w:rPr>
        <w:t xml:space="preserve">    - fragmentation_index:Float between 0 (highly sustained) and 1 (highly fragmented)</w:t>
      </w:r>
      <w:r>
        <w:br/>
      </w:r>
      <w:r>
        <w:rPr>
          <w:rStyle w:val="CommentTok"/>
        </w:rPr>
        <w:t xml:space="preserve">    """</w:t>
      </w:r>
      <w:r>
        <w:br/>
      </w:r>
      <w:r>
        <w:rPr>
          <w:rStyle w:val="NormalTok"/>
        </w:rPr>
        <w:t xml:space="preserve">    </w:t>
      </w:r>
      <w:r>
        <w:rPr>
          <w:rStyle w:val="CommentTok"/>
        </w:rPr>
        <w:t xml:space="preserve"># Binarize activity</w:t>
      </w:r>
      <w:r>
        <w:br/>
      </w:r>
      <w:r>
        <w:rPr>
          <w:rStyle w:val="NormalTok"/>
        </w:rPr>
        <w:t xml:space="preserve">    active </w:t>
      </w:r>
      <w:r>
        <w:rPr>
          <w:rStyle w:val="OperatorTok"/>
        </w:rPr>
        <w:t xml:space="preserve">=</w:t>
      </w:r>
      <w:r>
        <w:rPr>
          <w:rStyle w:val="NormalTok"/>
        </w:rPr>
        <w:t xml:space="preserve"> (activity_vector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Count transitions between active and sedentary</w:t>
      </w:r>
      <w:r>
        <w:br/>
      </w:r>
      <w:r>
        <w:rPr>
          <w:rStyle w:val="NormalTok"/>
        </w:rPr>
        <w:t xml:space="preserve">    transitions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(np.diff(active)))</w:t>
      </w:r>
      <w:r>
        <w:br/>
      </w:r>
      <w:r>
        <w:rPr>
          <w:rStyle w:val="NormalTok"/>
        </w:rPr>
        <w:t xml:space="preserve">    </w:t>
      </w:r>
      <w:r>
        <w:br/>
      </w:r>
      <w:r>
        <w:rPr>
          <w:rStyle w:val="NormalTok"/>
        </w:rPr>
        <w:t xml:space="preserve">    </w:t>
      </w:r>
      <w:r>
        <w:rPr>
          <w:rStyle w:val="CommentTok"/>
        </w:rPr>
        <w:t xml:space="preserve"># Normalize by maximum possible transitions</w:t>
      </w:r>
      <w:r>
        <w:br/>
      </w:r>
      <w:r>
        <w:rPr>
          <w:rStyle w:val="NormalTok"/>
        </w:rPr>
        <w:t xml:space="preserve">    max_transitions </w:t>
      </w:r>
      <w:r>
        <w:rPr>
          <w:rStyle w:val="OperatorTok"/>
        </w:rPr>
        <w:t xml:space="preserve">=</w:t>
      </w:r>
      <w:r>
        <w:rPr>
          <w:rStyle w:val="NormalTok"/>
        </w:rPr>
        <w:t xml:space="preserve"> </w:t>
      </w:r>
      <w:r>
        <w:rPr>
          <w:rStyle w:val="BuiltInTok"/>
        </w:rPr>
        <w:t xml:space="preserve">len</w:t>
      </w:r>
      <w:r>
        <w:rPr>
          <w:rStyle w:val="NormalTok"/>
        </w:rPr>
        <w:t xml:space="preserve">(active) </w:t>
      </w:r>
      <w:r>
        <w:rPr>
          <w:rStyle w:val="OperatorTok"/>
        </w:rPr>
        <w:t xml:space="preserve">-</w:t>
      </w:r>
      <w:r>
        <w:rPr>
          <w:rStyle w:val="NormalTok"/>
        </w:rPr>
        <w:t xml:space="preserve"> </w:t>
      </w:r>
      <w:r>
        <w:rPr>
          <w:rStyle w:val="DecValTok"/>
        </w:rPr>
        <w:t xml:space="preserve">1</w:t>
      </w:r>
      <w:r>
        <w:br/>
      </w:r>
      <w:r>
        <w:rPr>
          <w:rStyle w:val="NormalTok"/>
        </w:rPr>
        <w:t xml:space="preserve">    fragmentation_index </w:t>
      </w:r>
      <w:r>
        <w:rPr>
          <w:rStyle w:val="OperatorTok"/>
        </w:rPr>
        <w:t xml:space="preserve">=</w:t>
      </w:r>
      <w:r>
        <w:rPr>
          <w:rStyle w:val="NormalTok"/>
        </w:rPr>
        <w:t xml:space="preserve"> transitions </w:t>
      </w:r>
      <w:r>
        <w:rPr>
          <w:rStyle w:val="OperatorTok"/>
        </w:rPr>
        <w:t xml:space="preserve">/</w:t>
      </w:r>
      <w:r>
        <w:rPr>
          <w:rStyle w:val="NormalTok"/>
        </w:rPr>
        <w:t xml:space="preserve"> max_transitions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fragmentation_index</w:t>
      </w:r>
      <w:r>
        <w:br/>
      </w:r>
      <w:r>
        <w:br/>
      </w:r>
      <w:r>
        <w:rPr>
          <w:rStyle w:val="CommentTok"/>
        </w:rPr>
        <w:t xml:space="preserve"># Example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Simulate: High fragmentation (frequent on/off)</w:t>
      </w:r>
      <w:r>
        <w:br/>
      </w:r>
      <w:r>
        <w:rPr>
          <w:rStyle w:val="NormalTok"/>
        </w:rPr>
        <w:t xml:space="preserve">fragmented_activity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150</w:t>
      </w:r>
      <w:r>
        <w:rPr>
          <w:rStyle w:val="NormalTok"/>
        </w:rPr>
        <w:t xml:space="preserve">], size</w:t>
      </w:r>
      <w:r>
        <w:rPr>
          <w:rStyle w:val="OperatorTok"/>
        </w:rPr>
        <w:t xml:space="preserve">=</w:t>
      </w:r>
      <w:r>
        <w:rPr>
          <w:rStyle w:val="DecValTok"/>
        </w:rPr>
        <w:t xml:space="preserve">1440</w:t>
      </w:r>
      <w:r>
        <w:rPr>
          <w:rStyle w:val="NormalTok"/>
        </w:rPr>
        <w:t xml:space="preserve">,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frag_index_high </w:t>
      </w:r>
      <w:r>
        <w:rPr>
          <w:rStyle w:val="OperatorTok"/>
        </w:rPr>
        <w:t xml:space="preserve">=</w:t>
      </w:r>
      <w:r>
        <w:rPr>
          <w:rStyle w:val="NormalTok"/>
        </w:rPr>
        <w:t xml:space="preserve"> calculate_movement_fragmentation(fragmented_activity)</w:t>
      </w:r>
      <w:r>
        <w:br/>
      </w:r>
      <w:r>
        <w:br/>
      </w:r>
      <w:r>
        <w:rPr>
          <w:rStyle w:val="CommentTok"/>
        </w:rPr>
        <w:t xml:space="preserve"># Simulate: Low fragmentation (sustained activity)</w:t>
      </w:r>
      <w:r>
        <w:br/>
      </w:r>
      <w:r>
        <w:rPr>
          <w:rStyle w:val="NormalTok"/>
        </w:rPr>
        <w:t xml:space="preserve">sustained_activity </w:t>
      </w:r>
      <w:r>
        <w:rPr>
          <w:rStyle w:val="OperatorTok"/>
        </w:rPr>
        <w:t xml:space="preserve">=</w:t>
      </w:r>
      <w:r>
        <w:rPr>
          <w:rStyle w:val="NormalTok"/>
        </w:rPr>
        <w:t xml:space="preserve"> np.concatenate([np.zeros(</w:t>
      </w:r>
      <w:r>
        <w:rPr>
          <w:rStyle w:val="DecValTok"/>
        </w:rPr>
        <w:t xml:space="preserve">720</w:t>
      </w:r>
      <w:r>
        <w:rPr>
          <w:rStyle w:val="NormalTok"/>
        </w:rPr>
        <w:t xml:space="preserve">), np.full(</w:t>
      </w:r>
      <w:r>
        <w:rPr>
          <w:rStyle w:val="DecValTok"/>
        </w:rPr>
        <w:t xml:space="preserve">720</w:t>
      </w:r>
      <w:r>
        <w:rPr>
          <w:rStyle w:val="NormalTok"/>
        </w:rPr>
        <w:t xml:space="preserve">, </w:t>
      </w:r>
      <w:r>
        <w:rPr>
          <w:rStyle w:val="DecValTok"/>
        </w:rPr>
        <w:t xml:space="preserve">150</w:t>
      </w:r>
      <w:r>
        <w:rPr>
          <w:rStyle w:val="NormalTok"/>
        </w:rPr>
        <w:t xml:space="preserve">)])</w:t>
      </w:r>
      <w:r>
        <w:br/>
      </w:r>
      <w:r>
        <w:rPr>
          <w:rStyle w:val="NormalTok"/>
        </w:rPr>
        <w:t xml:space="preserve">frag_index_low </w:t>
      </w:r>
      <w:r>
        <w:rPr>
          <w:rStyle w:val="OperatorTok"/>
        </w:rPr>
        <w:t xml:space="preserve">=</w:t>
      </w:r>
      <w:r>
        <w:rPr>
          <w:rStyle w:val="NormalTok"/>
        </w:rPr>
        <w:t xml:space="preserve"> calculate_movement_fragmentation(sustained_activity)</w:t>
      </w:r>
      <w:r>
        <w:br/>
      </w:r>
      <w:r>
        <w:br/>
      </w:r>
      <w:r>
        <w:rPr>
          <w:rStyle w:val="BuiltInTok"/>
        </w:rPr>
        <w:t xml:space="preserve">print</w:t>
      </w:r>
      <w:r>
        <w:rPr>
          <w:rStyle w:val="NormalTok"/>
        </w:rPr>
        <w:t xml:space="preserve">(</w:t>
      </w:r>
      <w:r>
        <w:rPr>
          <w:rStyle w:val="SpecialStringTok"/>
        </w:rPr>
        <w:t xml:space="preserve">f"High Fragmentation Index: </w:t>
      </w:r>
      <w:r>
        <w:rPr>
          <w:rStyle w:val="SpecialCharTok"/>
        </w:rPr>
        <w:t xml:space="preserve">{</w:t>
      </w:r>
      <w:r>
        <w:rPr>
          <w:rStyle w:val="NormalTok"/>
        </w:rPr>
        <w:t xml:space="preserve">frag_index_high</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f"Low Fragmentation Index: </w:t>
      </w:r>
      <w:r>
        <w:rPr>
          <w:rStyle w:val="SpecialCharTok"/>
        </w:rPr>
        <w:t xml:space="preserve">{</w:t>
      </w:r>
      <w:r>
        <w:rPr>
          <w:rStyle w:val="NormalTok"/>
        </w:rPr>
        <w:t xml:space="preserve">frag_index_low</w:t>
      </w:r>
      <w:r>
        <w:rPr>
          <w:rStyle w:val="SpecialCharTok"/>
        </w:rPr>
        <w:t xml:space="preserve">:.3f}</w:t>
      </w:r>
      <w:r>
        <w:rPr>
          <w:rStyle w:val="SpecialStringTok"/>
        </w:rPr>
        <w:t xml:space="preserve">"</w:t>
      </w:r>
      <w:r>
        <w:rPr>
          <w:rStyle w:val="NormalTok"/>
        </w:rPr>
        <w:t xml:space="preserve">)</w:t>
      </w:r>
    </w:p>
    <w:p>
      <w:r>
        <w:pict>
          <v:rect style="width:0;height:1.5pt" o:hralign="center" o:hrstd="t" o:hr="t"/>
        </w:pict>
      </w:r>
    </w:p>
    <w:p>
      <w:pPr>
        <w:pStyle w:val="FirstParagraph"/>
      </w:pPr>
      <w:r>
        <w:rPr>
          <w:b/>
          <w:bCs/>
        </w:rPr>
        <w:t xml:space="preserve">End of Document</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doi.org/10.1038/s41467-023-43681-6" TargetMode="External" /><Relationship Type="http://schemas.openxmlformats.org/officeDocument/2006/relationships/hyperlink" Id="rId16" Target="https://doi.org/10.1038/s41598-021-84345-3" TargetMode="External" /><Relationship Type="http://schemas.openxmlformats.org/officeDocument/2006/relationships/hyperlink" Id="rId14" Target="https://doi.org/10.1111/rmir.12104" TargetMode="External" /><Relationship Type="http://schemas.openxmlformats.org/officeDocument/2006/relationships/hyperlink" Id="rId15" Target="https://doi.org/10.2196/14074" TargetMode="External" /><Relationship Type="http://schemas.openxmlformats.org/officeDocument/2006/relationships/hyperlink" Id="rId13" Target="https://www.accenture.com/us-en/insights/financial-services/global-financial-services-consumer-study" TargetMode="External" /></Relationships>
</file>

<file path=word/_rels/footnotes.xml.rels><?xml version="1.0" encoding="UTF-8"?><Relationships xmlns="http://schemas.openxmlformats.org/package/2006/relationships"><Relationship Type="http://schemas.openxmlformats.org/officeDocument/2006/relationships/hyperlink" Id="rId17" Target="https://doi.org/10.1038/s41467-023-43681-6" TargetMode="External" /><Relationship Type="http://schemas.openxmlformats.org/officeDocument/2006/relationships/hyperlink" Id="rId16" Target="https://doi.org/10.1038/s41598-021-84345-3" TargetMode="External" /><Relationship Type="http://schemas.openxmlformats.org/officeDocument/2006/relationships/hyperlink" Id="rId14" Target="https://doi.org/10.1111/rmir.12104" TargetMode="External" /><Relationship Type="http://schemas.openxmlformats.org/officeDocument/2006/relationships/hyperlink" Id="rId15" Target="https://doi.org/10.2196/14074" TargetMode="External" /><Relationship Type="http://schemas.openxmlformats.org/officeDocument/2006/relationships/hyperlink" Id="rId13" Target="https://www.accenture.com/us-en/insights/financial-services/global-financial-services-consumer-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2025-12-08T07:07:31Z</dcterms:created>
  <dcterms:modified xsi:type="dcterms:W3CDTF">2025-12-08T07:07:31Z</dcterms:modified>
</cp:coreProperties>
</file>

<file path=docProps/custom.xml><?xml version="1.0" encoding="utf-8"?>
<Properties xmlns="http://schemas.openxmlformats.org/officeDocument/2006/custom-properties" xmlns:vt="http://schemas.openxmlformats.org/officeDocument/2006/docPropsVTypes"/>
</file>