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A68"/>
          <w:sz w:val="38"/>
          <w:szCs w:val="38"/>
        </w:rPr>
        <w:t xml:space="preserve">STUDENT CHECKLIST</w:t>
      </w:r>
    </w:p>
    <w:p>
      <w:pPr>
        <w:spacing w:after="100"/>
        <w:jc w:val="center"/>
      </w:pPr>
      <w:r>
        <w:rPr>
          <w:color w:val="404040"/>
          <w:sz w:val="24"/>
          <w:szCs w:val="24"/>
        </w:rPr>
        <w:t xml:space="preserve">OptiCare-RA / CMC submission — your assigned items only</w:t>
      </w:r>
    </w:p>
    <w:p>
      <w:pPr>
        <w:spacing w:after="240"/>
        <w:jc w:val="center"/>
      </w:pPr>
      <w:r>
        <w:rPr>
          <w:i/>
          <w:iCs/>
          <w:color w:val="606060"/>
          <w:sz w:val="22"/>
          <w:szCs w:val="22"/>
        </w:rPr>
        <w:t xml:space="preserve">Items 2.1, 2.2, 2.3, 3.1.1, 3.3.1, 3.3.2, 3.3.3, 7.7</w:t>
      </w:r>
    </w:p>
    <w:p>
      <w:pPr>
        <w:spacing w:after="120" w:line="300"/>
        <w:jc w:val="both"/>
      </w:pPr>
      <w:r>
        <w:t xml:space="preserve">This is your assigned portion of the pre-submission checklist. Eight items in total. Three of them (2.1, 2.2, 2.3) are already resolved — they are listed here so you know what was done and can verify the manuscript reads correctly. The other five items need your action.</w:t>
      </w:r>
    </w:p>
    <w:p>
      <w:pPr>
        <w:shd w:fill="047857" w:val="clear"/>
        <w:spacing w:after="200" w:before="200"/>
        <w:jc w:val="left"/>
      </w:pPr>
      <w:r>
        <w:rPr>
          <w:b/>
          <w:bCs/>
          <w:color w:val="FFFFFF"/>
          <w:sz w:val="22"/>
          <w:szCs w:val="22"/>
        </w:rPr>
        <w:t xml:space="preserve">Important context: the team confirmed that only public Kaggle datasets were used. The supervisor has already updated the manuscript Section 5.6, Section 7.5.1, the abstract, the conclusion, and the Ethics Approval declaration to reflect this. So items 2.1, 2.2, 2.3 are taken care of — your only action there is to read the updated manuscript and confirm it sounds right.</w:t>
      </w:r>
    </w:p>
    <w:p>
      <w:pPr>
        <w:pStyle w:val="Heading2"/>
        <w:spacing w:after="120" w:before="240"/>
      </w:pPr>
      <w:r>
        <w:rPr>
          <w:b/>
          <w:bCs/>
          <w:color w:val="2E5C8A"/>
          <w:sz w:val="26"/>
          <w:szCs w:val="26"/>
        </w:rPr>
        <w:t xml:space="preserve">Items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000"/>
        <w:gridCol w:w="2360"/>
      </w:tblGrid>
      <w:tr>
        <w:tc>
          <w:tcPr>
            <w:tcW w:type="dxa" w:w="800"/>
            <w:tcBorders>
              <w:top w:val="single" w:color="808080" w:sz="4"/>
              <w:left w:val="single" w:color="808080" w:sz="4"/>
              <w:bottom w:val="single" w:color="808080" w:sz="4"/>
              <w:right w:val="single" w:color="808080" w:sz="4"/>
            </w:tcBorders>
            <w:shd w:fill="1F3A68" w:val="clear"/>
            <w:tcMar>
              <w:top w:type="dxa" w:w="80"/>
              <w:left w:type="dxa" w:w="100"/>
              <w:bottom w:type="dxa" w:w="80"/>
              <w:right w:type="dxa" w:w="100"/>
            </w:tcMar>
            <w:vAlign w:val="center"/>
          </w:tcPr>
          <w:p>
            <w:pPr>
              <w:jc w:val="center"/>
            </w:pPr>
            <w:r>
              <w:rPr>
                <w:b/>
                <w:bCs/>
                <w:i w:val="false"/>
                <w:iCs w:val="false"/>
                <w:color w:val="FFFFFF"/>
                <w:sz w:val="20"/>
                <w:szCs w:val="20"/>
              </w:rPr>
              <w:t xml:space="preserve">Item</w:t>
            </w:r>
          </w:p>
        </w:tc>
        <w:tc>
          <w:tcPr>
            <w:tcW w:type="dxa" w:w="4200"/>
            <w:tcBorders>
              <w:top w:val="single" w:color="808080" w:sz="4"/>
              <w:left w:val="single" w:color="808080" w:sz="4"/>
              <w:bottom w:val="single" w:color="808080" w:sz="4"/>
              <w:right w:val="single" w:color="808080" w:sz="4"/>
            </w:tcBorders>
            <w:shd w:fill="1F3A68" w:val="clear"/>
            <w:tcMar>
              <w:top w:type="dxa" w:w="80"/>
              <w:left w:type="dxa" w:w="100"/>
              <w:bottom w:type="dxa" w:w="80"/>
              <w:right w:type="dxa" w:w="100"/>
            </w:tcMar>
            <w:vAlign w:val="center"/>
          </w:tcPr>
          <w:p>
            <w:pPr>
              <w:jc w:val="left"/>
            </w:pPr>
            <w:r>
              <w:rPr>
                <w:b/>
                <w:bCs/>
                <w:i w:val="false"/>
                <w:iCs w:val="false"/>
                <w:color w:val="FFFFFF"/>
                <w:sz w:val="20"/>
                <w:szCs w:val="20"/>
              </w:rPr>
              <w:t xml:space="preserve">What it is</w:t>
            </w:r>
          </w:p>
        </w:tc>
        <w:tc>
          <w:tcPr>
            <w:tcW w:type="dxa" w:w="2000"/>
            <w:tcBorders>
              <w:top w:val="single" w:color="808080" w:sz="4"/>
              <w:left w:val="single" w:color="808080" w:sz="4"/>
              <w:bottom w:val="single" w:color="808080" w:sz="4"/>
              <w:right w:val="single" w:color="808080" w:sz="4"/>
            </w:tcBorders>
            <w:shd w:fill="1F3A68" w:val="clear"/>
            <w:tcMar>
              <w:top w:type="dxa" w:w="80"/>
              <w:left w:type="dxa" w:w="100"/>
              <w:bottom w:type="dxa" w:w="80"/>
              <w:right w:type="dxa" w:w="100"/>
            </w:tcMar>
            <w:vAlign w:val="center"/>
          </w:tcPr>
          <w:p>
            <w:pPr>
              <w:jc w:val="center"/>
            </w:pPr>
            <w:r>
              <w:rPr>
                <w:b/>
                <w:bCs/>
                <w:i w:val="false"/>
                <w:iCs w:val="false"/>
                <w:color w:val="FFFFFF"/>
                <w:sz w:val="20"/>
                <w:szCs w:val="20"/>
              </w:rPr>
              <w:t xml:space="preserve">Status</w:t>
            </w:r>
          </w:p>
        </w:tc>
        <w:tc>
          <w:tcPr>
            <w:tcW w:type="dxa" w:w="2360"/>
            <w:tcBorders>
              <w:top w:val="single" w:color="808080" w:sz="4"/>
              <w:left w:val="single" w:color="808080" w:sz="4"/>
              <w:bottom w:val="single" w:color="808080" w:sz="4"/>
              <w:right w:val="single" w:color="808080" w:sz="4"/>
            </w:tcBorders>
            <w:shd w:fill="1F3A68" w:val="clear"/>
            <w:tcMar>
              <w:top w:type="dxa" w:w="80"/>
              <w:left w:type="dxa" w:w="100"/>
              <w:bottom w:type="dxa" w:w="80"/>
              <w:right w:type="dxa" w:w="100"/>
            </w:tcMar>
            <w:vAlign w:val="center"/>
          </w:tcPr>
          <w:p>
            <w:pPr>
              <w:jc w:val="left"/>
            </w:pPr>
            <w:r>
              <w:rPr>
                <w:b/>
                <w:bCs/>
                <w:i w:val="false"/>
                <w:iCs w:val="false"/>
                <w:color w:val="FFFFFF"/>
                <w:sz w:val="20"/>
                <w:szCs w:val="20"/>
              </w:rPr>
              <w:t xml:space="preserve">Estimated time</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b/>
                <w:bCs/>
                <w:i w:val="false"/>
                <w:iCs w:val="false"/>
                <w:color w:val="000000"/>
                <w:sz w:val="20"/>
                <w:szCs w:val="20"/>
              </w:rPr>
              <w:t xml:space="preserve">2.1</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IRB approval reference</w:t>
            </w:r>
          </w:p>
        </w:tc>
        <w:tc>
          <w:tcPr>
            <w:tcW w:type="dxa" w:w="2000"/>
            <w:tcBorders>
              <w:top w:val="single" w:color="808080" w:sz="4"/>
              <w:left w:val="single" w:color="808080" w:sz="4"/>
              <w:bottom w:val="single" w:color="808080" w:sz="4"/>
              <w:right w:val="single" w:color="808080" w:sz="4"/>
            </w:tcBorders>
            <w:shd w:fill="047857" w:val="clear"/>
            <w:tcMar>
              <w:top w:type="dxa" w:w="80"/>
              <w:left w:type="dxa" w:w="100"/>
              <w:bottom w:type="dxa" w:w="80"/>
              <w:right w:type="dxa" w:w="100"/>
            </w:tcMar>
            <w:vAlign w:val="center"/>
          </w:tcPr>
          <w:p>
            <w:pPr>
              <w:jc w:val="center"/>
            </w:pPr>
            <w:r>
              <w:rPr>
                <w:b/>
                <w:bCs/>
                <w:i w:val="false"/>
                <w:iCs w:val="false"/>
                <w:color w:val="FFFFFF"/>
                <w:sz w:val="20"/>
                <w:szCs w:val="20"/>
              </w:rPr>
              <w:t xml:space="preserve">DONE — verify only</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10 minutes</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b/>
                <w:bCs/>
                <w:i w:val="false"/>
                <w:iCs w:val="false"/>
                <w:color w:val="000000"/>
                <w:sz w:val="20"/>
                <w:szCs w:val="20"/>
              </w:rPr>
              <w:t xml:space="preserve">2.2</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Pharmacy deployment trial</w:t>
            </w:r>
          </w:p>
        </w:tc>
        <w:tc>
          <w:tcPr>
            <w:tcW w:type="dxa" w:w="2000"/>
            <w:tcBorders>
              <w:top w:val="single" w:color="808080" w:sz="4"/>
              <w:left w:val="single" w:color="808080" w:sz="4"/>
              <w:bottom w:val="single" w:color="808080" w:sz="4"/>
              <w:right w:val="single" w:color="808080" w:sz="4"/>
            </w:tcBorders>
            <w:shd w:fill="047857" w:val="clear"/>
            <w:tcMar>
              <w:top w:type="dxa" w:w="80"/>
              <w:left w:type="dxa" w:w="100"/>
              <w:bottom w:type="dxa" w:w="80"/>
              <w:right w:type="dxa" w:w="100"/>
            </w:tcMar>
            <w:vAlign w:val="center"/>
          </w:tcPr>
          <w:p>
            <w:pPr>
              <w:jc w:val="center"/>
            </w:pPr>
            <w:r>
              <w:rPr>
                <w:b/>
                <w:bCs/>
                <w:i w:val="false"/>
                <w:iCs w:val="false"/>
                <w:color w:val="FFFFFF"/>
                <w:sz w:val="20"/>
                <w:szCs w:val="20"/>
              </w:rPr>
              <w:t xml:space="preserve">DONE — verify only</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10 minutes</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b/>
                <w:bCs/>
                <w:i w:val="false"/>
                <w:iCs w:val="false"/>
                <w:color w:val="000000"/>
                <w:sz w:val="20"/>
                <w:szCs w:val="20"/>
              </w:rPr>
              <w:t xml:space="preserve">2.3</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Data Protection Impact Assessment</w:t>
            </w:r>
          </w:p>
        </w:tc>
        <w:tc>
          <w:tcPr>
            <w:tcW w:type="dxa" w:w="2000"/>
            <w:tcBorders>
              <w:top w:val="single" w:color="808080" w:sz="4"/>
              <w:left w:val="single" w:color="808080" w:sz="4"/>
              <w:bottom w:val="single" w:color="808080" w:sz="4"/>
              <w:right w:val="single" w:color="808080" w:sz="4"/>
            </w:tcBorders>
            <w:shd w:fill="047857" w:val="clear"/>
            <w:tcMar>
              <w:top w:type="dxa" w:w="80"/>
              <w:left w:type="dxa" w:w="100"/>
              <w:bottom w:type="dxa" w:w="80"/>
              <w:right w:type="dxa" w:w="100"/>
            </w:tcMar>
            <w:vAlign w:val="center"/>
          </w:tcPr>
          <w:p>
            <w:pPr>
              <w:jc w:val="center"/>
            </w:pPr>
            <w:r>
              <w:rPr>
                <w:b/>
                <w:bCs/>
                <w:i w:val="false"/>
                <w:iCs w:val="false"/>
                <w:color w:val="FFFFFF"/>
                <w:sz w:val="20"/>
                <w:szCs w:val="20"/>
              </w:rPr>
              <w:t xml:space="preserve">DONE — verify only</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10 minutes</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b/>
                <w:bCs/>
                <w:i w:val="false"/>
                <w:iCs w:val="false"/>
                <w:color w:val="000000"/>
                <w:sz w:val="20"/>
                <w:szCs w:val="20"/>
              </w:rPr>
              <w:t xml:space="preserve">3.3.2</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Replace absolute paths in code</w:t>
            </w:r>
          </w:p>
        </w:tc>
        <w:tc>
          <w:tcPr>
            <w:tcW w:type="dxa" w:w="2000"/>
            <w:tcBorders>
              <w:top w:val="single" w:color="808080" w:sz="4"/>
              <w:left w:val="single" w:color="808080" w:sz="4"/>
              <w:bottom w:val="single" w:color="808080" w:sz="4"/>
              <w:right w:val="single" w:color="808080" w:sz="4"/>
            </w:tcBorders>
            <w:shd w:fill="DC2626" w:val="clear"/>
            <w:tcMar>
              <w:top w:type="dxa" w:w="80"/>
              <w:left w:type="dxa" w:w="100"/>
              <w:bottom w:type="dxa" w:w="80"/>
              <w:right w:type="dxa" w:w="100"/>
            </w:tcMar>
            <w:vAlign w:val="center"/>
          </w:tcPr>
          <w:p>
            <w:pPr>
              <w:jc w:val="center"/>
            </w:pPr>
            <w:r>
              <w:rPr>
                <w:b/>
                <w:bCs/>
                <w:i w:val="false"/>
                <w:iCs w:val="false"/>
                <w:color w:val="FFFFFF"/>
                <w:sz w:val="20"/>
                <w:szCs w:val="20"/>
              </w:rPr>
              <w:t xml:space="preserve">DO NOW</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2–4 hours</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b/>
                <w:bCs/>
                <w:i w:val="false"/>
                <w:iCs w:val="false"/>
                <w:color w:val="000000"/>
                <w:sz w:val="20"/>
                <w:szCs w:val="20"/>
              </w:rPr>
              <w:t xml:space="preserve">3.3.3</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Remove personal info from repo</w:t>
            </w:r>
          </w:p>
        </w:tc>
        <w:tc>
          <w:tcPr>
            <w:tcW w:type="dxa" w:w="2000"/>
            <w:tcBorders>
              <w:top w:val="single" w:color="808080" w:sz="4"/>
              <w:left w:val="single" w:color="808080" w:sz="4"/>
              <w:bottom w:val="single" w:color="808080" w:sz="4"/>
              <w:right w:val="single" w:color="808080" w:sz="4"/>
            </w:tcBorders>
            <w:shd w:fill="DC2626" w:val="clear"/>
            <w:tcMar>
              <w:top w:type="dxa" w:w="80"/>
              <w:left w:type="dxa" w:w="100"/>
              <w:bottom w:type="dxa" w:w="80"/>
              <w:right w:type="dxa" w:w="100"/>
            </w:tcMar>
            <w:vAlign w:val="center"/>
          </w:tcPr>
          <w:p>
            <w:pPr>
              <w:jc w:val="center"/>
            </w:pPr>
            <w:r>
              <w:rPr>
                <w:b/>
                <w:bCs/>
                <w:i w:val="false"/>
                <w:iCs w:val="false"/>
                <w:color w:val="FFFFFF"/>
                <w:sz w:val="20"/>
                <w:szCs w:val="20"/>
              </w:rPr>
              <w:t xml:space="preserve">DO NOW</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1–2 hours</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b/>
                <w:bCs/>
                <w:i w:val="false"/>
                <w:iCs w:val="false"/>
                <w:color w:val="000000"/>
                <w:sz w:val="20"/>
                <w:szCs w:val="20"/>
              </w:rPr>
              <w:t xml:space="preserve">3.1.1</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Create anonymous repository</w:t>
            </w:r>
          </w:p>
        </w:tc>
        <w:tc>
          <w:tcPr>
            <w:tcW w:type="dxa" w:w="2000"/>
            <w:tcBorders>
              <w:top w:val="single" w:color="808080" w:sz="4"/>
              <w:left w:val="single" w:color="808080" w:sz="4"/>
              <w:bottom w:val="single" w:color="808080" w:sz="4"/>
              <w:right w:val="single" w:color="808080" w:sz="4"/>
            </w:tcBorders>
            <w:shd w:fill="EA580C" w:val="clear"/>
            <w:tcMar>
              <w:top w:type="dxa" w:w="80"/>
              <w:left w:type="dxa" w:w="100"/>
              <w:bottom w:type="dxa" w:w="80"/>
              <w:right w:type="dxa" w:w="100"/>
            </w:tcMar>
            <w:vAlign w:val="center"/>
          </w:tcPr>
          <w:p>
            <w:pPr>
              <w:jc w:val="center"/>
            </w:pPr>
            <w:r>
              <w:rPr>
                <w:b/>
                <w:bCs/>
                <w:i w:val="false"/>
                <w:iCs w:val="false"/>
                <w:color w:val="FFFFFF"/>
                <w:sz w:val="20"/>
                <w:szCs w:val="20"/>
              </w:rPr>
              <w:t xml:space="preserve">DO AFTER 3.3.2 + 3.3.3</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20 minutes</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b/>
                <w:bCs/>
                <w:i w:val="false"/>
                <w:iCs w:val="false"/>
                <w:color w:val="000000"/>
                <w:sz w:val="20"/>
                <w:szCs w:val="20"/>
              </w:rPr>
              <w:t xml:space="preserve">3.3.1</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Test reproduction on clean machine</w:t>
            </w:r>
          </w:p>
        </w:tc>
        <w:tc>
          <w:tcPr>
            <w:tcW w:type="dxa" w:w="2000"/>
            <w:tcBorders>
              <w:top w:val="single" w:color="808080" w:sz="4"/>
              <w:left w:val="single" w:color="808080" w:sz="4"/>
              <w:bottom w:val="single" w:color="808080" w:sz="4"/>
              <w:right w:val="single" w:color="808080" w:sz="4"/>
            </w:tcBorders>
            <w:shd w:fill="EA580C" w:val="clear"/>
            <w:tcMar>
              <w:top w:type="dxa" w:w="80"/>
              <w:left w:type="dxa" w:w="100"/>
              <w:bottom w:type="dxa" w:w="80"/>
              <w:right w:type="dxa" w:w="100"/>
            </w:tcMar>
            <w:vAlign w:val="center"/>
          </w:tcPr>
          <w:p>
            <w:pPr>
              <w:jc w:val="center"/>
            </w:pPr>
            <w:r>
              <w:rPr>
                <w:b/>
                <w:bCs/>
                <w:i w:val="false"/>
                <w:iCs w:val="false"/>
                <w:color w:val="FFFFFF"/>
                <w:sz w:val="20"/>
                <w:szCs w:val="20"/>
              </w:rPr>
              <w:t xml:space="preserve">DO AFTER 3.1.1</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Half a day</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b/>
                <w:bCs/>
                <w:i w:val="false"/>
                <w:iCs w:val="false"/>
                <w:color w:val="000000"/>
                <w:sz w:val="20"/>
                <w:szCs w:val="20"/>
              </w:rPr>
              <w:t xml:space="preserve">7.7</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Send anonymous URL back to supervisor</w:t>
            </w:r>
          </w:p>
        </w:tc>
        <w:tc>
          <w:tcPr>
            <w:tcW w:type="dxa" w:w="2000"/>
            <w:tcBorders>
              <w:top w:val="single" w:color="808080" w:sz="4"/>
              <w:left w:val="single" w:color="808080" w:sz="4"/>
              <w:bottom w:val="single" w:color="808080" w:sz="4"/>
              <w:right w:val="single" w:color="808080" w:sz="4"/>
            </w:tcBorders>
            <w:shd w:fill="EA580C" w:val="clear"/>
            <w:tcMar>
              <w:top w:type="dxa" w:w="80"/>
              <w:left w:type="dxa" w:w="100"/>
              <w:bottom w:type="dxa" w:w="80"/>
              <w:right w:type="dxa" w:w="100"/>
            </w:tcMar>
            <w:vAlign w:val="center"/>
          </w:tcPr>
          <w:p>
            <w:pPr>
              <w:jc w:val="center"/>
            </w:pPr>
            <w:r>
              <w:rPr>
                <w:b/>
                <w:bCs/>
                <w:i w:val="false"/>
                <w:iCs w:val="false"/>
                <w:color w:val="FFFFFF"/>
                <w:sz w:val="20"/>
                <w:szCs w:val="20"/>
              </w:rPr>
              <w:t xml:space="preserve">DO AFTER 3.3.1</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5 minutes</w:t>
            </w:r>
          </w:p>
        </w:tc>
      </w:tr>
    </w:tbl>
    <w:p>
      <w:pPr>
        <w:spacing w:after="120" w:line="300"/>
        <w:jc w:val="both"/>
      </w:pPr>
      <w:r>
        <w:t xml:space="preserve">Total time: roughly half a day to one day of focused work, plus waiting time for the upload and reproduction test.</w:t>
      </w:r>
    </w:p>
    <w:p>
      <w:pPr>
        <w:pStyle w:val="Heading1"/>
        <w:spacing w:after="160" w:before="360"/>
      </w:pPr>
      <w:r>
        <w:rPr>
          <w:b/>
          <w:bCs/>
          <w:color w:val="1F3A68"/>
          <w:sz w:val="32"/>
          <w:szCs w:val="32"/>
        </w:rPr>
        <w:t xml:space="preserve">Item 2.1 — IRB approval reference</w:t>
      </w:r>
    </w:p>
    <w:p>
      <w:pPr>
        <w:shd w:fill="047857" w:val="clear"/>
        <w:spacing w:after="200" w:before="200"/>
        <w:jc w:val="left"/>
      </w:pPr>
      <w:r>
        <w:rPr>
          <w:b/>
          <w:bCs/>
          <w:color w:val="FFFFFF"/>
          <w:sz w:val="22"/>
          <w:szCs w:val="22"/>
        </w:rPr>
        <w:t xml:space="preserve">Status: RESOLVED. Your action: verify the updated manuscript text.</w:t>
      </w:r>
    </w:p>
    <w:p>
      <w:pPr>
        <w:pStyle w:val="Heading2"/>
        <w:spacing w:after="120" w:before="240"/>
      </w:pPr>
      <w:r>
        <w:rPr>
          <w:b/>
          <w:bCs/>
          <w:color w:val="2E5C8A"/>
          <w:sz w:val="26"/>
          <w:szCs w:val="26"/>
        </w:rPr>
        <w:t xml:space="preserve">What it was about</w:t>
      </w:r>
    </w:p>
    <w:p>
      <w:pPr>
        <w:spacing w:after="120" w:line="300"/>
        <w:jc w:val="both"/>
      </w:pPr>
      <w:r>
        <w:t xml:space="preserve">The original manuscript had a placeholder saying "institutional reference: redacted for double-anonymized review." The plan was to insert a real IRB approval number from the partner clinical site.</w:t>
      </w:r>
    </w:p>
    <w:p>
      <w:pPr>
        <w:pStyle w:val="Heading2"/>
        <w:spacing w:after="120" w:before="240"/>
      </w:pPr>
      <w:r>
        <w:rPr>
          <w:b/>
          <w:bCs/>
          <w:color w:val="2E5C8A"/>
          <w:sz w:val="26"/>
          <w:szCs w:val="26"/>
        </w:rPr>
        <w:t xml:space="preserve">How it was resolved</w:t>
      </w:r>
    </w:p>
    <w:p>
      <w:pPr>
        <w:spacing w:after="120" w:line="300"/>
        <w:jc w:val="both"/>
      </w:pPr>
      <w:r>
        <w:t xml:space="preserve">Once the team confirmed that only public Kaggle datasets were used (no real patient data, no clinical institution), the IRB requirement disappeared entirely. The manuscript Section 5.6 and the Ethics Approval declaration have both been rewritten to state this explicitly. There is no IRB number to find.</w:t>
      </w:r>
    </w:p>
    <w:p>
      <w:pPr>
        <w:pStyle w:val="Heading2"/>
        <w:spacing w:after="120" w:before="240"/>
      </w:pPr>
      <w:r>
        <w:rPr>
          <w:b/>
          <w:bCs/>
          <w:color w:val="2E5C8A"/>
          <w:sz w:val="26"/>
          <w:szCs w:val="26"/>
        </w:rPr>
        <w:t xml:space="preserve">Your tick-boxes for this item</w:t>
      </w:r>
    </w:p>
    <w:p>
      <w:pPr>
        <w:pStyle w:val="ListParagraph"/>
        <w:numPr>
          <w:ilvl w:val="0"/>
          <w:numId w:val="2"/>
        </w:numPr>
        <w:spacing w:after="80" w:line="290"/>
        <w:jc w:val="both"/>
      </w:pPr>
      <w:r>
        <w:t xml:space="preserve">☐ Open the updated manuscript and read Section 5.6 (Data Governance and Regulatory Compliance) — confirm the new text saying only public Kaggle data was used reads correctly to you.</w:t>
      </w:r>
    </w:p>
    <w:p>
      <w:pPr>
        <w:pStyle w:val="ListParagraph"/>
        <w:numPr>
          <w:ilvl w:val="0"/>
          <w:numId w:val="2"/>
        </w:numPr>
        <w:spacing w:after="80" w:line="290"/>
        <w:jc w:val="both"/>
      </w:pPr>
      <w:r>
        <w:t xml:space="preserve">☐ Read the Ethics Approval declaration near the end of the manuscript — confirm the new text saying “no IRB approval was required” reads correctly.</w:t>
      </w:r>
    </w:p>
    <w:p>
      <w:pPr>
        <w:pStyle w:val="ListParagraph"/>
        <w:numPr>
          <w:ilvl w:val="0"/>
          <w:numId w:val="2"/>
        </w:numPr>
        <w:spacing w:after="80" w:line="290"/>
        <w:jc w:val="both"/>
      </w:pPr>
      <w:r>
        <w:t xml:space="preserve">☐ If anything sounds wrong, flag it back to the supervisor before submission.</w:t>
      </w:r>
    </w:p>
    <w:p>
      <w:pPr>
        <w:pStyle w:val="Heading1"/>
        <w:spacing w:after="160" w:before="360"/>
      </w:pPr>
      <w:r>
        <w:rPr>
          <w:b/>
          <w:bCs/>
          <w:color w:val="1F3A68"/>
          <w:sz w:val="32"/>
          <w:szCs w:val="32"/>
        </w:rPr>
        <w:t xml:space="preserve">Item 2.2 — Pharmacy deployment trial</w:t>
      </w:r>
    </w:p>
    <w:p>
      <w:pPr>
        <w:shd w:fill="047857" w:val="clear"/>
        <w:spacing w:after="200" w:before="200"/>
        <w:jc w:val="left"/>
      </w:pPr>
      <w:r>
        <w:rPr>
          <w:b/>
          <w:bCs/>
          <w:color w:val="FFFFFF"/>
          <w:sz w:val="22"/>
          <w:szCs w:val="22"/>
        </w:rPr>
        <w:t xml:space="preserve">Status: RESOLVED. Your action: verify the updated Section 7.5.1.</w:t>
      </w:r>
    </w:p>
    <w:p>
      <w:pPr>
        <w:pStyle w:val="Heading2"/>
        <w:spacing w:after="120" w:before="240"/>
      </w:pPr>
      <w:r>
        <w:rPr>
          <w:b/>
          <w:bCs/>
          <w:color w:val="2E5C8A"/>
          <w:sz w:val="26"/>
          <w:szCs w:val="26"/>
        </w:rPr>
        <w:t xml:space="preserve">What it was about</w:t>
      </w:r>
    </w:p>
    <w:p>
      <w:pPr>
        <w:spacing w:after="120" w:line="300"/>
        <w:jc w:val="both"/>
      </w:pPr>
      <w:r>
        <w:t xml:space="preserve">The original manuscript Section 7.5.1 claimed a 12-month deployment trial with 5,000 prescriptions, 94.2% DDI sensitivity, 67.4% stockout reduction, and 42.6% reduction in expired drugs. The plan was to verify these numbers against the real trial records.</w:t>
      </w:r>
    </w:p>
    <w:p>
      <w:pPr>
        <w:pStyle w:val="Heading2"/>
        <w:spacing w:after="120" w:before="240"/>
      </w:pPr>
      <w:r>
        <w:rPr>
          <w:b/>
          <w:bCs/>
          <w:color w:val="2E5C8A"/>
          <w:sz w:val="26"/>
          <w:szCs w:val="26"/>
        </w:rPr>
        <w:t xml:space="preserve">How it was resolved</w:t>
      </w:r>
    </w:p>
    <w:p>
      <w:pPr>
        <w:spacing w:after="120" w:line="300"/>
        <w:jc w:val="both"/>
      </w:pPr>
      <w:r>
        <w:t xml:space="preserve">Since only public Kaggle data was used, no clinical deployment trial actually took place. Section 7.5.1 has been rewritten entirely. The new text describes the pharmacy module as an architectural contribution only, with no operational performance metrics. The abstract, conclusion, and Threats to Validity section have all been adjusted to match. There are no trial records to find.</w:t>
      </w:r>
    </w:p>
    <w:p>
      <w:pPr>
        <w:pStyle w:val="Heading2"/>
        <w:spacing w:after="120" w:before="240"/>
      </w:pPr>
      <w:r>
        <w:rPr>
          <w:b/>
          <w:bCs/>
          <w:color w:val="2E5C8A"/>
          <w:sz w:val="26"/>
          <w:szCs w:val="26"/>
        </w:rPr>
        <w:t xml:space="preserve">Your tick-boxes for this item</w:t>
      </w:r>
    </w:p>
    <w:p>
      <w:pPr>
        <w:pStyle w:val="ListParagraph"/>
        <w:numPr>
          <w:ilvl w:val="0"/>
          <w:numId w:val="2"/>
        </w:numPr>
        <w:spacing w:after="80" w:line="290"/>
        <w:jc w:val="both"/>
      </w:pPr>
      <w:r>
        <w:t xml:space="preserve">☐ Open the updated manuscript and read Section 7.5.1 (Pharmacy Management) — confirm the new text describing only the architectural contribution reads correctly.</w:t>
      </w:r>
    </w:p>
    <w:p>
      <w:pPr>
        <w:pStyle w:val="ListParagraph"/>
        <w:numPr>
          <w:ilvl w:val="0"/>
          <w:numId w:val="2"/>
        </w:numPr>
        <w:spacing w:after="80" w:line="290"/>
        <w:jc w:val="both"/>
      </w:pPr>
      <w:r>
        <w:t xml:space="preserve">☐ Read the updated abstract — confirm the operational percentages (94.2%, 67.4%, 42.6%) are no longer present.</w:t>
      </w:r>
    </w:p>
    <w:p>
      <w:pPr>
        <w:pStyle w:val="ListParagraph"/>
        <w:numPr>
          <w:ilvl w:val="0"/>
          <w:numId w:val="2"/>
        </w:numPr>
        <w:spacing w:after="80" w:line="290"/>
        <w:jc w:val="both"/>
      </w:pPr>
      <w:r>
        <w:t xml:space="preserve">☐ Read the updated Conclusion (Section 9) — confirm the “single-site deployment trial” sentence is gone.</w:t>
      </w:r>
    </w:p>
    <w:p>
      <w:pPr>
        <w:pStyle w:val="ListParagraph"/>
        <w:numPr>
          <w:ilvl w:val="0"/>
          <w:numId w:val="2"/>
        </w:numPr>
        <w:spacing w:after="80" w:line="290"/>
        <w:jc w:val="both"/>
      </w:pPr>
      <w:r>
        <w:t xml:space="preserve">☐ If anything sounds wrong, flag it back to the supervisor before submission.</w:t>
      </w:r>
    </w:p>
    <w:p>
      <w:pPr>
        <w:pStyle w:val="Heading1"/>
        <w:spacing w:after="160" w:before="360"/>
      </w:pPr>
      <w:r>
        <w:rPr>
          <w:b/>
          <w:bCs/>
          <w:color w:val="1F3A68"/>
          <w:sz w:val="32"/>
          <w:szCs w:val="32"/>
        </w:rPr>
        <w:t xml:space="preserve">Item 2.3 — Data Protection Impact Assessment (DPIA)</w:t>
      </w:r>
    </w:p>
    <w:p>
      <w:pPr>
        <w:shd w:fill="047857" w:val="clear"/>
        <w:spacing w:after="200" w:before="200"/>
        <w:jc w:val="left"/>
      </w:pPr>
      <w:r>
        <w:rPr>
          <w:b/>
          <w:bCs/>
          <w:color w:val="FFFFFF"/>
          <w:sz w:val="22"/>
          <w:szCs w:val="22"/>
        </w:rPr>
        <w:t xml:space="preserve">Status: RESOLVED. Your action: verify the updated Section 5.6.</w:t>
      </w:r>
    </w:p>
    <w:p>
      <w:pPr>
        <w:pStyle w:val="Heading2"/>
        <w:spacing w:after="120" w:before="240"/>
      </w:pPr>
      <w:r>
        <w:rPr>
          <w:b/>
          <w:bCs/>
          <w:color w:val="2E5C8A"/>
          <w:sz w:val="26"/>
          <w:szCs w:val="26"/>
        </w:rPr>
        <w:t xml:space="preserve">What it was about</w:t>
      </w:r>
    </w:p>
    <w:p>
      <w:pPr>
        <w:spacing w:after="120" w:line="300"/>
        <w:jc w:val="both"/>
      </w:pPr>
      <w:r>
        <w:t xml:space="preserve">The original manuscript Section 5.6 said "A Data Protection Impact Assessment was conducted prior to deployment." The plan was to find or write the actual DPIA document so it could be produced if editors asked.</w:t>
      </w:r>
    </w:p>
    <w:p>
      <w:pPr>
        <w:pStyle w:val="Heading2"/>
        <w:spacing w:after="120" w:before="240"/>
      </w:pPr>
      <w:r>
        <w:rPr>
          <w:b/>
          <w:bCs/>
          <w:color w:val="2E5C8A"/>
          <w:sz w:val="26"/>
          <w:szCs w:val="26"/>
        </w:rPr>
        <w:t xml:space="preserve">How it was resolved</w:t>
      </w:r>
    </w:p>
    <w:p>
      <w:pPr>
        <w:spacing w:after="120" w:line="300"/>
        <w:jc w:val="both"/>
      </w:pPr>
      <w:r>
        <w:t xml:space="preserve">Since only public, already-de-identified Kaggle data was used, no DPIA is needed. Section 5.6 has been rewritten to state this explicitly and to clarify that any future site that deploys OptiCare-RA on real patient data is responsible for instantiating the controls and conducting the appropriate DPIA. There is no DPIA document to find or write.</w:t>
      </w:r>
    </w:p>
    <w:p>
      <w:pPr>
        <w:pStyle w:val="Heading2"/>
        <w:spacing w:after="120" w:before="240"/>
      </w:pPr>
      <w:r>
        <w:rPr>
          <w:b/>
          <w:bCs/>
          <w:color w:val="2E5C8A"/>
          <w:sz w:val="26"/>
          <w:szCs w:val="26"/>
        </w:rPr>
        <w:t xml:space="preserve">Your tick-boxes for this item</w:t>
      </w:r>
    </w:p>
    <w:p>
      <w:pPr>
        <w:pStyle w:val="ListParagraph"/>
        <w:numPr>
          <w:ilvl w:val="0"/>
          <w:numId w:val="2"/>
        </w:numPr>
        <w:spacing w:after="80" w:line="290"/>
        <w:jc w:val="both"/>
      </w:pPr>
      <w:r>
        <w:t xml:space="preserve">☐ Open the updated manuscript Section 5.6 and confirm the new text saying no DPIA was required reads correctly to you.</w:t>
      </w:r>
    </w:p>
    <w:p>
      <w:pPr>
        <w:pStyle w:val="ListParagraph"/>
        <w:numPr>
          <w:ilvl w:val="0"/>
          <w:numId w:val="2"/>
        </w:numPr>
        <w:spacing w:after="80" w:line="290"/>
        <w:jc w:val="both"/>
      </w:pPr>
      <w:r>
        <w:t xml:space="preserve">☐ Confirm the new sentence about future deploying-site responsibility is clearly written.</w:t>
      </w:r>
    </w:p>
    <w:p>
      <w:pPr>
        <w:pStyle w:val="ListParagraph"/>
        <w:numPr>
          <w:ilvl w:val="0"/>
          <w:numId w:val="2"/>
        </w:numPr>
        <w:spacing w:after="80" w:line="290"/>
        <w:jc w:val="both"/>
      </w:pPr>
      <w:r>
        <w:t xml:space="preserve">☐ If anything sounds wrong, flag it back to the supervisor before submission.</w:t>
      </w:r>
    </w:p>
    <w:p>
      <w:pPr>
        <w:pStyle w:val="Heading1"/>
        <w:spacing w:after="160" w:before="360"/>
      </w:pPr>
      <w:r>
        <w:rPr>
          <w:b/>
          <w:bCs/>
          <w:color w:val="1F3A68"/>
          <w:sz w:val="32"/>
          <w:szCs w:val="32"/>
        </w:rPr>
        <w:t xml:space="preserve">Item 3.3.2 — Replace absolute paths with repo-relative paths</w:t>
      </w:r>
    </w:p>
    <w:p>
      <w:pPr>
        <w:shd w:fill="DC2626" w:val="clear"/>
        <w:spacing w:after="200" w:before="200"/>
        <w:jc w:val="left"/>
      </w:pPr>
      <w:r>
        <w:rPr>
          <w:b/>
          <w:bCs/>
          <w:color w:val="FFFFFF"/>
          <w:sz w:val="22"/>
          <w:szCs w:val="22"/>
        </w:rPr>
        <w:t xml:space="preserve">Status: TO DO. Estimated time: 2–4 hours.</w:t>
      </w:r>
    </w:p>
    <w:p>
      <w:pPr>
        <w:pStyle w:val="Heading2"/>
        <w:spacing w:after="120" w:before="240"/>
      </w:pPr>
      <w:r>
        <w:rPr>
          <w:b/>
          <w:bCs/>
          <w:color w:val="2E5C8A"/>
          <w:sz w:val="26"/>
          <w:szCs w:val="26"/>
        </w:rPr>
        <w:t xml:space="preserve">What it means</w:t>
      </w:r>
    </w:p>
    <w:p>
      <w:pPr>
        <w:spacing w:after="120" w:line="300"/>
        <w:jc w:val="both"/>
      </w:pPr>
      <w:r>
        <w:t xml:space="preserve">Code can refer to files in two ways: ABSOLUTE paths like “/home/ahmed/Opticare/data/brats.csv” only work on the original developer’s computer; REPO-RELATIVE paths like “./data/brats.csv” work for anyone who clones the repository. Reviewers will run your code on their own machines, so all paths must be repo-relative.</w:t>
      </w:r>
    </w:p>
    <w:p>
      <w:pPr>
        <w:pStyle w:val="Heading2"/>
        <w:spacing w:after="120" w:before="240"/>
      </w:pPr>
      <w:r>
        <w:rPr>
          <w:b/>
          <w:bCs/>
          <w:color w:val="2E5C8A"/>
          <w:sz w:val="26"/>
          <w:szCs w:val="26"/>
        </w:rPr>
        <w:t xml:space="preserve">Why it matters</w:t>
      </w:r>
    </w:p>
    <w:p>
      <w:pPr>
        <w:spacing w:after="120" w:line="300"/>
        <w:jc w:val="both"/>
      </w:pPr>
      <w:r>
        <w:t xml:space="preserve">If a reviewer downloads the artifact and the script tries to open /home/ahmed/... and the reviewer is named Mohamed, the script crashes immediately. This is the number-one reason artifacts fail blind reproduction.</w:t>
      </w:r>
    </w:p>
    <w:p>
      <w:pPr>
        <w:pStyle w:val="Heading2"/>
        <w:spacing w:after="120" w:before="240"/>
      </w:pPr>
      <w:r>
        <w:rPr>
          <w:b/>
          <w:bCs/>
          <w:color w:val="2E5C8A"/>
          <w:sz w:val="26"/>
          <w:szCs w:val="26"/>
        </w:rPr>
        <w:t xml:space="preserve">Step-by-step</w:t>
      </w:r>
    </w:p>
    <w:p>
      <w:pPr>
        <w:pStyle w:val="Heading3"/>
        <w:spacing w:after="100" w:before="200"/>
      </w:pPr>
      <w:r>
        <w:rPr>
          <w:b/>
          <w:bCs/>
          <w:i/>
          <w:iCs/>
          <w:color w:val="404040"/>
          <w:sz w:val="22"/>
          <w:szCs w:val="22"/>
        </w:rPr>
        <w:t xml:space="preserve">Step 1. Clone the GitHub repository to a fresh local folder</w:t>
      </w:r>
    </w:p>
    <w:p>
      <w:pPr>
        <w:shd w:fill="F1F5F9" w:val="clear"/>
        <w:spacing w:after="100" w:before="100"/>
        <w:jc w:val="left"/>
      </w:pPr>
      <w:r>
        <w:rPr>
          <w:rFonts w:ascii="Consolas" w:cs="Consolas" w:eastAsia="Consolas" w:hAnsi="Consolas"/>
          <w:sz w:val="18"/>
          <w:szCs w:val="18"/>
        </w:rPr>
        <w:t xml:space="preserve">cd ~/Documents
mkdir OptiCare-anon-submission
cd OptiCare-anon-submission
git clone https://github.com/ahmedesmail165/Opticare-Hospital.git source-repo
cd source-repo</w:t>
      </w:r>
    </w:p>
    <w:p>
      <w:pPr>
        <w:pStyle w:val="Heading3"/>
        <w:spacing w:after="100" w:before="200"/>
      </w:pPr>
      <w:r>
        <w:rPr>
          <w:b/>
          <w:bCs/>
          <w:i/>
          <w:iCs/>
          <w:color w:val="404040"/>
          <w:sz w:val="22"/>
          <w:szCs w:val="22"/>
        </w:rPr>
        <w:t xml:space="preserve">Step 2. Search the codebase for absolute paths</w:t>
      </w:r>
    </w:p>
    <w:p>
      <w:pPr>
        <w:shd w:fill="F1F5F9" w:val="clear"/>
        <w:spacing w:after="100" w:before="100"/>
        <w:jc w:val="left"/>
      </w:pPr>
      <w:r>
        <w:rPr>
          <w:rFonts w:ascii="Consolas" w:cs="Consolas" w:eastAsia="Consolas" w:hAnsi="Consolas"/>
          <w:sz w:val="18"/>
          <w:szCs w:val="18"/>
        </w:rPr>
        <w:t xml:space="preserve">grep -rn "/home/" --include="*.py" --include="*.ipynb" --include="*.sh" .
grep -rn "/Users/" --include="*.py" --include="*.ipynb" --include="*.sh" .
grep -rn "C:\\\\" --include="*.py" --include="*.ipynb" .
grep -rn "D:\\\\" --include="*.py" --include="*.ipynb" .</w:t>
      </w:r>
    </w:p>
    <w:p>
      <w:pPr>
        <w:pStyle w:val="Heading3"/>
        <w:spacing w:after="100" w:before="200"/>
      </w:pPr>
      <w:r>
        <w:rPr>
          <w:b/>
          <w:bCs/>
          <w:i/>
          <w:iCs/>
          <w:color w:val="404040"/>
          <w:sz w:val="22"/>
          <w:szCs w:val="22"/>
        </w:rPr>
        <w:t xml:space="preserve">Step 3. For each match, replace using one of three patterns</w:t>
      </w:r>
    </w:p>
    <w:p>
      <w:pPr>
        <w:pStyle w:val="ListParagraph"/>
        <w:numPr>
          <w:ilvl w:val="0"/>
          <w:numId w:val="2"/>
        </w:numPr>
        <w:spacing w:after="80" w:line="290"/>
        <w:jc w:val="both"/>
      </w:pPr>
      <w:r>
        <w:rPr>
          <w:b/>
          <w:bCs/>
        </w:rPr>
        <w:t xml:space="preserve">Pattern A — file inside the repo: </w:t>
      </w:r>
      <w:r>
        <w:t xml:space="preserve">replace “/home/ahmed/OptiCare/data/brats.csv” with “./data/brats.csv”</w:t>
      </w:r>
    </w:p>
    <w:p>
      <w:pPr>
        <w:pStyle w:val="ListParagraph"/>
        <w:numPr>
          <w:ilvl w:val="0"/>
          <w:numId w:val="2"/>
        </w:numPr>
        <w:spacing w:after="80" w:line="290"/>
        <w:jc w:val="both"/>
      </w:pPr>
      <w:r>
        <w:rPr>
          <w:b/>
          <w:bCs/>
        </w:rPr>
        <w:t xml:space="preserve">Pattern B — use REPO_ROOT base in Python: </w:t>
      </w:r>
    </w:p>
    <w:p>
      <w:pPr>
        <w:shd w:fill="F1F5F9" w:val="clear"/>
        <w:spacing w:after="100" w:before="100"/>
        <w:jc w:val="left"/>
      </w:pPr>
      <w:r>
        <w:rPr>
          <w:rFonts w:ascii="Consolas" w:cs="Consolas" w:eastAsia="Consolas" w:hAnsi="Consolas"/>
          <w:sz w:val="18"/>
          <w:szCs w:val="18"/>
        </w:rPr>
        <w:t xml:space="preserve">import os
REPO_ROOT = os.path.dirname(os.path.abspath(__file__))
data_path = os.path.join(REPO_ROOT, "data", "brats.csv")</w:t>
      </w:r>
    </w:p>
    <w:p>
      <w:pPr>
        <w:pStyle w:val="ListParagraph"/>
        <w:numPr>
          <w:ilvl w:val="0"/>
          <w:numId w:val="2"/>
        </w:numPr>
        <w:spacing w:after="80" w:line="290"/>
        <w:jc w:val="both"/>
      </w:pPr>
      <w:r>
        <w:rPr>
          <w:b/>
          <w:bCs/>
        </w:rPr>
        <w:t xml:space="preserve">Pattern C — environment variable for large datasets: </w:t>
      </w:r>
    </w:p>
    <w:p>
      <w:pPr>
        <w:shd w:fill="F1F5F9" w:val="clear"/>
        <w:spacing w:after="100" w:before="100"/>
        <w:jc w:val="left"/>
      </w:pPr>
      <w:r>
        <w:rPr>
          <w:rFonts w:ascii="Consolas" w:cs="Consolas" w:eastAsia="Consolas" w:hAnsi="Consolas"/>
          <w:sz w:val="18"/>
          <w:szCs w:val="18"/>
        </w:rPr>
        <w:t xml:space="preserve">import os
DATA_DIR = os.environ.get("DATA_DIR", "./data")
data_path = os.path.join(DATA_DIR, "brats.csv")</w:t>
      </w:r>
    </w:p>
    <w:p>
      <w:pPr>
        <w:pStyle w:val="Heading3"/>
        <w:spacing w:after="100" w:before="200"/>
      </w:pPr>
      <w:r>
        <w:rPr>
          <w:b/>
          <w:bCs/>
          <w:i/>
          <w:iCs/>
          <w:color w:val="404040"/>
          <w:sz w:val="22"/>
          <w:szCs w:val="22"/>
        </w:rPr>
        <w:t xml:space="preserve">Step 4. Re-run the grep commands to verify</w:t>
      </w:r>
    </w:p>
    <w:p>
      <w:pPr>
        <w:spacing w:after="120" w:line="300"/>
        <w:jc w:val="both"/>
      </w:pPr>
      <w:r>
        <w:t xml:space="preserve">They should now return zero results. If they still find absolute paths, fix those too.</w:t>
      </w:r>
    </w:p>
    <w:p>
      <w:pPr>
        <w:pStyle w:val="Heading2"/>
        <w:spacing w:after="120" w:before="240"/>
      </w:pPr>
      <w:r>
        <w:rPr>
          <w:b/>
          <w:bCs/>
          <w:color w:val="2E5C8A"/>
          <w:sz w:val="26"/>
          <w:szCs w:val="26"/>
        </w:rPr>
        <w:t xml:space="preserve">Tick-box</w:t>
      </w:r>
    </w:p>
    <w:p>
      <w:pPr>
        <w:pStyle w:val="ListParagraph"/>
        <w:numPr>
          <w:ilvl w:val="0"/>
          <w:numId w:val="2"/>
        </w:numPr>
        <w:spacing w:after="80" w:line="290"/>
        <w:jc w:val="both"/>
      </w:pPr>
      <w:r>
        <w:t xml:space="preserve">☐ All grep commands return zero results. Every absolute path in the codebase has been replaced with a repo-relative path.</w:t>
      </w:r>
    </w:p>
    <w:p>
      <w:pPr>
        <w:pStyle w:val="Heading1"/>
        <w:spacing w:after="160" w:before="360"/>
      </w:pPr>
      <w:r>
        <w:rPr>
          <w:b/>
          <w:bCs/>
          <w:color w:val="1F3A68"/>
          <w:sz w:val="32"/>
          <w:szCs w:val="32"/>
        </w:rPr>
        <w:t xml:space="preserve">Item 3.3.3 — Remove personal info from code, comments, and commit history</w:t>
      </w:r>
    </w:p>
    <w:p>
      <w:pPr>
        <w:shd w:fill="DC2626" w:val="clear"/>
        <w:spacing w:after="200" w:before="200"/>
        <w:jc w:val="left"/>
      </w:pPr>
      <w:r>
        <w:rPr>
          <w:b/>
          <w:bCs/>
          <w:color w:val="FFFFFF"/>
          <w:sz w:val="22"/>
          <w:szCs w:val="22"/>
        </w:rPr>
        <w:t xml:space="preserve">Status: TO DO. Estimated time: 1–2 hours. Do this AFTER 3.3.2.</w:t>
      </w:r>
    </w:p>
    <w:p>
      <w:pPr>
        <w:pStyle w:val="Heading2"/>
        <w:spacing w:after="120" w:before="240"/>
      </w:pPr>
      <w:r>
        <w:rPr>
          <w:b/>
          <w:bCs/>
          <w:color w:val="2E5C8A"/>
          <w:sz w:val="26"/>
          <w:szCs w:val="26"/>
        </w:rPr>
        <w:t xml:space="preserve">What it means</w:t>
      </w:r>
    </w:p>
    <w:p>
      <w:pPr>
        <w:spacing w:after="120" w:line="300"/>
        <w:jc w:val="both"/>
      </w:pPr>
      <w:r>
        <w:t xml:space="preserve">Personal info can hide in many places in a code repository: code comments mentioning author names, hard-coded paths, email addresses, university names, and especially git commit history (which records every commit’s author by default). For double-blind submission, all of this must be removed before uploading.</w:t>
      </w:r>
    </w:p>
    <w:p>
      <w:pPr>
        <w:pStyle w:val="Heading2"/>
        <w:spacing w:after="120" w:before="240"/>
      </w:pPr>
      <w:r>
        <w:rPr>
          <w:b/>
          <w:bCs/>
          <w:color w:val="2E5C8A"/>
          <w:sz w:val="26"/>
          <w:szCs w:val="26"/>
        </w:rPr>
        <w:t xml:space="preserve">Why it matters</w:t>
      </w:r>
    </w:p>
    <w:p>
      <w:pPr>
        <w:spacing w:after="120" w:line="300"/>
        <w:jc w:val="both"/>
      </w:pPr>
      <w:r>
        <w:t xml:space="preserve">If a reviewer can identify the authors from the code, the double-blind review is broken. Some venues automatically reject submissions where this happens.</w:t>
      </w:r>
    </w:p>
    <w:p>
      <w:pPr>
        <w:pStyle w:val="Heading2"/>
        <w:spacing w:after="120" w:before="240"/>
      </w:pPr>
      <w:r>
        <w:rPr>
          <w:b/>
          <w:bCs/>
          <w:color w:val="2E5C8A"/>
          <w:sz w:val="26"/>
          <w:szCs w:val="26"/>
        </w:rPr>
        <w:t xml:space="preserve">Step-by-step</w:t>
      </w:r>
    </w:p>
    <w:p>
      <w:pPr>
        <w:pStyle w:val="Heading3"/>
        <w:spacing w:after="100" w:before="200"/>
      </w:pPr>
      <w:r>
        <w:rPr>
          <w:b/>
          <w:bCs/>
          <w:i/>
          <w:iCs/>
          <w:color w:val="404040"/>
          <w:sz w:val="22"/>
          <w:szCs w:val="22"/>
        </w:rPr>
        <w:t xml:space="preserve">Step 1. Search for personal and institutional names</w:t>
      </w:r>
    </w:p>
    <w:p>
      <w:pPr>
        <w:shd w:fill="F1F5F9" w:val="clear"/>
        <w:spacing w:after="100" w:before="100"/>
        <w:jc w:val="left"/>
      </w:pPr>
      <w:r>
        <w:rPr>
          <w:rFonts w:ascii="Consolas" w:cs="Consolas" w:eastAsia="Consolas" w:hAnsi="Consolas"/>
          <w:sz w:val="18"/>
          <w:szCs w:val="18"/>
        </w:rPr>
        <w:t xml:space="preserve">grep -rni "ahmed" .
grep -rni "esmail" .
grep -rni "aya" .
grep -rni "al-zoghby" .
grep -rni "al zoghby" .
grep -rni "ebada" .
grep -rni "shaalan" .
grep -rni "mohamed" .
grep -rni "sayed" .
grep -rni "abdallah" .</w:t>
      </w:r>
    </w:p>
    <w:p>
      <w:pPr>
        <w:pStyle w:val="Heading3"/>
        <w:spacing w:after="100" w:before="200"/>
      </w:pPr>
      <w:r>
        <w:rPr>
          <w:b/>
          <w:bCs/>
          <w:i/>
          <w:iCs/>
          <w:color w:val="404040"/>
          <w:sz w:val="22"/>
          <w:szCs w:val="22"/>
        </w:rPr>
        <w:t xml:space="preserve">Step 2. Search for institutions and email domains</w:t>
      </w:r>
    </w:p>
    <w:p>
      <w:pPr>
        <w:shd w:fill="F1F5F9" w:val="clear"/>
        <w:spacing w:after="100" w:before="100"/>
        <w:jc w:val="left"/>
      </w:pPr>
      <w:r>
        <w:rPr>
          <w:rFonts w:ascii="Consolas" w:cs="Consolas" w:eastAsia="Consolas" w:hAnsi="Consolas"/>
          <w:sz w:val="18"/>
          <w:szCs w:val="18"/>
        </w:rPr>
        <w:t xml:space="preserve">grep -rni "damietta" .
grep -rni "mansoura" .
grep -rni "BUiD" .
grep -rn "@du\.edu\.eg" .
grep -rn "@buid\.ac\.ae" .</w:t>
      </w:r>
    </w:p>
    <w:p>
      <w:pPr>
        <w:pStyle w:val="Heading3"/>
        <w:spacing w:after="100" w:before="200"/>
      </w:pPr>
      <w:r>
        <w:rPr>
          <w:b/>
          <w:bCs/>
          <w:i/>
          <w:iCs/>
          <w:color w:val="404040"/>
          <w:sz w:val="22"/>
          <w:szCs w:val="22"/>
        </w:rPr>
        <w:t xml:space="preserve">Step 3. For each match found, replace using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08080" w:sz="4"/>
              <w:left w:val="single" w:color="808080" w:sz="4"/>
              <w:bottom w:val="single" w:color="808080" w:sz="4"/>
              <w:right w:val="single" w:color="808080" w:sz="4"/>
            </w:tcBorders>
            <w:shd w:fill="1F3A68" w:val="clear"/>
            <w:tcMar>
              <w:top w:type="dxa" w:w="80"/>
              <w:left w:type="dxa" w:w="100"/>
              <w:bottom w:type="dxa" w:w="80"/>
              <w:right w:type="dxa" w:w="100"/>
            </w:tcMar>
            <w:vAlign w:val="center"/>
          </w:tcPr>
          <w:p>
            <w:pPr>
              <w:jc w:val="left"/>
            </w:pPr>
            <w:r>
              <w:rPr>
                <w:b/>
                <w:bCs/>
                <w:i w:val="false"/>
                <w:iCs w:val="false"/>
                <w:color w:val="FFFFFF"/>
                <w:sz w:val="20"/>
                <w:szCs w:val="20"/>
              </w:rPr>
              <w:t xml:space="preserve">If you find...</w:t>
            </w:r>
          </w:p>
        </w:tc>
        <w:tc>
          <w:tcPr>
            <w:tcW w:type="dxa" w:w="4680"/>
            <w:tcBorders>
              <w:top w:val="single" w:color="808080" w:sz="4"/>
              <w:left w:val="single" w:color="808080" w:sz="4"/>
              <w:bottom w:val="single" w:color="808080" w:sz="4"/>
              <w:right w:val="single" w:color="808080" w:sz="4"/>
            </w:tcBorders>
            <w:shd w:fill="1F3A68" w:val="clear"/>
            <w:tcMar>
              <w:top w:type="dxa" w:w="80"/>
              <w:left w:type="dxa" w:w="100"/>
              <w:bottom w:type="dxa" w:w="80"/>
              <w:right w:type="dxa" w:w="100"/>
            </w:tcMar>
            <w:vAlign w:val="center"/>
          </w:tcPr>
          <w:p>
            <w:pPr>
              <w:jc w:val="left"/>
            </w:pPr>
            <w:r>
              <w:rPr>
                <w:b/>
                <w:bCs/>
                <w:i w:val="false"/>
                <w:iCs w:val="false"/>
                <w:color w:val="FFFFFF"/>
                <w:sz w:val="20"/>
                <w:szCs w:val="20"/>
              </w:rPr>
              <w:t xml:space="preserve">Replace with...</w:t>
            </w:r>
          </w:p>
        </w:tc>
      </w:tr>
      <w:tr>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Author name in code comment (e.g. "# Modified by Ahmed Esmail")</w:t>
            </w:r>
          </w:p>
        </w:tc>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Remove the comment, or rewrite generically: "# Modified to handle the multi-modal fusion case"</w:t>
            </w:r>
          </w:p>
        </w:tc>
      </w:tr>
      <w:tr>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__author__ field in a Python file</w:t>
            </w:r>
          </w:p>
        </w:tc>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__author__ = "Anonymous Author"  (or remove the field)</w:t>
            </w:r>
          </w:p>
        </w:tc>
      </w:tr>
      <w:tr>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Email address in any file</w:t>
            </w:r>
          </w:p>
        </w:tc>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anonymous@example.com</w:t>
            </w:r>
          </w:p>
        </w:tc>
      </w:tr>
      <w:tr>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Institution name in headers or watermarks</w:t>
            </w:r>
          </w:p>
        </w:tc>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"Anonymous Institution" or remove entirely</w:t>
            </w:r>
          </w:p>
        </w:tc>
      </w:tr>
      <w:tr>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File name containing a personal/institutional name (e.g. ahmed_train.py)</w:t>
            </w:r>
          </w:p>
        </w:tc>
        <w:tc>
          <w:tcPr>
            <w:tcW w:type="dxa" w:w="4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Rename to something neutral: train.py</w:t>
            </w:r>
          </w:p>
        </w:tc>
      </w:tr>
    </w:tbl>
    <w:p>
      <w:pPr>
        <w:pStyle w:val="Heading3"/>
        <w:spacing w:after="100" w:before="200"/>
      </w:pPr>
      <w:r>
        <w:rPr>
          <w:b/>
          <w:bCs/>
          <w:i/>
          <w:iCs/>
          <w:color w:val="404040"/>
          <w:sz w:val="22"/>
          <w:szCs w:val="22"/>
        </w:rPr>
        <w:t xml:space="preserve">Step 4. Strip the git history under anonymous credentials</w:t>
      </w:r>
    </w:p>
    <w:p>
      <w:pPr>
        <w:spacing w:after="120" w:line="300"/>
        <w:jc w:val="both"/>
      </w:pPr>
      <w:r>
        <w:t xml:space="preserve">Even after the working files are clean, every git commit still shows the original author’s name and email. Run these commands to start fresh:</w:t>
      </w:r>
    </w:p>
    <w:p>
      <w:pPr>
        <w:shd w:fill="F1F5F9" w:val="clear"/>
        <w:spacing w:after="100" w:before="100"/>
        <w:jc w:val="left"/>
      </w:pPr>
      <w:r>
        <w:rPr>
          <w:rFonts w:ascii="Consolas" w:cs="Consolas" w:eastAsia="Consolas" w:hAnsi="Consolas"/>
          <w:sz w:val="18"/>
          <w:szCs w:val="18"/>
        </w:rPr>
        <w:t xml:space="preserve">rm -rf .git
git init
git config --local user.name "Anonymous Author"
git config --local user.email "anonymous@example.com"
git add .
git commit -m "Initial commit"</w:t>
      </w:r>
    </w:p>
    <w:p>
      <w:pPr>
        <w:spacing w:after="120" w:line="300"/>
        <w:jc w:val="both"/>
      </w:pPr>
      <w:r>
        <w:t xml:space="preserve">Verify the history is now anonymous:</w:t>
      </w:r>
    </w:p>
    <w:p>
      <w:pPr>
        <w:shd w:fill="F1F5F9" w:val="clear"/>
        <w:spacing w:after="100" w:before="100"/>
        <w:jc w:val="left"/>
      </w:pPr>
      <w:r>
        <w:rPr>
          <w:rFonts w:ascii="Consolas" w:cs="Consolas" w:eastAsia="Consolas" w:hAnsi="Consolas"/>
          <w:sz w:val="18"/>
          <w:szCs w:val="18"/>
        </w:rPr>
        <w:t xml:space="preserve">git log --pretty=fuller</w:t>
      </w:r>
    </w:p>
    <w:p>
      <w:pPr>
        <w:spacing w:after="120" w:line="300"/>
        <w:jc w:val="both"/>
      </w:pPr>
      <w:r>
        <w:t xml:space="preserve">Both the Author and Commit fields should say “Anonymous Author &lt;anonymous@example.com&gt;”. If you see your real name, redo the credentials setup before committing.</w:t>
      </w:r>
    </w:p>
    <w:p>
      <w:pPr>
        <w:pStyle w:val="Heading3"/>
        <w:spacing w:after="100" w:before="200"/>
      </w:pPr>
      <w:r>
        <w:rPr>
          <w:b/>
          <w:bCs/>
          <w:i/>
          <w:iCs/>
          <w:color w:val="404040"/>
          <w:sz w:val="22"/>
          <w:szCs w:val="22"/>
        </w:rPr>
        <w:t xml:space="preserve">Step 5. Strip metadata from images and PDFs</w:t>
      </w:r>
    </w:p>
    <w:p>
      <w:pPr>
        <w:spacing w:after="120" w:line="300"/>
        <w:jc w:val="both"/>
      </w:pPr>
      <w:r>
        <w:t xml:space="preserve">PNG, JPEG, and PDF files can contain hidden author metadata. Install ImageMagick and exiftool first, then run:</w:t>
      </w:r>
    </w:p>
    <w:p>
      <w:pPr>
        <w:shd w:fill="F1F5F9" w:val="clear"/>
        <w:spacing w:after="100" w:before="100"/>
        <w:jc w:val="left"/>
      </w:pPr>
      <w:r>
        <w:rPr>
          <w:rFonts w:ascii="Consolas" w:cs="Consolas" w:eastAsia="Consolas" w:hAnsi="Consolas"/>
          <w:sz w:val="18"/>
          <w:szCs w:val="18"/>
        </w:rPr>
        <w:t xml:space="preserve">sudo apt install imagemagick libimage-exiftool-perl   # on Ubuntu/Debian
brew install imagemagick exiftool                       # on macOS
find . -type f \( -name "*.png" -o -name "*.jpg" -o -name "*.jpeg" \) -exec convert {} -strip {} \;
find . -type f -name "*.pdf" -exec exiftool -all= -overwrite_original {} \;</w:t>
      </w:r>
    </w:p>
    <w:p>
      <w:pPr>
        <w:pStyle w:val="Heading3"/>
        <w:spacing w:after="100" w:before="200"/>
      </w:pPr>
      <w:r>
        <w:rPr>
          <w:b/>
          <w:bCs/>
          <w:i/>
          <w:iCs/>
          <w:color w:val="404040"/>
          <w:sz w:val="22"/>
          <w:szCs w:val="22"/>
        </w:rPr>
        <w:t xml:space="preserve">Step 6. Final check by your supervisor</w:t>
      </w:r>
    </w:p>
    <w:p>
      <w:pPr>
        <w:spacing w:after="120" w:line="300"/>
        <w:jc w:val="both"/>
      </w:pPr>
      <w:r>
        <w:t xml:space="preserve">Have your supervisor clone the cleaned local repository on their own machine and run the same grep commands. If they find anything, fix it. This second-person check catches things you missed.</w:t>
      </w:r>
    </w:p>
    <w:p>
      <w:pPr>
        <w:pStyle w:val="Heading2"/>
        <w:spacing w:after="120" w:before="240"/>
      </w:pPr>
      <w:r>
        <w:rPr>
          <w:b/>
          <w:bCs/>
          <w:color w:val="2E5C8A"/>
          <w:sz w:val="26"/>
          <w:szCs w:val="26"/>
        </w:rPr>
        <w:t xml:space="preserve">Tick-boxes</w:t>
      </w:r>
    </w:p>
    <w:p>
      <w:pPr>
        <w:pStyle w:val="ListParagraph"/>
        <w:numPr>
          <w:ilvl w:val="0"/>
          <w:numId w:val="2"/>
        </w:numPr>
        <w:spacing w:after="80" w:line="290"/>
        <w:jc w:val="both"/>
      </w:pPr>
      <w:r>
        <w:t xml:space="preserve">☐ All grep commands for personal names return zero results.</w:t>
      </w:r>
    </w:p>
    <w:p>
      <w:pPr>
        <w:pStyle w:val="ListParagraph"/>
        <w:numPr>
          <w:ilvl w:val="0"/>
          <w:numId w:val="2"/>
        </w:numPr>
        <w:spacing w:after="80" w:line="290"/>
        <w:jc w:val="both"/>
      </w:pPr>
      <w:r>
        <w:t xml:space="preserve">☐ All grep commands for institutional names and email domains return zero results.</w:t>
      </w:r>
    </w:p>
    <w:p>
      <w:pPr>
        <w:pStyle w:val="ListParagraph"/>
        <w:numPr>
          <w:ilvl w:val="0"/>
          <w:numId w:val="2"/>
        </w:numPr>
        <w:spacing w:after="80" w:line="290"/>
        <w:jc w:val="both"/>
      </w:pPr>
      <w:r>
        <w:t xml:space="preserve">☐ git log --pretty=fuller shows only “Anonymous Author” for every commit.</w:t>
      </w:r>
    </w:p>
    <w:p>
      <w:pPr>
        <w:pStyle w:val="ListParagraph"/>
        <w:numPr>
          <w:ilvl w:val="0"/>
          <w:numId w:val="2"/>
        </w:numPr>
        <w:spacing w:after="80" w:line="290"/>
        <w:jc w:val="both"/>
      </w:pPr>
      <w:r>
        <w:t xml:space="preserve">☐ Sample image / PDF metadata checked with exiftool returns no author or creator field.</w:t>
      </w:r>
    </w:p>
    <w:p>
      <w:pPr>
        <w:pStyle w:val="ListParagraph"/>
        <w:numPr>
          <w:ilvl w:val="0"/>
          <w:numId w:val="2"/>
        </w:numPr>
        <w:spacing w:after="80" w:line="290"/>
        <w:jc w:val="both"/>
      </w:pPr>
      <w:r>
        <w:t xml:space="preserve">☐ Supervisor verified the repo on a different machine and found nothing.</w:t>
      </w:r>
    </w:p>
    <w:p>
      <w:pPr>
        <w:pStyle w:val="Heading1"/>
        <w:spacing w:after="160" w:before="360"/>
      </w:pPr>
      <w:r>
        <w:rPr>
          <w:b/>
          <w:bCs/>
          <w:color w:val="1F3A68"/>
          <w:sz w:val="32"/>
          <w:szCs w:val="32"/>
        </w:rPr>
        <w:t xml:space="preserve">Item 3.1.1 — Create the anonymous repository</w:t>
      </w:r>
    </w:p>
    <w:p>
      <w:pPr>
        <w:shd w:fill="EA580C" w:val="clear"/>
        <w:spacing w:after="200" w:before="200"/>
        <w:jc w:val="left"/>
      </w:pPr>
      <w:r>
        <w:rPr>
          <w:b/>
          <w:bCs/>
          <w:color w:val="FFFFFF"/>
          <w:sz w:val="22"/>
          <w:szCs w:val="22"/>
        </w:rPr>
        <w:t xml:space="preserve">Status: DO AFTER 3.3.2 and 3.3.3 are complete. Estimated time: 20 minutes (mostly waiting for upload).</w:t>
      </w:r>
    </w:p>
    <w:p>
      <w:pPr>
        <w:pStyle w:val="Heading2"/>
        <w:spacing w:after="120" w:before="240"/>
      </w:pPr>
      <w:r>
        <w:rPr>
          <w:b/>
          <w:bCs/>
          <w:color w:val="2E5C8A"/>
          <w:sz w:val="26"/>
          <w:szCs w:val="26"/>
        </w:rPr>
        <w:t xml:space="preserve">What it means</w:t>
      </w:r>
    </w:p>
    <w:p>
      <w:pPr>
        <w:spacing w:after="120" w:line="300"/>
        <w:jc w:val="both"/>
      </w:pPr>
      <w:r>
        <w:t xml:space="preserve">The manuscript repeatedly refers to an “anonymized repository at [URL].” That URL must exist before submission. Anonymous means: a reviewer can browse and download the code, but cannot see who wrote it.</w:t>
      </w:r>
    </w:p>
    <w:p>
      <w:pPr>
        <w:pStyle w:val="Heading2"/>
        <w:spacing w:after="120" w:before="240"/>
      </w:pPr>
      <w:r>
        <w:rPr>
          <w:b/>
          <w:bCs/>
          <w:color w:val="2E5C8A"/>
          <w:sz w:val="26"/>
          <w:szCs w:val="26"/>
        </w:rPr>
        <w:t xml:space="preserve">Why it matters</w:t>
      </w:r>
    </w:p>
    <w:p>
      <w:pPr>
        <w:spacing w:after="120" w:line="300"/>
        <w:jc w:val="both"/>
      </w:pPr>
      <w:r>
        <w:t xml:space="preserve">The cover letter and Section 6.6 of the manuscript both promise this URL. Submitting without it is incomplete and may be desk-rejected.</w:t>
      </w:r>
    </w:p>
    <w:p>
      <w:pPr>
        <w:pStyle w:val="Heading2"/>
        <w:spacing w:after="120" w:before="240"/>
      </w:pPr>
      <w:r>
        <w:rPr>
          <w:b/>
          <w:bCs/>
          <w:color w:val="2E5C8A"/>
          <w:sz w:val="26"/>
          <w:szCs w:val="26"/>
        </w:rPr>
        <w:t xml:space="preserve">Step-by-step</w:t>
      </w:r>
    </w:p>
    <w:p>
      <w:pPr>
        <w:pStyle w:val="Heading3"/>
        <w:spacing w:after="100" w:before="200"/>
      </w:pPr>
      <w:r>
        <w:rPr>
          <w:b/>
          <w:bCs/>
          <w:i/>
          <w:iCs/>
          <w:color w:val="404040"/>
          <w:sz w:val="22"/>
          <w:szCs w:val="22"/>
        </w:rPr>
        <w:t xml:space="preserve">Step 1. Confirm the local repository is fully cleaned</w:t>
      </w:r>
    </w:p>
    <w:p>
      <w:pPr>
        <w:spacing w:after="120" w:line="300"/>
        <w:jc w:val="both"/>
      </w:pPr>
      <w:r>
        <w:t xml:space="preserve">Items 3.3.2 and 3.3.3 must be complete first. Otherwise you upload a repo that still has personal info, then you have to take it down and redo the upload.</w:t>
      </w:r>
    </w:p>
    <w:p>
      <w:pPr>
        <w:pStyle w:val="Heading3"/>
        <w:spacing w:after="100" w:before="200"/>
      </w:pPr>
      <w:r>
        <w:rPr>
          <w:b/>
          <w:bCs/>
          <w:i/>
          <w:iCs/>
          <w:color w:val="404040"/>
          <w:sz w:val="22"/>
          <w:szCs w:val="22"/>
        </w:rPr>
        <w:t xml:space="preserve">Step 2. Add the LICENSE and README files</w:t>
      </w:r>
    </w:p>
    <w:p>
      <w:pPr>
        <w:spacing w:after="120" w:line="300"/>
        <w:jc w:val="both"/>
      </w:pPr>
      <w:r>
        <w:t xml:space="preserve">The repository needs:</w:t>
      </w:r>
    </w:p>
    <w:p>
      <w:pPr>
        <w:pStyle w:val="ListParagraph"/>
        <w:numPr>
          <w:ilvl w:val="0"/>
          <w:numId w:val="2"/>
        </w:numPr>
        <w:spacing w:after="80" w:line="290"/>
        <w:jc w:val="both"/>
      </w:pPr>
      <w:r>
        <w:t xml:space="preserve">A LICENSE file at the root (MIT is the simplest)</w:t>
      </w:r>
    </w:p>
    <w:p>
      <w:pPr>
        <w:pStyle w:val="ListParagraph"/>
        <w:numPr>
          <w:ilvl w:val="0"/>
          <w:numId w:val="2"/>
        </w:numPr>
        <w:spacing w:after="80" w:line="290"/>
        <w:jc w:val="both"/>
      </w:pPr>
      <w:r>
        <w:t xml:space="preserve">A README.md at the root that explains how to use the artifact</w:t>
      </w:r>
    </w:p>
    <w:p>
      <w:pPr>
        <w:spacing w:after="120" w:line="300"/>
        <w:jc w:val="both"/>
      </w:pPr>
      <w:r>
        <w:t xml:space="preserve">The supervisor has a template for both. If not, ask for them.</w:t>
      </w:r>
    </w:p>
    <w:p>
      <w:pPr>
        <w:pStyle w:val="Heading3"/>
        <w:spacing w:after="100" w:before="200"/>
      </w:pPr>
      <w:r>
        <w:rPr>
          <w:b/>
          <w:bCs/>
          <w:i/>
          <w:iCs/>
          <w:color w:val="404040"/>
          <w:sz w:val="22"/>
          <w:szCs w:val="22"/>
        </w:rPr>
        <w:t xml:space="preserve">Step 3. Upload to anonymous.4open.science</w:t>
      </w:r>
    </w:p>
    <w:p>
      <w:pPr>
        <w:spacing w:after="120" w:line="300"/>
        <w:jc w:val="both"/>
      </w:pPr>
      <w:r>
        <w:t xml:space="preserve">Open https://anonymous.4open.science in a browser. Click the “Anonymize a repository” button. Upload the cleaned local folder (or compress to .zip first if the site asks). Wait while the service uploads and processes the files — typically 5–20 minutes depending on size.</w:t>
      </w:r>
    </w:p>
    <w:p>
      <w:pPr>
        <w:pStyle w:val="Heading3"/>
        <w:spacing w:after="100" w:before="200"/>
      </w:pPr>
      <w:r>
        <w:rPr>
          <w:b/>
          <w:bCs/>
          <w:i/>
          <w:iCs/>
          <w:color w:val="404040"/>
          <w:sz w:val="22"/>
          <w:szCs w:val="22"/>
        </w:rPr>
        <w:t xml:space="preserve">Step 4. Save the URL</w:t>
      </w:r>
    </w:p>
    <w:p>
      <w:pPr>
        <w:spacing w:after="120" w:line="300"/>
        <w:jc w:val="both"/>
      </w:pPr>
      <w:r>
        <w:t xml:space="preserve">The site gives you a stable URL like https://anonymous.4open.science/r/OptiCare-RA-A1B2. Save this URL safely — it is needed for items 3.3.1 and 7.7.</w:t>
      </w:r>
    </w:p>
    <w:p>
      <w:pPr>
        <w:pStyle w:val="Heading2"/>
        <w:spacing w:after="120" w:before="240"/>
      </w:pPr>
      <w:r>
        <w:rPr>
          <w:b/>
          <w:bCs/>
          <w:color w:val="2E5C8A"/>
          <w:sz w:val="26"/>
          <w:szCs w:val="26"/>
        </w:rPr>
        <w:t xml:space="preserve">Alternative if anonymous.4open.science is unavailable</w:t>
      </w:r>
    </w:p>
    <w:p>
      <w:pPr>
        <w:spacing w:after="120" w:line="300"/>
        <w:jc w:val="both"/>
      </w:pPr>
      <w:r>
        <w:t xml:space="preserve">If the site is down or rejects the upload: create a fresh GitHub account using a new email (something like opticare-anon-2026@protonmail.com), make a public repository under that account, push your cleaned working copy. The username does not identify you.</w:t>
      </w:r>
    </w:p>
    <w:p>
      <w:pPr>
        <w:pStyle w:val="Heading2"/>
        <w:spacing w:after="120" w:before="240"/>
      </w:pPr>
      <w:r>
        <w:rPr>
          <w:b/>
          <w:bCs/>
          <w:color w:val="2E5C8A"/>
          <w:sz w:val="26"/>
          <w:szCs w:val="26"/>
        </w:rPr>
        <w:t xml:space="preserve">Tick-boxes</w:t>
      </w:r>
    </w:p>
    <w:p>
      <w:pPr>
        <w:pStyle w:val="ListParagraph"/>
        <w:numPr>
          <w:ilvl w:val="0"/>
          <w:numId w:val="2"/>
        </w:numPr>
        <w:spacing w:after="80" w:line="290"/>
        <w:jc w:val="both"/>
      </w:pPr>
      <w:r>
        <w:t xml:space="preserve">☐ LICENSE file added at the repository root.</w:t>
      </w:r>
    </w:p>
    <w:p>
      <w:pPr>
        <w:pStyle w:val="ListParagraph"/>
        <w:numPr>
          <w:ilvl w:val="0"/>
          <w:numId w:val="2"/>
        </w:numPr>
        <w:spacing w:after="80" w:line="290"/>
        <w:jc w:val="both"/>
      </w:pPr>
      <w:r>
        <w:t xml:space="preserve">☐ README.md added at the repository root with anonymous content.</w:t>
      </w:r>
    </w:p>
    <w:p>
      <w:pPr>
        <w:pStyle w:val="ListParagraph"/>
        <w:numPr>
          <w:ilvl w:val="0"/>
          <w:numId w:val="2"/>
        </w:numPr>
        <w:spacing w:after="80" w:line="290"/>
        <w:jc w:val="both"/>
      </w:pPr>
      <w:r>
        <w:t xml:space="preserve">☐ Repository uploaded to anonymous.4open.science (or alternative).</w:t>
      </w:r>
    </w:p>
    <w:p>
      <w:pPr>
        <w:pStyle w:val="ListParagraph"/>
        <w:numPr>
          <w:ilvl w:val="0"/>
          <w:numId w:val="2"/>
        </w:numPr>
        <w:spacing w:after="80" w:line="290"/>
        <w:jc w:val="both"/>
      </w:pPr>
      <w:r>
        <w:t xml:space="preserve">☐ Anonymous URL saved in a safe place.</w:t>
      </w:r>
    </w:p>
    <w:p>
      <w:pPr>
        <w:pStyle w:val="Heading1"/>
        <w:spacing w:after="160" w:before="360"/>
      </w:pPr>
      <w:r>
        <w:rPr>
          <w:b/>
          <w:bCs/>
          <w:color w:val="1F3A68"/>
          <w:sz w:val="32"/>
          <w:szCs w:val="32"/>
        </w:rPr>
        <w:t xml:space="preserve">Item 3.3.1 — Test reproduction on a clean machine</w:t>
      </w:r>
    </w:p>
    <w:p>
      <w:pPr>
        <w:shd w:fill="EA580C" w:val="clear"/>
        <w:spacing w:after="200" w:before="200"/>
        <w:jc w:val="left"/>
      </w:pPr>
      <w:r>
        <w:rPr>
          <w:b/>
          <w:bCs/>
          <w:color w:val="FFFFFF"/>
          <w:sz w:val="22"/>
          <w:szCs w:val="22"/>
        </w:rPr>
        <w:t xml:space="preserve">Status: DO AFTER 3.1.1 is complete. Estimated time: half a day (longer if reproduction fails and needs fixing).</w:t>
      </w:r>
    </w:p>
    <w:p>
      <w:pPr>
        <w:pStyle w:val="Heading2"/>
        <w:spacing w:after="120" w:before="240"/>
      </w:pPr>
      <w:r>
        <w:rPr>
          <w:b/>
          <w:bCs/>
          <w:color w:val="2E5C8A"/>
          <w:sz w:val="26"/>
          <w:szCs w:val="26"/>
        </w:rPr>
        <w:t xml:space="preserve">What it means</w:t>
      </w:r>
    </w:p>
    <w:p>
      <w:pPr>
        <w:spacing w:after="120" w:line="300"/>
        <w:jc w:val="both"/>
      </w:pPr>
      <w:r>
        <w:t xml:space="preserve">“Blind reproduction” means downloading the artifact and trying to reproduce one of the manuscript tables on a fresh computer that has never seen the code. “Clean machine” means a different computer than the one you developed on, OR a fresh Docker container so leftover environment variables and pre-installed packages don’t silently make the code work.</w:t>
      </w:r>
    </w:p>
    <w:p>
      <w:pPr>
        <w:pStyle w:val="Heading2"/>
        <w:spacing w:after="120" w:before="240"/>
      </w:pPr>
      <w:r>
        <w:rPr>
          <w:b/>
          <w:bCs/>
          <w:color w:val="2E5C8A"/>
          <w:sz w:val="26"/>
          <w:szCs w:val="26"/>
        </w:rPr>
        <w:t xml:space="preserve">Why it matters</w:t>
      </w:r>
    </w:p>
    <w:p>
      <w:pPr>
        <w:spacing w:after="120" w:line="300"/>
        <w:jc w:val="both"/>
      </w:pPr>
      <w:r>
        <w:t xml:space="preserve">Section 7.7 of the manuscript explicitly claims that an independent reviewer can reproduce every table in 38 hours of compute, matching the reported numbers within ±0.4 percentage points. If a reviewer tries this and fails, the paper has a credibility problem.</w:t>
      </w:r>
    </w:p>
    <w:p>
      <w:pPr>
        <w:pStyle w:val="Heading2"/>
        <w:spacing w:after="120" w:before="240"/>
      </w:pPr>
      <w:r>
        <w:rPr>
          <w:b/>
          <w:bCs/>
          <w:color w:val="2E5C8A"/>
          <w:sz w:val="26"/>
          <w:szCs w:val="26"/>
        </w:rPr>
        <w:t xml:space="preserve">Step-by-step</w:t>
      </w:r>
    </w:p>
    <w:p>
      <w:pPr>
        <w:pStyle w:val="Heading3"/>
        <w:spacing w:after="100" w:before="200"/>
      </w:pPr>
      <w:r>
        <w:rPr>
          <w:b/>
          <w:bCs/>
          <w:i/>
          <w:iCs/>
          <w:color w:val="404040"/>
          <w:sz w:val="22"/>
          <w:szCs w:val="22"/>
        </w:rPr>
        <w:t xml:space="preserve">Step 1. Get a clean environment</w:t>
      </w:r>
    </w:p>
    <w:p>
      <w:pPr>
        <w:spacing w:after="120" w:line="300"/>
        <w:jc w:val="both"/>
      </w:pPr>
      <w:r>
        <w:t xml:space="preserve">Either use a different physical computer, or start a fresh Docker container:</w:t>
      </w:r>
    </w:p>
    <w:p>
      <w:pPr>
        <w:shd w:fill="F1F5F9" w:val="clear"/>
        <w:spacing w:after="100" w:before="100"/>
        <w:jc w:val="left"/>
      </w:pPr>
      <w:r>
        <w:rPr>
          <w:rFonts w:ascii="Consolas" w:cs="Consolas" w:eastAsia="Consolas" w:hAnsi="Consolas"/>
          <w:sz w:val="18"/>
          <w:szCs w:val="18"/>
        </w:rPr>
        <w:t xml:space="preserve">docker run -it --rm ubuntu:22.04 bash
# inside the container, install the basics:
apt update &amp;&amp; apt install -y git python3 python3-pip</w:t>
      </w:r>
    </w:p>
    <w:p>
      <w:pPr>
        <w:pStyle w:val="Heading3"/>
        <w:spacing w:after="100" w:before="200"/>
      </w:pPr>
      <w:r>
        <w:rPr>
          <w:b/>
          <w:bCs/>
          <w:i/>
          <w:iCs/>
          <w:color w:val="404040"/>
          <w:sz w:val="22"/>
          <w:szCs w:val="22"/>
        </w:rPr>
        <w:t xml:space="preserve">Step 2. Clone the anonymous repository</w:t>
      </w:r>
    </w:p>
    <w:p>
      <w:pPr>
        <w:shd w:fill="F1F5F9" w:val="clear"/>
        <w:spacing w:after="100" w:before="100"/>
        <w:jc w:val="left"/>
      </w:pPr>
      <w:r>
        <w:rPr>
          <w:rFonts w:ascii="Consolas" w:cs="Consolas" w:eastAsia="Consolas" w:hAnsi="Consolas"/>
          <w:sz w:val="18"/>
          <w:szCs w:val="18"/>
        </w:rPr>
        <w:t xml:space="preserve">git clone https://anonymous.4open.science/r/OptiCare-RA-A1B2
cd OptiCare-RA-A1B2</w:t>
      </w:r>
    </w:p>
    <w:p>
      <w:pPr>
        <w:pStyle w:val="Heading3"/>
        <w:spacing w:after="100" w:before="200"/>
      </w:pPr>
      <w:r>
        <w:rPr>
          <w:b/>
          <w:bCs/>
          <w:i/>
          <w:iCs/>
          <w:color w:val="404040"/>
          <w:sz w:val="22"/>
          <w:szCs w:val="22"/>
        </w:rPr>
        <w:t xml:space="preserve">Step 3. Follow the README from the top, exactly</w:t>
      </w:r>
    </w:p>
    <w:p>
      <w:pPr>
        <w:spacing w:after="120" w:line="300"/>
        <w:jc w:val="both"/>
      </w:pPr>
      <w:r>
        <w:t xml:space="preserve">Do not skip steps. Do not use shortcuts you happen to know. Pretend you have never seen this code.</w:t>
      </w:r>
    </w:p>
    <w:p>
      <w:pPr>
        <w:pStyle w:val="Heading3"/>
        <w:spacing w:after="100" w:before="200"/>
      </w:pPr>
      <w:r>
        <w:rPr>
          <w:b/>
          <w:bCs/>
          <w:i/>
          <w:iCs/>
          <w:color w:val="404040"/>
          <w:sz w:val="22"/>
          <w:szCs w:val="22"/>
        </w:rPr>
        <w:t xml:space="preserve">Step 4. Reproduce one of the simpler tables</w:t>
      </w:r>
    </w:p>
    <w:p>
      <w:pPr>
        <w:spacing w:after="120" w:line="300"/>
        <w:jc w:val="both"/>
      </w:pPr>
      <w:r>
        <w:t xml:space="preserve">Table 9 (sentiment baselines) is fastest because it does not need a GPU and the dataset is small.</w:t>
      </w:r>
    </w:p>
    <w:p>
      <w:pPr>
        <w:shd w:fill="F1F5F9" w:val="clear"/>
        <w:spacing w:after="100" w:before="100"/>
        <w:jc w:val="left"/>
      </w:pPr>
      <w:r>
        <w:rPr>
          <w:rFonts w:ascii="Consolas" w:cs="Consolas" w:eastAsia="Consolas" w:hAnsi="Consolas"/>
          <w:sz w:val="18"/>
          <w:szCs w:val="18"/>
        </w:rPr>
        <w:t xml:space="preserve">python regenerate_tables.py --table 9</w:t>
      </w:r>
    </w:p>
    <w:p>
      <w:pPr>
        <w:pStyle w:val="Heading3"/>
        <w:spacing w:after="100" w:before="200"/>
      </w:pPr>
      <w:r>
        <w:rPr>
          <w:b/>
          <w:bCs/>
          <w:i/>
          <w:iCs/>
          <w:color w:val="404040"/>
          <w:sz w:val="22"/>
          <w:szCs w:val="22"/>
        </w:rPr>
        <w:t xml:space="preserve">Step 5. Compare your numbers to the manuscript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08080" w:sz="4"/>
              <w:left w:val="single" w:color="808080" w:sz="4"/>
              <w:bottom w:val="single" w:color="808080" w:sz="4"/>
              <w:right w:val="single" w:color="808080" w:sz="4"/>
            </w:tcBorders>
            <w:shd w:fill="1F3A68" w:val="clear"/>
            <w:tcMar>
              <w:top w:type="dxa" w:w="80"/>
              <w:left w:type="dxa" w:w="100"/>
              <w:bottom w:type="dxa" w:w="80"/>
              <w:right w:type="dxa" w:w="100"/>
            </w:tcMar>
            <w:vAlign w:val="center"/>
          </w:tcPr>
          <w:p>
            <w:pPr>
              <w:jc w:val="center"/>
            </w:pPr>
            <w:r>
              <w:rPr>
                <w:b/>
                <w:bCs/>
                <w:i w:val="false"/>
                <w:iCs w:val="false"/>
                <w:color w:val="FFFFFF"/>
                <w:sz w:val="20"/>
                <w:szCs w:val="20"/>
              </w:rPr>
              <w:t xml:space="preserve">Result</w:t>
            </w:r>
          </w:p>
        </w:tc>
        <w:tc>
          <w:tcPr>
            <w:tcW w:type="dxa" w:w="7860"/>
            <w:tcBorders>
              <w:top w:val="single" w:color="808080" w:sz="4"/>
              <w:left w:val="single" w:color="808080" w:sz="4"/>
              <w:bottom w:val="single" w:color="808080" w:sz="4"/>
              <w:right w:val="single" w:color="808080" w:sz="4"/>
            </w:tcBorders>
            <w:shd w:fill="1F3A68" w:val="clear"/>
            <w:tcMar>
              <w:top w:type="dxa" w:w="80"/>
              <w:left w:type="dxa" w:w="100"/>
              <w:bottom w:type="dxa" w:w="80"/>
              <w:right w:type="dxa" w:w="100"/>
            </w:tcMar>
            <w:vAlign w:val="center"/>
          </w:tcPr>
          <w:p>
            <w:pPr>
              <w:jc w:val="left"/>
            </w:pPr>
            <w:r>
              <w:rPr>
                <w:b/>
                <w:bCs/>
                <w:i w:val="false"/>
                <w:iCs w:val="false"/>
                <w:color w:val="FFFFFF"/>
                <w:sz w:val="20"/>
                <w:szCs w:val="20"/>
              </w:rPr>
              <w:t xml:space="preserve">What it means and what to do</w:t>
            </w:r>
          </w:p>
        </w:tc>
      </w:tr>
      <w:tr>
        <w:tc>
          <w:tcPr>
            <w:tcW w:type="dxa" w:w="1500"/>
            <w:tcBorders>
              <w:top w:val="single" w:color="808080" w:sz="4"/>
              <w:left w:val="single" w:color="808080" w:sz="4"/>
              <w:bottom w:val="single" w:color="808080" w:sz="4"/>
              <w:right w:val="single" w:color="808080" w:sz="4"/>
            </w:tcBorders>
            <w:shd w:fill="047857" w:val="clear"/>
            <w:tcMar>
              <w:top w:type="dxa" w:w="80"/>
              <w:left w:type="dxa" w:w="100"/>
              <w:bottom w:type="dxa" w:w="80"/>
              <w:right w:type="dxa" w:w="100"/>
            </w:tcMar>
            <w:vAlign w:val="center"/>
          </w:tcPr>
          <w:p>
            <w:pPr>
              <w:jc w:val="center"/>
            </w:pPr>
            <w:r>
              <w:rPr>
                <w:b/>
                <w:bCs/>
                <w:i w:val="false"/>
                <w:iCs w:val="false"/>
                <w:color w:val="FFFFFF"/>
                <w:sz w:val="20"/>
                <w:szCs w:val="20"/>
              </w:rPr>
              <w:t xml:space="preserve">PASS</w:t>
            </w:r>
          </w:p>
        </w:tc>
        <w:tc>
          <w:tcPr>
            <w:tcW w:type="dxa" w:w="78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Numbers match within ±0.4 percentage points. The artifact works. Move on to item 7.7.</w:t>
            </w:r>
          </w:p>
        </w:tc>
      </w:tr>
      <w:tr>
        <w:tc>
          <w:tcPr>
            <w:tcW w:type="dxa" w:w="1500"/>
            <w:tcBorders>
              <w:top w:val="single" w:color="808080" w:sz="4"/>
              <w:left w:val="single" w:color="808080" w:sz="4"/>
              <w:bottom w:val="single" w:color="808080" w:sz="4"/>
              <w:right w:val="single" w:color="808080" w:sz="4"/>
            </w:tcBorders>
            <w:shd w:fill="DC2626" w:val="clear"/>
            <w:tcMar>
              <w:top w:type="dxa" w:w="80"/>
              <w:left w:type="dxa" w:w="100"/>
              <w:bottom w:type="dxa" w:w="80"/>
              <w:right w:type="dxa" w:w="100"/>
            </w:tcMar>
            <w:vAlign w:val="center"/>
          </w:tcPr>
          <w:p>
            <w:pPr>
              <w:jc w:val="center"/>
            </w:pPr>
            <w:r>
              <w:rPr>
                <w:b/>
                <w:bCs/>
                <w:i w:val="false"/>
                <w:iCs w:val="false"/>
                <w:color w:val="FFFFFF"/>
                <w:sz w:val="20"/>
                <w:szCs w:val="20"/>
              </w:rPr>
              <w:t xml:space="preserve">FAIL</w:t>
            </w:r>
          </w:p>
        </w:tc>
        <w:tc>
          <w:tcPr>
            <w:tcW w:type="dxa" w:w="78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b w:val="false"/>
                <w:bCs w:val="false"/>
                <w:i w:val="false"/>
                <w:iCs w:val="false"/>
                <w:color w:val="000000"/>
                <w:sz w:val="20"/>
                <w:szCs w:val="20"/>
              </w:rPr>
              <w:t xml:space="preserve">Numbers do not match, the script crashes, or the README is missing a step. Fix the artifact. Update the README to match what actually has to happen. Re-run on the clean machine. Repeat until pass.</w:t>
            </w:r>
          </w:p>
        </w:tc>
      </w:tr>
    </w:tbl>
    <w:p>
      <w:pPr>
        <w:spacing w:after="120" w:line="300"/>
        <w:jc w:val="both"/>
      </w:pPr>
      <w:r>
        <w:t xml:space="preserve">You do not need to reproduce every table — reproducing one or two is enough proof. But the artifact must be self-sufficient enough that a reviewer COULD reproduce all of them.</w:t>
      </w:r>
    </w:p>
    <w:p>
      <w:pPr>
        <w:pStyle w:val="Heading2"/>
        <w:spacing w:after="120" w:before="240"/>
      </w:pPr>
      <w:r>
        <w:rPr>
          <w:b/>
          <w:bCs/>
          <w:color w:val="2E5C8A"/>
          <w:sz w:val="26"/>
          <w:szCs w:val="26"/>
        </w:rPr>
        <w:t xml:space="preserve">Tick-boxes</w:t>
      </w:r>
    </w:p>
    <w:p>
      <w:pPr>
        <w:pStyle w:val="ListParagraph"/>
        <w:numPr>
          <w:ilvl w:val="0"/>
          <w:numId w:val="2"/>
        </w:numPr>
        <w:spacing w:after="80" w:line="290"/>
        <w:jc w:val="both"/>
      </w:pPr>
      <w:r>
        <w:t xml:space="preserve">☐ Clean environment ready (different computer or fresh Docker container).</w:t>
      </w:r>
    </w:p>
    <w:p>
      <w:pPr>
        <w:pStyle w:val="ListParagraph"/>
        <w:numPr>
          <w:ilvl w:val="0"/>
          <w:numId w:val="2"/>
        </w:numPr>
        <w:spacing w:after="80" w:line="290"/>
        <w:jc w:val="both"/>
      </w:pPr>
      <w:r>
        <w:t xml:space="preserve">☐ Anonymous repository cloned successfully.</w:t>
      </w:r>
    </w:p>
    <w:p>
      <w:pPr>
        <w:pStyle w:val="ListParagraph"/>
        <w:numPr>
          <w:ilvl w:val="0"/>
          <w:numId w:val="2"/>
        </w:numPr>
        <w:spacing w:after="80" w:line="290"/>
        <w:jc w:val="both"/>
      </w:pPr>
      <w:r>
        <w:t xml:space="preserve">☐ At least one manuscript table reproduced with numbers matching within ±0.4 percentage points.</w:t>
      </w:r>
    </w:p>
    <w:p>
      <w:pPr>
        <w:pStyle w:val="ListParagraph"/>
        <w:numPr>
          <w:ilvl w:val="0"/>
          <w:numId w:val="2"/>
        </w:numPr>
        <w:spacing w:after="80" w:line="290"/>
        <w:jc w:val="both"/>
      </w:pPr>
      <w:r>
        <w:t xml:space="preserve">☐ README updated if any step was missing or unclear.</w:t>
      </w:r>
    </w:p>
    <w:p>
      <w:pPr>
        <w:pStyle w:val="Heading1"/>
        <w:spacing w:after="160" w:before="360"/>
      </w:pPr>
      <w:r>
        <w:rPr>
          <w:b/>
          <w:bCs/>
          <w:color w:val="1F3A68"/>
          <w:sz w:val="32"/>
          <w:szCs w:val="32"/>
        </w:rPr>
        <w:t xml:space="preserve">Item 7.7 — Send the anonymous URL back to the supervisor</w:t>
      </w:r>
    </w:p>
    <w:p>
      <w:pPr>
        <w:shd w:fill="EA580C" w:val="clear"/>
        <w:spacing w:after="200" w:before="200"/>
        <w:jc w:val="left"/>
      </w:pPr>
      <w:r>
        <w:rPr>
          <w:b/>
          <w:bCs/>
          <w:color w:val="FFFFFF"/>
          <w:sz w:val="22"/>
          <w:szCs w:val="22"/>
        </w:rPr>
        <w:t xml:space="preserve">Status: DO AFTER 3.3.1 passes. Estimated time: 5 minutes.</w:t>
      </w:r>
    </w:p>
    <w:p>
      <w:pPr>
        <w:pStyle w:val="Heading2"/>
        <w:spacing w:after="120" w:before="240"/>
      </w:pPr>
      <w:r>
        <w:rPr>
          <w:b/>
          <w:bCs/>
          <w:color w:val="2E5C8A"/>
          <w:sz w:val="26"/>
          <w:szCs w:val="26"/>
        </w:rPr>
        <w:t xml:space="preserve">What it means</w:t>
      </w:r>
    </w:p>
    <w:p>
      <w:pPr>
        <w:spacing w:after="120" w:line="300"/>
        <w:jc w:val="both"/>
      </w:pPr>
      <w:r>
        <w:t xml:space="preserve">Once items 3.1.1 and 3.3.1 are done, you have an anonymous URL plus confirmation that the reproduction works. The supervisor needs to insert this URL into the manuscript Data and Code Availability section and into the cover letter. Your job is just to send the URL plus a short reproduction-test summary back.</w:t>
      </w:r>
    </w:p>
    <w:p>
      <w:pPr>
        <w:pStyle w:val="Heading2"/>
        <w:spacing w:after="120" w:before="240"/>
      </w:pPr>
      <w:r>
        <w:rPr>
          <w:b/>
          <w:bCs/>
          <w:color w:val="2E5C8A"/>
          <w:sz w:val="26"/>
          <w:szCs w:val="26"/>
        </w:rPr>
        <w:t xml:space="preserve">Why it matters</w:t>
      </w:r>
    </w:p>
    <w:p>
      <w:pPr>
        <w:spacing w:after="120" w:line="300"/>
        <w:jc w:val="both"/>
      </w:pPr>
      <w:r>
        <w:t xml:space="preserve">Editors and reviewers should not have to hunt for the URL. Putting it in both the manuscript and the cover letter ensures they find it on first contact with the submission.</w:t>
      </w:r>
    </w:p>
    <w:p>
      <w:pPr>
        <w:pStyle w:val="Heading2"/>
        <w:spacing w:after="120" w:before="240"/>
      </w:pPr>
      <w:r>
        <w:rPr>
          <w:b/>
          <w:bCs/>
          <w:color w:val="2E5C8A"/>
          <w:sz w:val="26"/>
          <w:szCs w:val="26"/>
        </w:rPr>
        <w:t xml:space="preserve">What to send to the supervisor</w:t>
      </w:r>
    </w:p>
    <w:p>
      <w:pPr>
        <w:spacing w:after="120" w:line="300"/>
        <w:jc w:val="both"/>
      </w:pPr>
      <w:r>
        <w:t xml:space="preserve">One email with:</w:t>
      </w:r>
    </w:p>
    <w:p>
      <w:pPr>
        <w:pStyle w:val="ListParagraph"/>
        <w:numPr>
          <w:ilvl w:val="0"/>
          <w:numId w:val="2"/>
        </w:numPr>
        <w:spacing w:after="80" w:line="290"/>
        <w:jc w:val="both"/>
      </w:pPr>
      <w:r>
        <w:t xml:space="preserve">The anonymous URL (the full link).</w:t>
      </w:r>
    </w:p>
    <w:p>
      <w:pPr>
        <w:pStyle w:val="ListParagraph"/>
        <w:numPr>
          <w:ilvl w:val="0"/>
          <w:numId w:val="2"/>
        </w:numPr>
        <w:spacing w:after="80" w:line="290"/>
        <w:jc w:val="both"/>
      </w:pPr>
      <w:r>
        <w:t xml:space="preserve">Confirmation that item 3.3.1 passed: which table you reproduced and what numbers you got.</w:t>
      </w:r>
    </w:p>
    <w:p>
      <w:pPr>
        <w:pStyle w:val="ListParagraph"/>
        <w:numPr>
          <w:ilvl w:val="0"/>
          <w:numId w:val="2"/>
        </w:numPr>
        <w:spacing w:after="80" w:line="290"/>
        <w:jc w:val="both"/>
      </w:pPr>
      <w:r>
        <w:t xml:space="preserve">A zipped copy of your local cleaned working folder (as a backup, in case the anonymous service changes their URL scheme later).</w:t>
      </w:r>
    </w:p>
    <w:p>
      <w:pPr>
        <w:pStyle w:val="ListParagraph"/>
        <w:numPr>
          <w:ilvl w:val="0"/>
          <w:numId w:val="2"/>
        </w:numPr>
        <w:spacing w:after="80" w:line="290"/>
        <w:jc w:val="both"/>
      </w:pPr>
      <w:r>
        <w:t xml:space="preserve">Any items you found while testing that are still pending.</w:t>
      </w:r>
    </w:p>
    <w:p>
      <w:pPr>
        <w:pStyle w:val="Heading2"/>
        <w:spacing w:after="120" w:before="240"/>
      </w:pPr>
      <w:r>
        <w:rPr>
          <w:b/>
          <w:bCs/>
          <w:color w:val="2E5C8A"/>
          <w:sz w:val="26"/>
          <w:szCs w:val="26"/>
        </w:rPr>
        <w:t xml:space="preserve">Tick-box</w:t>
      </w:r>
    </w:p>
    <w:p>
      <w:pPr>
        <w:pStyle w:val="ListParagraph"/>
        <w:numPr>
          <w:ilvl w:val="0"/>
          <w:numId w:val="2"/>
        </w:numPr>
        <w:spacing w:after="80" w:line="290"/>
        <w:jc w:val="both"/>
      </w:pPr>
      <w:r>
        <w:t xml:space="preserve">☐ Email sent to the supervisor with all four pieces of information above.</w:t>
      </w:r>
    </w:p>
    <w:p>
      <w:pPr>
        <w:pStyle w:val="Heading1"/>
        <w:spacing w:after="160" w:before="360"/>
      </w:pPr>
      <w:r>
        <w:rPr>
          <w:b/>
          <w:bCs/>
          <w:color w:val="1F3A68"/>
          <w:sz w:val="32"/>
          <w:szCs w:val="32"/>
        </w:rPr>
        <w:t xml:space="preserve">Final send-back checklist</w:t>
      </w:r>
    </w:p>
    <w:p>
      <w:pPr>
        <w:spacing w:after="120" w:line="300"/>
        <w:jc w:val="both"/>
      </w:pPr>
      <w:r>
        <w:t xml:space="preserve">When all of the following are ticked, your work is done. Send everything to the supervisor.</w:t>
      </w:r>
    </w:p>
    <w:p>
      <w:pPr>
        <w:pStyle w:val="ListParagraph"/>
        <w:numPr>
          <w:ilvl w:val="0"/>
          <w:numId w:val="2"/>
        </w:numPr>
        <w:spacing w:after="80" w:line="290"/>
        <w:jc w:val="both"/>
      </w:pPr>
      <w:r>
        <w:t xml:space="preserve">☐ 2.1 Verified: read the updated manuscript Section 5.6 and Ethics Approval declaration; confirmed they read correctly.</w:t>
      </w:r>
    </w:p>
    <w:p>
      <w:pPr>
        <w:pStyle w:val="ListParagraph"/>
        <w:numPr>
          <w:ilvl w:val="0"/>
          <w:numId w:val="2"/>
        </w:numPr>
        <w:spacing w:after="80" w:line="290"/>
        <w:jc w:val="both"/>
      </w:pPr>
      <w:r>
        <w:t xml:space="preserve">☐ 2.2 Verified: read the updated Section 7.5.1, abstract, and Conclusion; confirmed the operational metrics are gone and the architectural-only framing reads correctly.</w:t>
      </w:r>
    </w:p>
    <w:p>
      <w:pPr>
        <w:pStyle w:val="ListParagraph"/>
        <w:numPr>
          <w:ilvl w:val="0"/>
          <w:numId w:val="2"/>
        </w:numPr>
        <w:spacing w:after="80" w:line="290"/>
        <w:jc w:val="both"/>
      </w:pPr>
      <w:r>
        <w:t xml:space="preserve">☐ 2.3 Verified: read the updated Section 5.6 DPIA paragraph; confirmed the new text reads correctly.</w:t>
      </w:r>
    </w:p>
    <w:p>
      <w:pPr>
        <w:pStyle w:val="ListParagraph"/>
        <w:numPr>
          <w:ilvl w:val="0"/>
          <w:numId w:val="2"/>
        </w:numPr>
        <w:spacing w:after="80" w:line="290"/>
        <w:jc w:val="both"/>
      </w:pPr>
      <w:r>
        <w:t xml:space="preserve">☐ 3.3.2 Done: every absolute path in the codebase replaced with a repo-relative path; verified by grep.</w:t>
      </w:r>
    </w:p>
    <w:p>
      <w:pPr>
        <w:pStyle w:val="ListParagraph"/>
        <w:numPr>
          <w:ilvl w:val="0"/>
          <w:numId w:val="2"/>
        </w:numPr>
        <w:spacing w:after="80" w:line="290"/>
        <w:jc w:val="both"/>
      </w:pPr>
      <w:r>
        <w:t xml:space="preserve">☐ 3.3.3 Done: all personal and institutional info removed from code, comments, filenames, image/PDF metadata, and git history; verified by grep, git log, and exiftool; double-checked by the supervisor.</w:t>
      </w:r>
    </w:p>
    <w:p>
      <w:pPr>
        <w:pStyle w:val="ListParagraph"/>
        <w:numPr>
          <w:ilvl w:val="0"/>
          <w:numId w:val="2"/>
        </w:numPr>
        <w:spacing w:after="80" w:line="290"/>
        <w:jc w:val="both"/>
      </w:pPr>
      <w:r>
        <w:t xml:space="preserve">☐ 3.1.1 Done: cleaned repository uploaded to anonymous.4open.science; URL saved.</w:t>
      </w:r>
    </w:p>
    <w:p>
      <w:pPr>
        <w:pStyle w:val="ListParagraph"/>
        <w:numPr>
          <w:ilvl w:val="0"/>
          <w:numId w:val="2"/>
        </w:numPr>
        <w:spacing w:after="80" w:line="290"/>
        <w:jc w:val="both"/>
      </w:pPr>
      <w:r>
        <w:t xml:space="preserve">☐ 3.3.1 Done: blind reproduction tested on a clean machine; at least one manuscript table reproduced within ±0.4 percentage points.</w:t>
      </w:r>
    </w:p>
    <w:p>
      <w:pPr>
        <w:pStyle w:val="ListParagraph"/>
        <w:numPr>
          <w:ilvl w:val="0"/>
          <w:numId w:val="2"/>
        </w:numPr>
        <w:spacing w:after="80" w:line="290"/>
        <w:jc w:val="both"/>
      </w:pPr>
      <w:r>
        <w:t xml:space="preserve">☐ 7.7 Done: URL plus reproduction-test summary plus zipped backup sent to the supervisor.</w:t>
      </w:r>
    </w:p>
    <w:p>
      <w:pPr>
        <w:shd w:fill="047857" w:val="clear"/>
        <w:spacing w:after="200" w:before="200"/>
        <w:jc w:val="left"/>
      </w:pPr>
      <w:r>
        <w:rPr>
          <w:b/>
          <w:bCs/>
          <w:color w:val="FFFFFF"/>
          <w:sz w:val="22"/>
          <w:szCs w:val="22"/>
        </w:rPr>
        <w:t xml:space="preserve">When all 8 boxes are ticked, your work is done. The supervisor handles inserting the URL into the manuscript and cover letter, applying CMC formatting, and submitting.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68"/>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Checklist</dc:title>
  <dc:creator>OptiCare-RA submission team</dc:creator>
  <cp:lastModifiedBy>Un-named</cp:lastModifiedBy>
  <cp:revision>1</cp:revision>
  <dcterms:created xsi:type="dcterms:W3CDTF">2026-05-10T04:29:32.310Z</dcterms:created>
  <dcterms:modified xsi:type="dcterms:W3CDTF">2026-05-10T04:29:32.328Z</dcterms:modified>
</cp:coreProperties>
</file>

<file path=docProps/custom.xml><?xml version="1.0" encoding="utf-8"?>
<Properties xmlns="http://schemas.openxmlformats.org/officeDocument/2006/custom-properties" xmlns:vt="http://schemas.openxmlformats.org/officeDocument/2006/docPropsVTypes"/>
</file>