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Fonts w:ascii="Arial" w:hAnsi="Arial" w:cs="Arial" w:eastAsia="Arial"/>
          <w:b/>
          <w:sz w:val="40"/>
          <w:rtl/>
        </w:rPr>
        <w:t>سجل مصطلحات السجلات</w:t>
      </w:r>
    </w:p>
    <w:p>
      <w:pPr>
        <w:bidi/>
        <w:jc w:val="right"/>
      </w:pPr>
      <w:r>
        <w:rPr>
          <w:rFonts w:ascii="Arial" w:hAnsi="Arial" w:cs="Arial" w:eastAsia="Arial"/>
          <w:b w:val="0"/>
          <w:sz w:val="18"/>
          <w:rtl/>
        </w:rPr>
        <w:t>مصدر تقييم منضبط - الإصدار 1.0</w:t>
      </w:r>
    </w:p>
    <w:p>
      <w:pPr>
        <w:pStyle w:val="Heading1"/>
        <w:bidi/>
        <w:jc w:val="right"/>
      </w:pPr>
      <w:r>
        <w:rPr>
          <w:rFonts w:ascii="Arial" w:hAnsi="Arial" w:cs="Arial" w:eastAsia="Arial"/>
          <w:b/>
          <w:sz w:val="32"/>
          <w:rtl/>
        </w:rPr>
        <w:t>جسر المصطلحات</w:t>
      </w:r>
    </w:p>
    <w:p>
      <w:pPr>
        <w:bidi/>
        <w:jc w:val="right"/>
      </w:pPr>
      <w:r>
        <w:rPr>
          <w:rFonts w:ascii="Arial" w:hAnsi="Arial" w:cs="Arial" w:eastAsia="Arial"/>
          <w:b w:val="0"/>
          <w:sz w:val="22"/>
          <w:rtl/>
        </w:rPr>
        <w:t>يشير المصطلح القديم الدفتر الأزرق الآن إلى سجل الحالات.</w:t>
      </w:r>
    </w:p>
    <w:p>
      <w:pPr>
        <w:pStyle w:val="Heading1"/>
        <w:bidi/>
        <w:jc w:val="right"/>
      </w:pPr>
      <w:r>
        <w:rPr>
          <w:rFonts w:ascii="Arial" w:hAnsi="Arial" w:cs="Arial" w:eastAsia="Arial"/>
          <w:b/>
          <w:sz w:val="32"/>
          <w:rtl/>
        </w:rPr>
        <w:t>السياق - الاستقبال</w:t>
      </w:r>
    </w:p>
    <w:p>
      <w:pPr>
        <w:bidi/>
        <w:jc w:val="right"/>
      </w:pPr>
      <w:r>
        <w:rPr>
          <w:rFonts w:ascii="Arial" w:hAnsi="Arial" w:cs="Arial" w:eastAsia="Arial"/>
          <w:b w:val="0"/>
          <w:sz w:val="22"/>
          <w:rtl/>
        </w:rPr>
        <w:t xml:space="preserve">تستخدم مذكرة السياق الخاصة بمجال الاستقبال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الاستقبال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الاستقبال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الأرشيف</w:t>
      </w:r>
    </w:p>
    <w:p>
      <w:pPr>
        <w:bidi/>
        <w:jc w:val="right"/>
      </w:pPr>
      <w:r>
        <w:rPr>
          <w:rFonts w:ascii="Arial" w:hAnsi="Arial" w:cs="Arial" w:eastAsia="Arial"/>
          <w:b w:val="0"/>
          <w:sz w:val="22"/>
          <w:rtl/>
        </w:rPr>
        <w:t xml:space="preserve">تستخدم مذكرة السياق الخاصة بمجال الأرشيف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الأرشيف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الأرشيف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الجدولة</w:t>
      </w:r>
    </w:p>
    <w:p>
      <w:pPr>
        <w:bidi/>
        <w:jc w:val="right"/>
      </w:pPr>
      <w:r>
        <w:rPr>
          <w:rFonts w:ascii="Arial" w:hAnsi="Arial" w:cs="Arial" w:eastAsia="Arial"/>
          <w:b w:val="0"/>
          <w:sz w:val="22"/>
          <w:rtl/>
        </w:rPr>
        <w:t xml:space="preserve">تستخدم مذكرة السياق الخاصة بمجال الجدولة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الجدولة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الجدولة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المرافق</w:t>
      </w:r>
    </w:p>
    <w:p>
      <w:pPr>
        <w:bidi/>
        <w:jc w:val="right"/>
      </w:pPr>
      <w:r>
        <w:rPr>
          <w:rFonts w:ascii="Arial" w:hAnsi="Arial" w:cs="Arial" w:eastAsia="Arial"/>
          <w:b w:val="0"/>
          <w:sz w:val="22"/>
          <w:rtl/>
        </w:rPr>
        <w:t xml:space="preserve">تستخدم مذكرة السياق الخاصة بمجال المرافق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المرافق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المرافق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التدريب</w:t>
      </w:r>
    </w:p>
    <w:p>
      <w:pPr>
        <w:bidi/>
        <w:jc w:val="right"/>
      </w:pPr>
      <w:r>
        <w:rPr>
          <w:rFonts w:ascii="Arial" w:hAnsi="Arial" w:cs="Arial" w:eastAsia="Arial"/>
          <w:b w:val="0"/>
          <w:sz w:val="22"/>
          <w:rtl/>
        </w:rPr>
        <w:t xml:space="preserve">تستخدم مذكرة السياق الخاصة بمجال التدريب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التدريب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التدريب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الميزانية</w:t>
      </w:r>
    </w:p>
    <w:p>
      <w:pPr>
        <w:bidi/>
        <w:jc w:val="right"/>
      </w:pPr>
      <w:r>
        <w:rPr>
          <w:rFonts w:ascii="Arial" w:hAnsi="Arial" w:cs="Arial" w:eastAsia="Arial"/>
          <w:b w:val="0"/>
          <w:sz w:val="22"/>
          <w:rtl/>
        </w:rPr>
        <w:t xml:space="preserve">تستخدم مذكرة السياق الخاصة بمجال الميزانية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الميزانية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الميزانية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المخزون</w:t>
      </w:r>
    </w:p>
    <w:p>
      <w:pPr>
        <w:bidi/>
        <w:jc w:val="right"/>
      </w:pPr>
      <w:r>
        <w:rPr>
          <w:rFonts w:ascii="Arial" w:hAnsi="Arial" w:cs="Arial" w:eastAsia="Arial"/>
          <w:b w:val="0"/>
          <w:sz w:val="22"/>
          <w:rtl/>
        </w:rPr>
        <w:t xml:space="preserve">تستخدم مذكرة السياق الخاصة بمجال المخزون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المخزون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المخزون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الاتصالات</w:t>
      </w:r>
    </w:p>
    <w:p>
      <w:pPr>
        <w:bidi/>
        <w:jc w:val="right"/>
      </w:pPr>
      <w:r>
        <w:rPr>
          <w:rFonts w:ascii="Arial" w:hAnsi="Arial" w:cs="Arial" w:eastAsia="Arial"/>
          <w:b w:val="0"/>
          <w:sz w:val="22"/>
          <w:rtl/>
        </w:rPr>
        <w:t xml:space="preserve">تستخدم مذكرة السياق الخاصة بمجال الاتصالات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الاتصالات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الاتصالات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السفر</w:t>
      </w:r>
    </w:p>
    <w:p>
      <w:pPr>
        <w:bidi/>
        <w:jc w:val="right"/>
      </w:pPr>
      <w:r>
        <w:rPr>
          <w:rFonts w:ascii="Arial" w:hAnsi="Arial" w:cs="Arial" w:eastAsia="Arial"/>
          <w:b w:val="0"/>
          <w:sz w:val="22"/>
          <w:rtl/>
        </w:rPr>
        <w:t xml:space="preserve">تستخدم مذكرة السياق الخاصة بمجال السفر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السفر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السفر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الاجتماعات</w:t>
      </w:r>
    </w:p>
    <w:p>
      <w:pPr>
        <w:bidi/>
        <w:jc w:val="right"/>
      </w:pPr>
      <w:r>
        <w:rPr>
          <w:rFonts w:ascii="Arial" w:hAnsi="Arial" w:cs="Arial" w:eastAsia="Arial"/>
          <w:b w:val="0"/>
          <w:sz w:val="22"/>
          <w:rtl/>
        </w:rPr>
        <w:t xml:space="preserve">تستخدم مذكرة السياق الخاصة بمجال الاجتماعات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الاجتماعات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الاجتماعات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الجودة</w:t>
      </w:r>
    </w:p>
    <w:p>
      <w:pPr>
        <w:bidi/>
        <w:jc w:val="right"/>
      </w:pPr>
      <w:r>
        <w:rPr>
          <w:rFonts w:ascii="Arial" w:hAnsi="Arial" w:cs="Arial" w:eastAsia="Arial"/>
          <w:b w:val="0"/>
          <w:sz w:val="22"/>
          <w:rtl/>
        </w:rPr>
        <w:t xml:space="preserve">تستخدم مذكرة السياق الخاصة بمجال الجودة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الجودة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الجودة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الدعم</w:t>
      </w:r>
    </w:p>
    <w:p>
      <w:pPr>
        <w:bidi/>
        <w:jc w:val="right"/>
      </w:pPr>
      <w:r>
        <w:rPr>
          <w:rFonts w:ascii="Arial" w:hAnsi="Arial" w:cs="Arial" w:eastAsia="Arial"/>
          <w:b w:val="0"/>
          <w:sz w:val="22"/>
          <w:rtl/>
        </w:rPr>
        <w:t xml:space="preserve">تستخدم مذكرة السياق الخاصة بمجال الدعم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الدعم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الدعم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التقارير</w:t>
      </w:r>
    </w:p>
    <w:p>
      <w:pPr>
        <w:bidi/>
        <w:jc w:val="right"/>
      </w:pPr>
      <w:r>
        <w:rPr>
          <w:rFonts w:ascii="Arial" w:hAnsi="Arial" w:cs="Arial" w:eastAsia="Arial"/>
          <w:b w:val="0"/>
          <w:sz w:val="22"/>
          <w:rtl/>
        </w:rPr>
        <w:t xml:space="preserve">تستخدم مذكرة السياق الخاصة بمجال التقارير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التقارير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التقارير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التخطيط</w:t>
      </w:r>
    </w:p>
    <w:p>
      <w:pPr>
        <w:bidi/>
        <w:jc w:val="right"/>
      </w:pPr>
      <w:r>
        <w:rPr>
          <w:rFonts w:ascii="Arial" w:hAnsi="Arial" w:cs="Arial" w:eastAsia="Arial"/>
          <w:b w:val="0"/>
          <w:sz w:val="22"/>
          <w:rtl/>
        </w:rPr>
        <w:t xml:space="preserve">تستخدم مذكرة السياق الخاصة بمجال التخطيط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التخطيط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التخطيط عبارات المصطلح القديم واسم السجل والوصف الحالي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السجل المعتمد</w:t>
      </w:r>
    </w:p>
    <w:p>
      <w:pPr>
        <w:bidi/>
        <w:jc w:val="right"/>
      </w:pPr>
      <w:r>
        <w:rPr>
          <w:rFonts w:ascii="Arial" w:hAnsi="Arial" w:cs="Arial" w:eastAsia="Arial"/>
          <w:b w:val="0"/>
          <w:sz w:val="22"/>
          <w:rtl/>
        </w:rPr>
        <w:t>سجل الحالات هو السجل المعتمد حالياً للحالات الخدمية المفتوحة.</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Arial"/>
        <w:b w:val="0"/>
        <w:sz w:val="16"/>
        <w:rtl/>
      </w:rPr>
      <w:t>ar-glossary-a.docx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